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7F3" w:rsidRDefault="00D407F3">
      <w:bookmarkStart w:id="0" w:name="_GoBack"/>
      <w:bookmarkEnd w:id="0"/>
    </w:p>
    <w:p w:rsidR="007C0D8D" w:rsidRDefault="007C0D8D"/>
    <w:p w:rsidR="003A6F13" w:rsidRDefault="003A6F13"/>
    <w:p w:rsidR="003A6F13" w:rsidRDefault="002C420F" w:rsidP="002C420F">
      <w:pPr>
        <w:tabs>
          <w:tab w:val="left" w:pos="7800"/>
        </w:tabs>
      </w:pPr>
      <w:r>
        <w:tab/>
      </w:r>
    </w:p>
    <w:p w:rsidR="003A6F13" w:rsidRPr="00752BD1" w:rsidRDefault="005919ED" w:rsidP="00752BD1">
      <w:pPr>
        <w:tabs>
          <w:tab w:val="left" w:pos="7066"/>
        </w:tabs>
      </w:pPr>
      <w:r>
        <w:rPr>
          <w:rFonts w:cs="Arial"/>
          <w:b/>
          <w:bCs/>
          <w:color w:val="008080"/>
          <w:sz w:val="40"/>
          <w:szCs w:val="40"/>
        </w:rPr>
        <w:t xml:space="preserve">County </w:t>
      </w:r>
      <w:r w:rsidRPr="001349D4">
        <w:rPr>
          <w:rFonts w:cs="Arial"/>
          <w:b/>
          <w:bCs/>
          <w:color w:val="008080"/>
          <w:sz w:val="40"/>
          <w:szCs w:val="40"/>
        </w:rPr>
        <w:t>Durham</w:t>
      </w:r>
      <w:r w:rsidR="004A3F13" w:rsidRPr="001349D4">
        <w:rPr>
          <w:rFonts w:cs="Arial"/>
          <w:b/>
          <w:bCs/>
          <w:color w:val="008080"/>
          <w:sz w:val="40"/>
          <w:szCs w:val="40"/>
        </w:rPr>
        <w:t xml:space="preserve"> 201</w:t>
      </w:r>
      <w:r w:rsidR="00DC2617" w:rsidRPr="001349D4">
        <w:rPr>
          <w:rFonts w:cs="Arial"/>
          <w:b/>
          <w:bCs/>
          <w:color w:val="008080"/>
          <w:sz w:val="40"/>
          <w:szCs w:val="40"/>
        </w:rPr>
        <w:t>3 Update</w:t>
      </w:r>
    </w:p>
    <w:p w:rsidR="003A6F13" w:rsidRPr="007F4B24" w:rsidRDefault="003A6F13">
      <w:pPr>
        <w:pStyle w:val="BodyText"/>
        <w:rPr>
          <w:rFonts w:ascii="Arial" w:hAnsi="Arial" w:cs="Arial"/>
          <w:b/>
          <w:bCs/>
          <w:color w:val="008080"/>
          <w:sz w:val="40"/>
          <w:szCs w:val="40"/>
        </w:rPr>
      </w:pPr>
      <w:r w:rsidRPr="007F4B24">
        <w:rPr>
          <w:rFonts w:ascii="Arial" w:hAnsi="Arial" w:cs="Arial"/>
          <w:b/>
          <w:bCs/>
          <w:color w:val="008080"/>
          <w:sz w:val="40"/>
          <w:szCs w:val="40"/>
        </w:rPr>
        <w:t>Strategic Housing Market Assessment</w:t>
      </w: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Pr="007F4B24" w:rsidRDefault="003A6F13">
      <w:pPr>
        <w:rPr>
          <w:rFonts w:cs="Arial"/>
        </w:rPr>
      </w:pPr>
    </w:p>
    <w:p w:rsidR="003A6F13" w:rsidRDefault="0057490F">
      <w:pPr>
        <w:rPr>
          <w:rFonts w:cs="Arial"/>
          <w:b/>
          <w:color w:val="008080"/>
          <w:sz w:val="32"/>
          <w:szCs w:val="32"/>
        </w:rPr>
      </w:pPr>
      <w:r>
        <w:rPr>
          <w:rFonts w:cs="Arial"/>
          <w:b/>
          <w:color w:val="008080"/>
          <w:sz w:val="32"/>
          <w:szCs w:val="32"/>
        </w:rPr>
        <w:t>Final</w:t>
      </w:r>
      <w:r w:rsidR="001876A2">
        <w:rPr>
          <w:rFonts w:cs="Arial"/>
          <w:b/>
          <w:color w:val="008080"/>
          <w:sz w:val="32"/>
          <w:szCs w:val="32"/>
        </w:rPr>
        <w:t xml:space="preserve"> Report</w:t>
      </w:r>
      <w:r w:rsidR="003A6F13" w:rsidRPr="007F4B24">
        <w:rPr>
          <w:rFonts w:cs="Arial"/>
          <w:b/>
          <w:color w:val="008080"/>
          <w:sz w:val="32"/>
          <w:szCs w:val="32"/>
        </w:rPr>
        <w:t xml:space="preserve"> </w:t>
      </w:r>
      <w:r w:rsidR="0083115A">
        <w:rPr>
          <w:rFonts w:cs="Arial"/>
          <w:b/>
          <w:color w:val="008080"/>
          <w:sz w:val="32"/>
          <w:szCs w:val="32"/>
        </w:rPr>
        <w:t xml:space="preserve">for </w:t>
      </w:r>
      <w:r w:rsidR="005919ED">
        <w:rPr>
          <w:rFonts w:cs="Arial"/>
          <w:b/>
          <w:color w:val="008080"/>
          <w:sz w:val="32"/>
          <w:szCs w:val="32"/>
        </w:rPr>
        <w:t>Durham County Council</w:t>
      </w:r>
      <w:r w:rsidR="004A3F13">
        <w:rPr>
          <w:rFonts w:cs="Arial"/>
          <w:b/>
          <w:color w:val="008080"/>
          <w:sz w:val="32"/>
          <w:szCs w:val="32"/>
        </w:rPr>
        <w:t xml:space="preserve"> </w:t>
      </w:r>
    </w:p>
    <w:p w:rsidR="0057490F" w:rsidRPr="007F4B24" w:rsidRDefault="007C0D8D">
      <w:pPr>
        <w:rPr>
          <w:rFonts w:cs="Arial"/>
          <w:b/>
          <w:color w:val="008080"/>
          <w:sz w:val="32"/>
          <w:szCs w:val="32"/>
        </w:rPr>
      </w:pPr>
      <w:r>
        <w:rPr>
          <w:rFonts w:cs="Arial"/>
          <w:b/>
          <w:color w:val="008080"/>
          <w:sz w:val="32"/>
          <w:szCs w:val="32"/>
        </w:rPr>
        <w:t>July</w:t>
      </w:r>
      <w:r w:rsidR="00DC2617">
        <w:rPr>
          <w:rFonts w:cs="Arial"/>
          <w:b/>
          <w:color w:val="008080"/>
          <w:sz w:val="32"/>
          <w:szCs w:val="32"/>
        </w:rPr>
        <w:t xml:space="preserve"> 2013</w:t>
      </w:r>
    </w:p>
    <w:p w:rsidR="004A3F13" w:rsidRDefault="004A3F13"/>
    <w:p w:rsidR="004A3F13" w:rsidRDefault="004A3F13"/>
    <w:p w:rsidR="00752BD1" w:rsidRDefault="00752BD1"/>
    <w:p w:rsidR="00752BD1" w:rsidRDefault="00752BD1"/>
    <w:p w:rsidR="004A3F13" w:rsidRDefault="004A3F13"/>
    <w:p w:rsidR="004A3F13" w:rsidRDefault="004A3F13"/>
    <w:p w:rsidR="0083115A" w:rsidRDefault="0083115A"/>
    <w:p w:rsidR="0083115A" w:rsidRDefault="0083115A"/>
    <w:p w:rsidR="003A6F13" w:rsidRDefault="003A6F13"/>
    <w:p w:rsidR="003A6F13" w:rsidRDefault="003A6F13"/>
    <w:p w:rsidR="003A6F13" w:rsidRDefault="003A6F13"/>
    <w:p w:rsidR="003A6F13" w:rsidRDefault="00DC2617">
      <w:pPr>
        <w:pStyle w:val="Header"/>
        <w:tabs>
          <w:tab w:val="clear" w:pos="4153"/>
          <w:tab w:val="clear" w:pos="8306"/>
        </w:tabs>
      </w:pPr>
      <w:r>
        <w:rPr>
          <w:noProof/>
          <w:lang w:eastAsia="en-GB"/>
        </w:rPr>
        <w:drawing>
          <wp:anchor distT="0" distB="0" distL="114300" distR="114300" simplePos="0" relativeHeight="251658240" behindDoc="1" locked="0" layoutInCell="1" allowOverlap="1">
            <wp:simplePos x="0" y="0"/>
            <wp:positionH relativeFrom="column">
              <wp:posOffset>-28575</wp:posOffset>
            </wp:positionH>
            <wp:positionV relativeFrom="paragraph">
              <wp:posOffset>31115</wp:posOffset>
            </wp:positionV>
            <wp:extent cx="1601470" cy="1167130"/>
            <wp:effectExtent l="19050" t="0" r="0" b="0"/>
            <wp:wrapTight wrapText="bothSides">
              <wp:wrapPolygon edited="0">
                <wp:start x="-257" y="0"/>
                <wp:lineTo x="-257" y="21153"/>
                <wp:lineTo x="21583" y="21153"/>
                <wp:lineTo x="21583" y="0"/>
                <wp:lineTo x="-257" y="0"/>
              </wp:wrapPolygon>
            </wp:wrapTight>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srcRect/>
                    <a:stretch>
                      <a:fillRect/>
                    </a:stretch>
                  </pic:blipFill>
                  <pic:spPr bwMode="auto">
                    <a:xfrm>
                      <a:off x="0" y="0"/>
                      <a:ext cx="1601470" cy="1167130"/>
                    </a:xfrm>
                    <a:prstGeom prst="rect">
                      <a:avLst/>
                    </a:prstGeom>
                    <a:noFill/>
                  </pic:spPr>
                </pic:pic>
              </a:graphicData>
            </a:graphic>
          </wp:anchor>
        </w:drawing>
      </w:r>
    </w:p>
    <w:p w:rsidR="003A6F13" w:rsidRDefault="003A6F13"/>
    <w:p w:rsidR="0016579F" w:rsidRDefault="0016579F"/>
    <w:p w:rsidR="0016579F" w:rsidRDefault="0016579F"/>
    <w:p w:rsidR="001D7565" w:rsidRDefault="001D7565">
      <w:pPr>
        <w:rPr>
          <w:b/>
          <w:color w:val="008080"/>
          <w:sz w:val="28"/>
          <w:szCs w:val="28"/>
        </w:rPr>
      </w:pPr>
    </w:p>
    <w:p w:rsidR="0083115A" w:rsidRDefault="0083115A">
      <w:pPr>
        <w:rPr>
          <w:b/>
          <w:color w:val="008080"/>
          <w:sz w:val="28"/>
          <w:szCs w:val="28"/>
        </w:rPr>
      </w:pPr>
    </w:p>
    <w:p w:rsidR="0083115A" w:rsidRDefault="0083115A">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752BD1" w:rsidRDefault="00752BD1">
      <w:pPr>
        <w:rPr>
          <w:b/>
          <w:color w:val="008080"/>
          <w:sz w:val="28"/>
          <w:szCs w:val="28"/>
        </w:rPr>
      </w:pPr>
    </w:p>
    <w:p w:rsidR="003A6F13" w:rsidRDefault="003A6F13">
      <w:pPr>
        <w:rPr>
          <w:b/>
          <w:color w:val="008080"/>
          <w:sz w:val="28"/>
          <w:szCs w:val="28"/>
        </w:rPr>
      </w:pPr>
      <w:r>
        <w:rPr>
          <w:b/>
          <w:color w:val="008080"/>
          <w:sz w:val="28"/>
          <w:szCs w:val="28"/>
        </w:rPr>
        <w:t>Main Contact: Michael Bullock</w:t>
      </w:r>
    </w:p>
    <w:p w:rsidR="004A3F13" w:rsidRDefault="004A3F13">
      <w:pPr>
        <w:spacing w:before="0" w:after="0"/>
        <w:jc w:val="both"/>
        <w:rPr>
          <w:rFonts w:cs="Arial"/>
          <w:color w:val="008080"/>
          <w:sz w:val="28"/>
          <w:szCs w:val="28"/>
        </w:rPr>
      </w:pPr>
    </w:p>
    <w:p w:rsidR="004A3F13" w:rsidRDefault="004A3F13">
      <w:pPr>
        <w:spacing w:before="0" w:after="0"/>
        <w:jc w:val="both"/>
        <w:rPr>
          <w:rFonts w:cs="Arial"/>
          <w:color w:val="008080"/>
          <w:sz w:val="28"/>
          <w:szCs w:val="28"/>
        </w:rPr>
      </w:pPr>
    </w:p>
    <w:p w:rsidR="004A3F13" w:rsidRDefault="004A3F13">
      <w:pPr>
        <w:spacing w:before="0" w:after="0"/>
        <w:jc w:val="both"/>
        <w:rPr>
          <w:rFonts w:cs="Arial"/>
          <w:color w:val="008080"/>
          <w:sz w:val="28"/>
          <w:szCs w:val="28"/>
        </w:rPr>
      </w:pPr>
    </w:p>
    <w:p w:rsidR="003A6F13" w:rsidRDefault="003A6F13">
      <w:pPr>
        <w:spacing w:before="0" w:after="0"/>
        <w:jc w:val="both"/>
        <w:rPr>
          <w:rFonts w:cs="Arial"/>
          <w:color w:val="008080"/>
          <w:sz w:val="28"/>
          <w:szCs w:val="28"/>
        </w:rPr>
      </w:pPr>
      <w:r>
        <w:rPr>
          <w:rFonts w:cs="Arial"/>
          <w:color w:val="008080"/>
          <w:sz w:val="28"/>
          <w:szCs w:val="28"/>
        </w:rPr>
        <w:t>arc</w:t>
      </w:r>
      <w:r>
        <w:rPr>
          <w:rFonts w:cs="Arial"/>
          <w:color w:val="008080"/>
          <w:sz w:val="28"/>
          <w:szCs w:val="28"/>
          <w:vertAlign w:val="superscript"/>
        </w:rPr>
        <w:t xml:space="preserve">4 </w:t>
      </w:r>
      <w:r>
        <w:rPr>
          <w:rFonts w:cs="Arial"/>
          <w:color w:val="008080"/>
          <w:sz w:val="28"/>
          <w:szCs w:val="28"/>
        </w:rPr>
        <w:t>Ltd</w:t>
      </w:r>
    </w:p>
    <w:p w:rsidR="003A6F13" w:rsidRDefault="003A6F13">
      <w:pPr>
        <w:spacing w:before="0" w:after="0"/>
        <w:jc w:val="both"/>
        <w:rPr>
          <w:rFonts w:cs="Arial"/>
          <w:color w:val="008080"/>
          <w:sz w:val="22"/>
          <w:szCs w:val="22"/>
        </w:rPr>
      </w:pPr>
      <w:r>
        <w:rPr>
          <w:rFonts w:cs="Arial"/>
          <w:color w:val="008080"/>
          <w:sz w:val="22"/>
          <w:szCs w:val="22"/>
        </w:rPr>
        <w:t>T:  0191 386 0026</w:t>
      </w:r>
    </w:p>
    <w:p w:rsidR="003A6F13" w:rsidRDefault="001876A2">
      <w:pPr>
        <w:spacing w:before="0" w:after="0"/>
        <w:jc w:val="both"/>
        <w:rPr>
          <w:rFonts w:cs="Arial"/>
          <w:color w:val="008080"/>
          <w:sz w:val="22"/>
          <w:szCs w:val="22"/>
        </w:rPr>
      </w:pPr>
      <w:r>
        <w:rPr>
          <w:rFonts w:cs="Arial"/>
          <w:color w:val="008080"/>
          <w:sz w:val="22"/>
          <w:szCs w:val="22"/>
        </w:rPr>
        <w:t>F:  07092 158 162</w:t>
      </w:r>
    </w:p>
    <w:p w:rsidR="003A6F13" w:rsidRDefault="003A6F13">
      <w:pPr>
        <w:spacing w:before="0" w:after="0"/>
        <w:jc w:val="both"/>
        <w:rPr>
          <w:rFonts w:cs="Arial"/>
          <w:color w:val="008080"/>
          <w:sz w:val="22"/>
          <w:szCs w:val="22"/>
        </w:rPr>
      </w:pPr>
      <w:r>
        <w:rPr>
          <w:rFonts w:cs="Arial"/>
          <w:color w:val="008080"/>
          <w:sz w:val="22"/>
          <w:szCs w:val="22"/>
        </w:rPr>
        <w:t xml:space="preserve">Email:  </w:t>
      </w:r>
      <w:hyperlink r:id="rId9" w:history="1">
        <w:r>
          <w:rPr>
            <w:rStyle w:val="Hyperlink"/>
            <w:rFonts w:cs="Arial"/>
            <w:sz w:val="22"/>
          </w:rPr>
          <w:t>michael.bullock@arc4.co.uk</w:t>
        </w:r>
      </w:hyperlink>
      <w:r>
        <w:rPr>
          <w:rFonts w:cs="Arial"/>
          <w:color w:val="008080"/>
          <w:sz w:val="22"/>
          <w:szCs w:val="22"/>
        </w:rPr>
        <w:t xml:space="preserve">  </w:t>
      </w:r>
    </w:p>
    <w:p w:rsidR="003A6F13" w:rsidRDefault="003A6F13">
      <w:pPr>
        <w:spacing w:before="0" w:after="0"/>
        <w:jc w:val="both"/>
        <w:rPr>
          <w:rFonts w:cs="Arial"/>
          <w:bCs/>
          <w:color w:val="008080"/>
          <w:sz w:val="22"/>
          <w:szCs w:val="22"/>
        </w:rPr>
      </w:pPr>
      <w:r>
        <w:rPr>
          <w:rFonts w:cs="Arial"/>
          <w:bCs/>
          <w:color w:val="008080"/>
          <w:sz w:val="22"/>
          <w:szCs w:val="22"/>
        </w:rPr>
        <w:t xml:space="preserve">Website:  </w:t>
      </w:r>
      <w:hyperlink r:id="rId10" w:history="1">
        <w:r>
          <w:rPr>
            <w:rFonts w:cs="Arial"/>
            <w:bCs/>
            <w:color w:val="008080"/>
            <w:sz w:val="22"/>
            <w:u w:val="single"/>
          </w:rPr>
          <w:t>www.arc4.co.uk</w:t>
        </w:r>
      </w:hyperlink>
      <w:r>
        <w:rPr>
          <w:rFonts w:cs="Arial"/>
          <w:bCs/>
          <w:color w:val="008080"/>
          <w:sz w:val="22"/>
          <w:szCs w:val="22"/>
        </w:rPr>
        <w:t xml:space="preserve"> </w:t>
      </w:r>
    </w:p>
    <w:p w:rsidR="003A6F13" w:rsidRDefault="003A6F13">
      <w:pPr>
        <w:spacing w:before="0" w:after="0"/>
        <w:jc w:val="both"/>
        <w:rPr>
          <w:rFonts w:cs="Arial"/>
          <w:bCs/>
          <w:color w:val="008080"/>
          <w:sz w:val="22"/>
          <w:szCs w:val="22"/>
        </w:rPr>
      </w:pPr>
    </w:p>
    <w:p w:rsidR="003A6F13" w:rsidRDefault="003A6F13">
      <w:pPr>
        <w:spacing w:before="0" w:after="0"/>
        <w:jc w:val="both"/>
        <w:rPr>
          <w:rFonts w:cs="Arial"/>
          <w:bCs/>
          <w:color w:val="008080"/>
          <w:sz w:val="22"/>
          <w:szCs w:val="22"/>
        </w:rPr>
      </w:pPr>
    </w:p>
    <w:p w:rsidR="003A6F13" w:rsidRDefault="003A6F13">
      <w:pPr>
        <w:jc w:val="both"/>
        <w:rPr>
          <w:sz w:val="22"/>
        </w:rPr>
      </w:pPr>
    </w:p>
    <w:p w:rsidR="00C752D0" w:rsidRDefault="00C752D0">
      <w:pPr>
        <w:jc w:val="both"/>
        <w:rPr>
          <w:sz w:val="22"/>
        </w:rPr>
      </w:pPr>
    </w:p>
    <w:p w:rsidR="003A6F13" w:rsidRDefault="003A6F13"/>
    <w:p w:rsidR="003A6F13" w:rsidRDefault="003A6F13">
      <w:r>
        <w:rPr>
          <w:b/>
          <w:color w:val="008080"/>
        </w:rPr>
        <w:t>Publishing</w:t>
      </w:r>
      <w:r>
        <w:rPr>
          <w:b/>
          <w:color w:val="000080"/>
        </w:rPr>
        <w:t xml:space="preserve"> </w:t>
      </w:r>
      <w:r>
        <w:rPr>
          <w:b/>
          <w:color w:val="008080"/>
        </w:rPr>
        <w:t>Date</w:t>
      </w:r>
      <w:r>
        <w:rPr>
          <w:color w:val="008080"/>
        </w:rPr>
        <w:t xml:space="preserve">: </w:t>
      </w:r>
      <w:r w:rsidR="007C0D8D">
        <w:rPr>
          <w:color w:val="008080"/>
        </w:rPr>
        <w:t xml:space="preserve">July </w:t>
      </w:r>
      <w:r w:rsidR="00DC2617">
        <w:rPr>
          <w:color w:val="008080"/>
        </w:rPr>
        <w:t>2013</w:t>
      </w:r>
    </w:p>
    <w:p w:rsidR="003A6F13" w:rsidRDefault="003A6F13">
      <w:pPr>
        <w:rPr>
          <w:color w:val="008080"/>
        </w:rPr>
      </w:pPr>
      <w:r>
        <w:br w:type="page"/>
      </w:r>
      <w:r>
        <w:rPr>
          <w:color w:val="008080"/>
        </w:rPr>
        <w:lastRenderedPageBreak/>
        <w:t>TABLE OF CONTENTS</w:t>
      </w:r>
    </w:p>
    <w:p w:rsidR="003A6F13" w:rsidRDefault="003A6F13">
      <w:pPr>
        <w:ind w:right="-422"/>
      </w:pPr>
    </w:p>
    <w:bookmarkStart w:id="1" w:name="_Toc99359406"/>
    <w:p w:rsidR="00CA67D2" w:rsidRDefault="0013742C">
      <w:pPr>
        <w:pStyle w:val="TOC1"/>
        <w:tabs>
          <w:tab w:val="right" w:leader="dot" w:pos="9288"/>
        </w:tabs>
        <w:rPr>
          <w:rFonts w:ascii="Calibri" w:hAnsi="Calibri" w:cs="Times New Roman"/>
          <w:b w:val="0"/>
          <w:bCs w:val="0"/>
          <w:noProof/>
          <w:sz w:val="22"/>
          <w:szCs w:val="22"/>
          <w:lang w:eastAsia="en-GB"/>
        </w:rPr>
      </w:pPr>
      <w:r>
        <w:fldChar w:fldCharType="begin"/>
      </w:r>
      <w:r w:rsidR="003A6F13">
        <w:instrText xml:space="preserve"> TOC \o "2-2" \h \z \t "Heading 1,1" </w:instrText>
      </w:r>
      <w:r>
        <w:fldChar w:fldCharType="separate"/>
      </w:r>
      <w:hyperlink w:anchor="_Toc333507732" w:history="1">
        <w:r w:rsidR="00CA67D2" w:rsidRPr="00CD7612">
          <w:rPr>
            <w:rStyle w:val="Hyperlink"/>
            <w:noProof/>
          </w:rPr>
          <w:t>Executive Summary</w:t>
        </w:r>
        <w:r w:rsidR="00CA67D2">
          <w:rPr>
            <w:noProof/>
            <w:webHidden/>
          </w:rPr>
          <w:tab/>
        </w:r>
        <w:r>
          <w:rPr>
            <w:noProof/>
            <w:webHidden/>
          </w:rPr>
          <w:fldChar w:fldCharType="begin"/>
        </w:r>
        <w:r w:rsidR="00CA67D2">
          <w:rPr>
            <w:noProof/>
            <w:webHidden/>
          </w:rPr>
          <w:instrText xml:space="preserve"> PAGEREF _Toc333507732 \h </w:instrText>
        </w:r>
        <w:r>
          <w:rPr>
            <w:noProof/>
            <w:webHidden/>
          </w:rPr>
        </w:r>
        <w:r>
          <w:rPr>
            <w:noProof/>
            <w:webHidden/>
          </w:rPr>
          <w:fldChar w:fldCharType="separate"/>
        </w:r>
        <w:r w:rsidR="00153CCA">
          <w:rPr>
            <w:noProof/>
            <w:webHidden/>
          </w:rPr>
          <w:t>5</w:t>
        </w:r>
        <w:r>
          <w:rPr>
            <w:noProof/>
            <w:webHidden/>
          </w:rPr>
          <w:fldChar w:fldCharType="end"/>
        </w:r>
      </w:hyperlink>
    </w:p>
    <w:p w:rsidR="00CA67D2" w:rsidRDefault="00034A6F">
      <w:pPr>
        <w:pStyle w:val="TOC1"/>
        <w:tabs>
          <w:tab w:val="left" w:pos="720"/>
          <w:tab w:val="right" w:leader="dot" w:pos="9288"/>
        </w:tabs>
        <w:rPr>
          <w:rFonts w:ascii="Calibri" w:hAnsi="Calibri" w:cs="Times New Roman"/>
          <w:b w:val="0"/>
          <w:bCs w:val="0"/>
          <w:noProof/>
          <w:sz w:val="22"/>
          <w:szCs w:val="22"/>
          <w:lang w:eastAsia="en-GB"/>
        </w:rPr>
      </w:pPr>
      <w:hyperlink w:anchor="_Toc333507733" w:history="1">
        <w:r w:rsidR="00CA67D2" w:rsidRPr="00CD7612">
          <w:rPr>
            <w:rStyle w:val="Hyperlink"/>
            <w:noProof/>
          </w:rPr>
          <w:t>1.</w:t>
        </w:r>
        <w:r w:rsidR="00CA67D2">
          <w:rPr>
            <w:rFonts w:ascii="Calibri" w:hAnsi="Calibri" w:cs="Times New Roman"/>
            <w:b w:val="0"/>
            <w:bCs w:val="0"/>
            <w:noProof/>
            <w:sz w:val="22"/>
            <w:szCs w:val="22"/>
            <w:lang w:eastAsia="en-GB"/>
          </w:rPr>
          <w:tab/>
        </w:r>
        <w:r w:rsidR="00CA67D2" w:rsidRPr="00CD7612">
          <w:rPr>
            <w:rStyle w:val="Hyperlink"/>
            <w:noProof/>
          </w:rPr>
          <w:t>Introduction</w:t>
        </w:r>
        <w:r w:rsidR="00CA67D2">
          <w:rPr>
            <w:noProof/>
            <w:webHidden/>
          </w:rPr>
          <w:tab/>
        </w:r>
        <w:r w:rsidR="0013742C">
          <w:rPr>
            <w:noProof/>
            <w:webHidden/>
          </w:rPr>
          <w:fldChar w:fldCharType="begin"/>
        </w:r>
        <w:r w:rsidR="00CA67D2">
          <w:rPr>
            <w:noProof/>
            <w:webHidden/>
          </w:rPr>
          <w:instrText xml:space="preserve"> PAGEREF _Toc333507733 \h </w:instrText>
        </w:r>
        <w:r w:rsidR="0013742C">
          <w:rPr>
            <w:noProof/>
            <w:webHidden/>
          </w:rPr>
        </w:r>
        <w:r w:rsidR="0013742C">
          <w:rPr>
            <w:noProof/>
            <w:webHidden/>
          </w:rPr>
          <w:fldChar w:fldCharType="separate"/>
        </w:r>
        <w:r w:rsidR="00153CCA">
          <w:rPr>
            <w:noProof/>
            <w:webHidden/>
          </w:rPr>
          <w:t>10</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34" w:history="1">
        <w:r w:rsidR="00CA67D2" w:rsidRPr="00CD7612">
          <w:rPr>
            <w:rStyle w:val="Hyperlink"/>
            <w:noProof/>
          </w:rPr>
          <w:t>Background and objectives</w:t>
        </w:r>
        <w:r w:rsidR="00CA67D2">
          <w:rPr>
            <w:noProof/>
            <w:webHidden/>
          </w:rPr>
          <w:tab/>
        </w:r>
        <w:r w:rsidR="0013742C">
          <w:rPr>
            <w:noProof/>
            <w:webHidden/>
          </w:rPr>
          <w:fldChar w:fldCharType="begin"/>
        </w:r>
        <w:r w:rsidR="00CA67D2">
          <w:rPr>
            <w:noProof/>
            <w:webHidden/>
          </w:rPr>
          <w:instrText xml:space="preserve"> PAGEREF _Toc333507734 \h </w:instrText>
        </w:r>
        <w:r w:rsidR="0013742C">
          <w:rPr>
            <w:noProof/>
            <w:webHidden/>
          </w:rPr>
        </w:r>
        <w:r w:rsidR="0013742C">
          <w:rPr>
            <w:noProof/>
            <w:webHidden/>
          </w:rPr>
          <w:fldChar w:fldCharType="separate"/>
        </w:r>
        <w:r w:rsidR="00153CCA">
          <w:rPr>
            <w:noProof/>
            <w:webHidden/>
          </w:rPr>
          <w:t>10</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35" w:history="1">
        <w:r w:rsidR="00CA67D2" w:rsidRPr="00CD7612">
          <w:rPr>
            <w:rStyle w:val="Hyperlink"/>
            <w:noProof/>
          </w:rPr>
          <w:t>Definitions</w:t>
        </w:r>
        <w:r w:rsidR="00CA67D2">
          <w:rPr>
            <w:noProof/>
            <w:webHidden/>
          </w:rPr>
          <w:tab/>
        </w:r>
        <w:r w:rsidR="0013742C">
          <w:rPr>
            <w:noProof/>
            <w:webHidden/>
          </w:rPr>
          <w:fldChar w:fldCharType="begin"/>
        </w:r>
        <w:r w:rsidR="00CA67D2">
          <w:rPr>
            <w:noProof/>
            <w:webHidden/>
          </w:rPr>
          <w:instrText xml:space="preserve"> PAGEREF _Toc333507735 \h </w:instrText>
        </w:r>
        <w:r w:rsidR="0013742C">
          <w:rPr>
            <w:noProof/>
            <w:webHidden/>
          </w:rPr>
        </w:r>
        <w:r w:rsidR="0013742C">
          <w:rPr>
            <w:noProof/>
            <w:webHidden/>
          </w:rPr>
          <w:fldChar w:fldCharType="separate"/>
        </w:r>
        <w:r w:rsidR="00153CCA">
          <w:rPr>
            <w:noProof/>
            <w:webHidden/>
          </w:rPr>
          <w:t>10</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36" w:history="1">
        <w:r w:rsidR="00CA67D2" w:rsidRPr="00CD7612">
          <w:rPr>
            <w:rStyle w:val="Hyperlink"/>
            <w:noProof/>
          </w:rPr>
          <w:t>SHMA Guidance</w:t>
        </w:r>
        <w:r w:rsidR="00CA67D2">
          <w:rPr>
            <w:noProof/>
            <w:webHidden/>
          </w:rPr>
          <w:tab/>
        </w:r>
        <w:r w:rsidR="0013742C">
          <w:rPr>
            <w:noProof/>
            <w:webHidden/>
          </w:rPr>
          <w:fldChar w:fldCharType="begin"/>
        </w:r>
        <w:r w:rsidR="00CA67D2">
          <w:rPr>
            <w:noProof/>
            <w:webHidden/>
          </w:rPr>
          <w:instrText xml:space="preserve"> PAGEREF _Toc333507736 \h </w:instrText>
        </w:r>
        <w:r w:rsidR="0013742C">
          <w:rPr>
            <w:noProof/>
            <w:webHidden/>
          </w:rPr>
        </w:r>
        <w:r w:rsidR="0013742C">
          <w:rPr>
            <w:noProof/>
            <w:webHidden/>
          </w:rPr>
          <w:fldChar w:fldCharType="separate"/>
        </w:r>
        <w:r w:rsidR="00153CCA">
          <w:rPr>
            <w:noProof/>
            <w:webHidden/>
          </w:rPr>
          <w:t>11</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37" w:history="1">
        <w:r w:rsidR="00CA67D2" w:rsidRPr="00CD7612">
          <w:rPr>
            <w:rStyle w:val="Hyperlink"/>
            <w:noProof/>
          </w:rPr>
          <w:t>NPPF requirements</w:t>
        </w:r>
        <w:r w:rsidR="00CA67D2">
          <w:rPr>
            <w:noProof/>
            <w:webHidden/>
          </w:rPr>
          <w:tab/>
        </w:r>
        <w:r w:rsidR="0013742C">
          <w:rPr>
            <w:noProof/>
            <w:webHidden/>
          </w:rPr>
          <w:fldChar w:fldCharType="begin"/>
        </w:r>
        <w:r w:rsidR="00CA67D2">
          <w:rPr>
            <w:noProof/>
            <w:webHidden/>
          </w:rPr>
          <w:instrText xml:space="preserve"> PAGEREF _Toc333507737 \h </w:instrText>
        </w:r>
        <w:r w:rsidR="0013742C">
          <w:rPr>
            <w:noProof/>
            <w:webHidden/>
          </w:rPr>
        </w:r>
        <w:r w:rsidR="0013742C">
          <w:rPr>
            <w:noProof/>
            <w:webHidden/>
          </w:rPr>
          <w:fldChar w:fldCharType="separate"/>
        </w:r>
        <w:r w:rsidR="00153CCA">
          <w:rPr>
            <w:noProof/>
            <w:webHidden/>
          </w:rPr>
          <w:t>13</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38" w:history="1">
        <w:r w:rsidR="00CA67D2" w:rsidRPr="00CD7612">
          <w:rPr>
            <w:rStyle w:val="Hyperlink"/>
            <w:noProof/>
          </w:rPr>
          <w:t>Geography</w:t>
        </w:r>
        <w:r w:rsidR="00CA67D2">
          <w:rPr>
            <w:noProof/>
            <w:webHidden/>
          </w:rPr>
          <w:tab/>
        </w:r>
        <w:r w:rsidR="0013742C">
          <w:rPr>
            <w:noProof/>
            <w:webHidden/>
          </w:rPr>
          <w:fldChar w:fldCharType="begin"/>
        </w:r>
        <w:r w:rsidR="00CA67D2">
          <w:rPr>
            <w:noProof/>
            <w:webHidden/>
          </w:rPr>
          <w:instrText xml:space="preserve"> PAGEREF _Toc333507738 \h </w:instrText>
        </w:r>
        <w:r w:rsidR="0013742C">
          <w:rPr>
            <w:noProof/>
            <w:webHidden/>
          </w:rPr>
        </w:r>
        <w:r w:rsidR="0013742C">
          <w:rPr>
            <w:noProof/>
            <w:webHidden/>
          </w:rPr>
          <w:fldChar w:fldCharType="separate"/>
        </w:r>
        <w:r w:rsidR="00153CCA">
          <w:rPr>
            <w:noProof/>
            <w:webHidden/>
          </w:rPr>
          <w:t>13</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39" w:history="1">
        <w:r w:rsidR="00CA67D2" w:rsidRPr="00CD7612">
          <w:rPr>
            <w:rStyle w:val="Hyperlink"/>
            <w:noProof/>
          </w:rPr>
          <w:t>Research methodology</w:t>
        </w:r>
        <w:r w:rsidR="00CA67D2">
          <w:rPr>
            <w:noProof/>
            <w:webHidden/>
          </w:rPr>
          <w:tab/>
        </w:r>
        <w:r w:rsidR="0013742C">
          <w:rPr>
            <w:noProof/>
            <w:webHidden/>
          </w:rPr>
          <w:fldChar w:fldCharType="begin"/>
        </w:r>
        <w:r w:rsidR="00CA67D2">
          <w:rPr>
            <w:noProof/>
            <w:webHidden/>
          </w:rPr>
          <w:instrText xml:space="preserve"> PAGEREF _Toc333507739 \h </w:instrText>
        </w:r>
        <w:r w:rsidR="0013742C">
          <w:rPr>
            <w:noProof/>
            <w:webHidden/>
          </w:rPr>
        </w:r>
        <w:r w:rsidR="0013742C">
          <w:rPr>
            <w:noProof/>
            <w:webHidden/>
          </w:rPr>
          <w:fldChar w:fldCharType="separate"/>
        </w:r>
        <w:r w:rsidR="00153CCA">
          <w:rPr>
            <w:noProof/>
            <w:webHidden/>
          </w:rPr>
          <w:t>15</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0" w:history="1">
        <w:r w:rsidR="00CA67D2" w:rsidRPr="00CD7612">
          <w:rPr>
            <w:rStyle w:val="Hyperlink"/>
            <w:noProof/>
          </w:rPr>
          <w:t>Presentation of data</w:t>
        </w:r>
        <w:r w:rsidR="00CA67D2">
          <w:rPr>
            <w:noProof/>
            <w:webHidden/>
          </w:rPr>
          <w:tab/>
        </w:r>
        <w:r w:rsidR="0013742C">
          <w:rPr>
            <w:noProof/>
            <w:webHidden/>
          </w:rPr>
          <w:fldChar w:fldCharType="begin"/>
        </w:r>
        <w:r w:rsidR="00CA67D2">
          <w:rPr>
            <w:noProof/>
            <w:webHidden/>
          </w:rPr>
          <w:instrText xml:space="preserve"> PAGEREF _Toc333507740 \h </w:instrText>
        </w:r>
        <w:r w:rsidR="0013742C">
          <w:rPr>
            <w:noProof/>
            <w:webHidden/>
          </w:rPr>
        </w:r>
        <w:r w:rsidR="0013742C">
          <w:rPr>
            <w:noProof/>
            <w:webHidden/>
          </w:rPr>
          <w:fldChar w:fldCharType="separate"/>
        </w:r>
        <w:r w:rsidR="00153CCA">
          <w:rPr>
            <w:noProof/>
            <w:webHidden/>
          </w:rPr>
          <w:t>16</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1" w:history="1">
        <w:r w:rsidR="00CA67D2" w:rsidRPr="00CD7612">
          <w:rPr>
            <w:rStyle w:val="Hyperlink"/>
            <w:noProof/>
          </w:rPr>
          <w:t>Report structure</w:t>
        </w:r>
        <w:r w:rsidR="00CA67D2">
          <w:rPr>
            <w:noProof/>
            <w:webHidden/>
          </w:rPr>
          <w:tab/>
        </w:r>
        <w:r w:rsidR="0013742C">
          <w:rPr>
            <w:noProof/>
            <w:webHidden/>
          </w:rPr>
          <w:fldChar w:fldCharType="begin"/>
        </w:r>
        <w:r w:rsidR="00CA67D2">
          <w:rPr>
            <w:noProof/>
            <w:webHidden/>
          </w:rPr>
          <w:instrText xml:space="preserve"> PAGEREF _Toc333507741 \h </w:instrText>
        </w:r>
        <w:r w:rsidR="0013742C">
          <w:rPr>
            <w:noProof/>
            <w:webHidden/>
          </w:rPr>
        </w:r>
        <w:r w:rsidR="0013742C">
          <w:rPr>
            <w:noProof/>
            <w:webHidden/>
          </w:rPr>
          <w:fldChar w:fldCharType="separate"/>
        </w:r>
        <w:r w:rsidR="00153CCA">
          <w:rPr>
            <w:noProof/>
            <w:webHidden/>
          </w:rPr>
          <w:t>17</w:t>
        </w:r>
        <w:r w:rsidR="0013742C">
          <w:rPr>
            <w:noProof/>
            <w:webHidden/>
          </w:rPr>
          <w:fldChar w:fldCharType="end"/>
        </w:r>
      </w:hyperlink>
    </w:p>
    <w:p w:rsidR="00CA67D2" w:rsidRDefault="00034A6F">
      <w:pPr>
        <w:pStyle w:val="TOC1"/>
        <w:tabs>
          <w:tab w:val="left" w:pos="720"/>
          <w:tab w:val="right" w:leader="dot" w:pos="9288"/>
        </w:tabs>
        <w:rPr>
          <w:rFonts w:ascii="Calibri" w:hAnsi="Calibri" w:cs="Times New Roman"/>
          <w:b w:val="0"/>
          <w:bCs w:val="0"/>
          <w:noProof/>
          <w:sz w:val="22"/>
          <w:szCs w:val="22"/>
          <w:lang w:eastAsia="en-GB"/>
        </w:rPr>
      </w:pPr>
      <w:hyperlink w:anchor="_Toc333507742" w:history="1">
        <w:r w:rsidR="00CA67D2" w:rsidRPr="00CD7612">
          <w:rPr>
            <w:rStyle w:val="Hyperlink"/>
            <w:noProof/>
          </w:rPr>
          <w:t>2.</w:t>
        </w:r>
        <w:r w:rsidR="00CA67D2">
          <w:rPr>
            <w:rFonts w:ascii="Calibri" w:hAnsi="Calibri" w:cs="Times New Roman"/>
            <w:b w:val="0"/>
            <w:bCs w:val="0"/>
            <w:noProof/>
            <w:sz w:val="22"/>
            <w:szCs w:val="22"/>
            <w:lang w:eastAsia="en-GB"/>
          </w:rPr>
          <w:tab/>
        </w:r>
        <w:r w:rsidR="00CA67D2" w:rsidRPr="00CD7612">
          <w:rPr>
            <w:rStyle w:val="Hyperlink"/>
            <w:noProof/>
          </w:rPr>
          <w:t>Policy and strategic review</w:t>
        </w:r>
        <w:r w:rsidR="00CA67D2">
          <w:rPr>
            <w:noProof/>
            <w:webHidden/>
          </w:rPr>
          <w:tab/>
        </w:r>
        <w:r w:rsidR="0013742C">
          <w:rPr>
            <w:noProof/>
            <w:webHidden/>
          </w:rPr>
          <w:fldChar w:fldCharType="begin"/>
        </w:r>
        <w:r w:rsidR="00CA67D2">
          <w:rPr>
            <w:noProof/>
            <w:webHidden/>
          </w:rPr>
          <w:instrText xml:space="preserve"> PAGEREF _Toc333507742 \h </w:instrText>
        </w:r>
        <w:r w:rsidR="0013742C">
          <w:rPr>
            <w:noProof/>
            <w:webHidden/>
          </w:rPr>
        </w:r>
        <w:r w:rsidR="0013742C">
          <w:rPr>
            <w:noProof/>
            <w:webHidden/>
          </w:rPr>
          <w:fldChar w:fldCharType="separate"/>
        </w:r>
        <w:r w:rsidR="00153CCA">
          <w:rPr>
            <w:noProof/>
            <w:webHidden/>
          </w:rPr>
          <w:t>18</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3" w:history="1">
        <w:r w:rsidR="00CA67D2" w:rsidRPr="00CD7612">
          <w:rPr>
            <w:rStyle w:val="Hyperlink"/>
            <w:noProof/>
          </w:rPr>
          <w:t>Introduction</w:t>
        </w:r>
        <w:r w:rsidR="00CA67D2">
          <w:rPr>
            <w:noProof/>
            <w:webHidden/>
          </w:rPr>
          <w:tab/>
        </w:r>
        <w:r w:rsidR="0013742C">
          <w:rPr>
            <w:noProof/>
            <w:webHidden/>
          </w:rPr>
          <w:fldChar w:fldCharType="begin"/>
        </w:r>
        <w:r w:rsidR="00CA67D2">
          <w:rPr>
            <w:noProof/>
            <w:webHidden/>
          </w:rPr>
          <w:instrText xml:space="preserve"> PAGEREF _Toc333507743 \h </w:instrText>
        </w:r>
        <w:r w:rsidR="0013742C">
          <w:rPr>
            <w:noProof/>
            <w:webHidden/>
          </w:rPr>
        </w:r>
        <w:r w:rsidR="0013742C">
          <w:rPr>
            <w:noProof/>
            <w:webHidden/>
          </w:rPr>
          <w:fldChar w:fldCharType="separate"/>
        </w:r>
        <w:r w:rsidR="00153CCA">
          <w:rPr>
            <w:noProof/>
            <w:webHidden/>
          </w:rPr>
          <w:t>18</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4" w:history="1">
        <w:r w:rsidR="00CA67D2" w:rsidRPr="00CD7612">
          <w:rPr>
            <w:rStyle w:val="Hyperlink"/>
            <w:noProof/>
          </w:rPr>
          <w:t>National policy</w:t>
        </w:r>
        <w:r w:rsidR="00CA67D2">
          <w:rPr>
            <w:noProof/>
            <w:webHidden/>
          </w:rPr>
          <w:tab/>
        </w:r>
        <w:r w:rsidR="0013742C">
          <w:rPr>
            <w:noProof/>
            <w:webHidden/>
          </w:rPr>
          <w:fldChar w:fldCharType="begin"/>
        </w:r>
        <w:r w:rsidR="00CA67D2">
          <w:rPr>
            <w:noProof/>
            <w:webHidden/>
          </w:rPr>
          <w:instrText xml:space="preserve"> PAGEREF _Toc333507744 \h </w:instrText>
        </w:r>
        <w:r w:rsidR="0013742C">
          <w:rPr>
            <w:noProof/>
            <w:webHidden/>
          </w:rPr>
        </w:r>
        <w:r w:rsidR="0013742C">
          <w:rPr>
            <w:noProof/>
            <w:webHidden/>
          </w:rPr>
          <w:fldChar w:fldCharType="separate"/>
        </w:r>
        <w:r w:rsidR="00153CCA">
          <w:rPr>
            <w:noProof/>
            <w:webHidden/>
          </w:rPr>
          <w:t>18</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5" w:history="1">
        <w:r w:rsidR="00CA67D2" w:rsidRPr="00CD7612">
          <w:rPr>
            <w:rStyle w:val="Hyperlink"/>
            <w:noProof/>
          </w:rPr>
          <w:t>Regional and Sub Regional Strategic Context</w:t>
        </w:r>
        <w:r w:rsidR="00CA67D2">
          <w:rPr>
            <w:noProof/>
            <w:webHidden/>
          </w:rPr>
          <w:tab/>
        </w:r>
        <w:r w:rsidR="0013742C">
          <w:rPr>
            <w:noProof/>
            <w:webHidden/>
          </w:rPr>
          <w:fldChar w:fldCharType="begin"/>
        </w:r>
        <w:r w:rsidR="00CA67D2">
          <w:rPr>
            <w:noProof/>
            <w:webHidden/>
          </w:rPr>
          <w:instrText xml:space="preserve"> PAGEREF _Toc333507745 \h </w:instrText>
        </w:r>
        <w:r w:rsidR="0013742C">
          <w:rPr>
            <w:noProof/>
            <w:webHidden/>
          </w:rPr>
        </w:r>
        <w:r w:rsidR="0013742C">
          <w:rPr>
            <w:noProof/>
            <w:webHidden/>
          </w:rPr>
          <w:fldChar w:fldCharType="separate"/>
        </w:r>
        <w:r w:rsidR="00153CCA">
          <w:rPr>
            <w:noProof/>
            <w:webHidden/>
          </w:rPr>
          <w:t>25</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6" w:history="1">
        <w:r w:rsidR="00CA67D2" w:rsidRPr="00CD7612">
          <w:rPr>
            <w:rStyle w:val="Hyperlink"/>
            <w:noProof/>
          </w:rPr>
          <w:t>Concluding comments</w:t>
        </w:r>
        <w:r w:rsidR="00CA67D2">
          <w:rPr>
            <w:noProof/>
            <w:webHidden/>
          </w:rPr>
          <w:tab/>
        </w:r>
        <w:r w:rsidR="0013742C">
          <w:rPr>
            <w:noProof/>
            <w:webHidden/>
          </w:rPr>
          <w:fldChar w:fldCharType="begin"/>
        </w:r>
        <w:r w:rsidR="00CA67D2">
          <w:rPr>
            <w:noProof/>
            <w:webHidden/>
          </w:rPr>
          <w:instrText xml:space="preserve"> PAGEREF _Toc333507746 \h </w:instrText>
        </w:r>
        <w:r w:rsidR="0013742C">
          <w:rPr>
            <w:noProof/>
            <w:webHidden/>
          </w:rPr>
        </w:r>
        <w:r w:rsidR="0013742C">
          <w:rPr>
            <w:noProof/>
            <w:webHidden/>
          </w:rPr>
          <w:fldChar w:fldCharType="separate"/>
        </w:r>
        <w:r w:rsidR="00153CCA">
          <w:rPr>
            <w:noProof/>
            <w:webHidden/>
          </w:rPr>
          <w:t>27</w:t>
        </w:r>
        <w:r w:rsidR="0013742C">
          <w:rPr>
            <w:noProof/>
            <w:webHidden/>
          </w:rPr>
          <w:fldChar w:fldCharType="end"/>
        </w:r>
      </w:hyperlink>
    </w:p>
    <w:p w:rsidR="00CA67D2" w:rsidRDefault="00034A6F">
      <w:pPr>
        <w:pStyle w:val="TOC1"/>
        <w:tabs>
          <w:tab w:val="left" w:pos="720"/>
          <w:tab w:val="right" w:leader="dot" w:pos="9288"/>
        </w:tabs>
        <w:rPr>
          <w:rFonts w:ascii="Calibri" w:hAnsi="Calibri" w:cs="Times New Roman"/>
          <w:b w:val="0"/>
          <w:bCs w:val="0"/>
          <w:noProof/>
          <w:sz w:val="22"/>
          <w:szCs w:val="22"/>
          <w:lang w:eastAsia="en-GB"/>
        </w:rPr>
      </w:pPr>
      <w:hyperlink w:anchor="_Toc333507747" w:history="1">
        <w:r w:rsidR="00CA67D2" w:rsidRPr="00CD7612">
          <w:rPr>
            <w:rStyle w:val="Hyperlink"/>
            <w:noProof/>
          </w:rPr>
          <w:t>3.</w:t>
        </w:r>
        <w:r w:rsidR="00CA67D2">
          <w:rPr>
            <w:rFonts w:ascii="Calibri" w:hAnsi="Calibri" w:cs="Times New Roman"/>
            <w:b w:val="0"/>
            <w:bCs w:val="0"/>
            <w:noProof/>
            <w:sz w:val="22"/>
            <w:szCs w:val="22"/>
            <w:lang w:eastAsia="en-GB"/>
          </w:rPr>
          <w:tab/>
        </w:r>
        <w:r w:rsidR="00CA67D2" w:rsidRPr="00CD7612">
          <w:rPr>
            <w:rStyle w:val="Hyperlink"/>
            <w:noProof/>
          </w:rPr>
          <w:t>County Durham Housing Market Context</w:t>
        </w:r>
        <w:r w:rsidR="00CA67D2">
          <w:rPr>
            <w:noProof/>
            <w:webHidden/>
          </w:rPr>
          <w:tab/>
        </w:r>
        <w:r w:rsidR="0013742C">
          <w:rPr>
            <w:noProof/>
            <w:webHidden/>
          </w:rPr>
          <w:fldChar w:fldCharType="begin"/>
        </w:r>
        <w:r w:rsidR="00CA67D2">
          <w:rPr>
            <w:noProof/>
            <w:webHidden/>
          </w:rPr>
          <w:instrText xml:space="preserve"> PAGEREF _Toc333507747 \h </w:instrText>
        </w:r>
        <w:r w:rsidR="0013742C">
          <w:rPr>
            <w:noProof/>
            <w:webHidden/>
          </w:rPr>
        </w:r>
        <w:r w:rsidR="0013742C">
          <w:rPr>
            <w:noProof/>
            <w:webHidden/>
          </w:rPr>
          <w:fldChar w:fldCharType="separate"/>
        </w:r>
        <w:r w:rsidR="00153CCA">
          <w:rPr>
            <w:noProof/>
            <w:webHidden/>
          </w:rPr>
          <w:t>29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8" w:history="1">
        <w:r w:rsidR="00CA67D2" w:rsidRPr="00CD7612">
          <w:rPr>
            <w:rStyle w:val="Hyperlink"/>
            <w:noProof/>
          </w:rPr>
          <w:t>Introduction</w:t>
        </w:r>
        <w:r w:rsidR="00CA67D2">
          <w:rPr>
            <w:noProof/>
            <w:webHidden/>
          </w:rPr>
          <w:tab/>
        </w:r>
        <w:r w:rsidR="0013742C">
          <w:rPr>
            <w:noProof/>
            <w:webHidden/>
          </w:rPr>
          <w:fldChar w:fldCharType="begin"/>
        </w:r>
        <w:r w:rsidR="00CA67D2">
          <w:rPr>
            <w:noProof/>
            <w:webHidden/>
          </w:rPr>
          <w:instrText xml:space="preserve"> PAGEREF _Toc333507748 \h </w:instrText>
        </w:r>
        <w:r w:rsidR="0013742C">
          <w:rPr>
            <w:noProof/>
            <w:webHidden/>
          </w:rPr>
        </w:r>
        <w:r w:rsidR="0013742C">
          <w:rPr>
            <w:noProof/>
            <w:webHidden/>
          </w:rPr>
          <w:fldChar w:fldCharType="separate"/>
        </w:r>
        <w:r w:rsidR="00153CCA">
          <w:rPr>
            <w:noProof/>
            <w:webHidden/>
          </w:rPr>
          <w:t>29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49" w:history="1">
        <w:r w:rsidR="00CA67D2" w:rsidRPr="00CD7612">
          <w:rPr>
            <w:rStyle w:val="Hyperlink"/>
            <w:noProof/>
          </w:rPr>
          <w:t>House prices and trends</w:t>
        </w:r>
        <w:r w:rsidR="00CA67D2">
          <w:rPr>
            <w:noProof/>
            <w:webHidden/>
          </w:rPr>
          <w:tab/>
        </w:r>
        <w:r w:rsidR="0013742C">
          <w:rPr>
            <w:noProof/>
            <w:webHidden/>
          </w:rPr>
          <w:fldChar w:fldCharType="begin"/>
        </w:r>
        <w:r w:rsidR="00CA67D2">
          <w:rPr>
            <w:noProof/>
            <w:webHidden/>
          </w:rPr>
          <w:instrText xml:space="preserve"> PAGEREF _Toc333507749 \h </w:instrText>
        </w:r>
        <w:r w:rsidR="0013742C">
          <w:rPr>
            <w:noProof/>
            <w:webHidden/>
          </w:rPr>
        </w:r>
        <w:r w:rsidR="0013742C">
          <w:rPr>
            <w:noProof/>
            <w:webHidden/>
          </w:rPr>
          <w:fldChar w:fldCharType="separate"/>
        </w:r>
        <w:r w:rsidR="00153CCA">
          <w:rPr>
            <w:noProof/>
            <w:webHidden/>
          </w:rPr>
          <w:t>29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0" w:history="1">
        <w:r w:rsidR="00CA67D2" w:rsidRPr="00CD7612">
          <w:rPr>
            <w:rStyle w:val="Hyperlink"/>
            <w:noProof/>
          </w:rPr>
          <w:t>Source: Land Registry</w:t>
        </w:r>
        <w:r w:rsidR="00CA67D2">
          <w:rPr>
            <w:noProof/>
            <w:webHidden/>
          </w:rPr>
          <w:tab/>
        </w:r>
        <w:r w:rsidR="0013742C">
          <w:rPr>
            <w:noProof/>
            <w:webHidden/>
          </w:rPr>
          <w:fldChar w:fldCharType="begin"/>
        </w:r>
        <w:r w:rsidR="00CA67D2">
          <w:rPr>
            <w:noProof/>
            <w:webHidden/>
          </w:rPr>
          <w:instrText xml:space="preserve"> PAGEREF _Toc333507750 \h </w:instrText>
        </w:r>
        <w:r w:rsidR="0013742C">
          <w:rPr>
            <w:noProof/>
            <w:webHidden/>
          </w:rPr>
        </w:r>
        <w:r w:rsidR="0013742C">
          <w:rPr>
            <w:noProof/>
            <w:webHidden/>
          </w:rPr>
          <w:fldChar w:fldCharType="separate"/>
        </w:r>
        <w:r w:rsidR="00153CCA">
          <w:rPr>
            <w:noProof/>
            <w:webHidden/>
          </w:rPr>
          <w:t>32</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1" w:history="1">
        <w:r w:rsidR="00CA67D2" w:rsidRPr="00CD7612">
          <w:rPr>
            <w:rStyle w:val="Hyperlink"/>
            <w:noProof/>
          </w:rPr>
          <w:t>Relative affordability</w:t>
        </w:r>
        <w:r w:rsidR="00CA67D2">
          <w:rPr>
            <w:noProof/>
            <w:webHidden/>
          </w:rPr>
          <w:tab/>
        </w:r>
        <w:r w:rsidR="0013742C">
          <w:rPr>
            <w:noProof/>
            <w:webHidden/>
          </w:rPr>
          <w:fldChar w:fldCharType="begin"/>
        </w:r>
        <w:r w:rsidR="00CA67D2">
          <w:rPr>
            <w:noProof/>
            <w:webHidden/>
          </w:rPr>
          <w:instrText xml:space="preserve"> PAGEREF _Toc333507751 \h </w:instrText>
        </w:r>
        <w:r w:rsidR="0013742C">
          <w:rPr>
            <w:noProof/>
            <w:webHidden/>
          </w:rPr>
        </w:r>
        <w:r w:rsidR="0013742C">
          <w:rPr>
            <w:noProof/>
            <w:webHidden/>
          </w:rPr>
          <w:fldChar w:fldCharType="separate"/>
        </w:r>
        <w:r w:rsidR="00153CCA">
          <w:rPr>
            <w:noProof/>
            <w:webHidden/>
          </w:rPr>
          <w:t>32</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2" w:history="1">
        <w:r w:rsidR="00CA67D2" w:rsidRPr="00CD7612">
          <w:rPr>
            <w:rStyle w:val="Hyperlink"/>
            <w:noProof/>
          </w:rPr>
          <w:t>Household migration and search behaviour</w:t>
        </w:r>
        <w:r w:rsidR="00CA67D2">
          <w:rPr>
            <w:noProof/>
            <w:webHidden/>
          </w:rPr>
          <w:tab/>
        </w:r>
        <w:r w:rsidR="0013742C">
          <w:rPr>
            <w:noProof/>
            <w:webHidden/>
          </w:rPr>
          <w:fldChar w:fldCharType="begin"/>
        </w:r>
        <w:r w:rsidR="00CA67D2">
          <w:rPr>
            <w:noProof/>
            <w:webHidden/>
          </w:rPr>
          <w:instrText xml:space="preserve"> PAGEREF _Toc333507752 \h </w:instrText>
        </w:r>
        <w:r w:rsidR="0013742C">
          <w:rPr>
            <w:noProof/>
            <w:webHidden/>
          </w:rPr>
        </w:r>
        <w:r w:rsidR="0013742C">
          <w:rPr>
            <w:noProof/>
            <w:webHidden/>
          </w:rPr>
          <w:fldChar w:fldCharType="separate"/>
        </w:r>
        <w:r w:rsidR="00153CCA">
          <w:rPr>
            <w:noProof/>
            <w:webHidden/>
          </w:rPr>
          <w:t>34</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3" w:history="1">
        <w:r w:rsidR="00CA67D2" w:rsidRPr="00CD7612">
          <w:rPr>
            <w:rStyle w:val="Hyperlink"/>
            <w:noProof/>
          </w:rPr>
          <w:t>Characteristics of moving households</w:t>
        </w:r>
        <w:r w:rsidR="00CA67D2">
          <w:rPr>
            <w:noProof/>
            <w:webHidden/>
          </w:rPr>
          <w:tab/>
        </w:r>
        <w:r w:rsidR="0013742C">
          <w:rPr>
            <w:noProof/>
            <w:webHidden/>
          </w:rPr>
          <w:fldChar w:fldCharType="begin"/>
        </w:r>
        <w:r w:rsidR="00CA67D2">
          <w:rPr>
            <w:noProof/>
            <w:webHidden/>
          </w:rPr>
          <w:instrText xml:space="preserve"> PAGEREF _Toc333507753 \h </w:instrText>
        </w:r>
        <w:r w:rsidR="0013742C">
          <w:rPr>
            <w:noProof/>
            <w:webHidden/>
          </w:rPr>
        </w:r>
        <w:r w:rsidR="0013742C">
          <w:rPr>
            <w:noProof/>
            <w:webHidden/>
          </w:rPr>
          <w:fldChar w:fldCharType="separate"/>
        </w:r>
        <w:r w:rsidR="00153CCA">
          <w:rPr>
            <w:noProof/>
            <w:webHidden/>
          </w:rPr>
          <w:t>36</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4" w:history="1">
        <w:r w:rsidR="00CA67D2" w:rsidRPr="00CD7612">
          <w:rPr>
            <w:rStyle w:val="Hyperlink"/>
            <w:noProof/>
          </w:rPr>
          <w:t>Households planning to move</w:t>
        </w:r>
        <w:r w:rsidR="00CA67D2">
          <w:rPr>
            <w:noProof/>
            <w:webHidden/>
          </w:rPr>
          <w:tab/>
        </w:r>
        <w:r w:rsidR="0013742C">
          <w:rPr>
            <w:noProof/>
            <w:webHidden/>
          </w:rPr>
          <w:fldChar w:fldCharType="begin"/>
        </w:r>
        <w:r w:rsidR="00CA67D2">
          <w:rPr>
            <w:noProof/>
            <w:webHidden/>
          </w:rPr>
          <w:instrText xml:space="preserve"> PAGEREF _Toc333507754 \h </w:instrText>
        </w:r>
        <w:r w:rsidR="0013742C">
          <w:rPr>
            <w:noProof/>
            <w:webHidden/>
          </w:rPr>
        </w:r>
        <w:r w:rsidR="0013742C">
          <w:rPr>
            <w:noProof/>
            <w:webHidden/>
          </w:rPr>
          <w:fldChar w:fldCharType="separate"/>
        </w:r>
        <w:r w:rsidR="00153CCA">
          <w:rPr>
            <w:noProof/>
            <w:webHidden/>
          </w:rPr>
          <w:t>39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5" w:history="1">
        <w:r w:rsidR="00CA67D2" w:rsidRPr="00CD7612">
          <w:rPr>
            <w:rStyle w:val="Hyperlink"/>
            <w:noProof/>
          </w:rPr>
          <w:t>Travel to work trends</w:t>
        </w:r>
        <w:r w:rsidR="00CA67D2">
          <w:rPr>
            <w:noProof/>
            <w:webHidden/>
          </w:rPr>
          <w:tab/>
        </w:r>
        <w:r w:rsidR="0013742C">
          <w:rPr>
            <w:noProof/>
            <w:webHidden/>
          </w:rPr>
          <w:fldChar w:fldCharType="begin"/>
        </w:r>
        <w:r w:rsidR="00CA67D2">
          <w:rPr>
            <w:noProof/>
            <w:webHidden/>
          </w:rPr>
          <w:instrText xml:space="preserve"> PAGEREF _Toc333507755 \h </w:instrText>
        </w:r>
        <w:r w:rsidR="0013742C">
          <w:rPr>
            <w:noProof/>
            <w:webHidden/>
          </w:rPr>
        </w:r>
        <w:r w:rsidR="0013742C">
          <w:rPr>
            <w:noProof/>
            <w:webHidden/>
          </w:rPr>
          <w:fldChar w:fldCharType="separate"/>
        </w:r>
        <w:r w:rsidR="00153CCA">
          <w:rPr>
            <w:noProof/>
            <w:webHidden/>
          </w:rPr>
          <w:t>40</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6" w:history="1">
        <w:r w:rsidR="00CA67D2" w:rsidRPr="00CD7612">
          <w:rPr>
            <w:rStyle w:val="Hyperlink"/>
            <w:noProof/>
          </w:rPr>
          <w:t>Concluding comments</w:t>
        </w:r>
        <w:r w:rsidR="00CA67D2">
          <w:rPr>
            <w:noProof/>
            <w:webHidden/>
          </w:rPr>
          <w:tab/>
        </w:r>
        <w:r w:rsidR="0013742C">
          <w:rPr>
            <w:noProof/>
            <w:webHidden/>
          </w:rPr>
          <w:fldChar w:fldCharType="begin"/>
        </w:r>
        <w:r w:rsidR="00CA67D2">
          <w:rPr>
            <w:noProof/>
            <w:webHidden/>
          </w:rPr>
          <w:instrText xml:space="preserve"> PAGEREF _Toc333507756 \h </w:instrText>
        </w:r>
        <w:r w:rsidR="0013742C">
          <w:rPr>
            <w:noProof/>
            <w:webHidden/>
          </w:rPr>
        </w:r>
        <w:r w:rsidR="0013742C">
          <w:rPr>
            <w:noProof/>
            <w:webHidden/>
          </w:rPr>
          <w:fldChar w:fldCharType="separate"/>
        </w:r>
        <w:r w:rsidR="00153CCA">
          <w:rPr>
            <w:noProof/>
            <w:webHidden/>
          </w:rPr>
          <w:t>41</w:t>
        </w:r>
        <w:r w:rsidR="0013742C">
          <w:rPr>
            <w:noProof/>
            <w:webHidden/>
          </w:rPr>
          <w:fldChar w:fldCharType="end"/>
        </w:r>
      </w:hyperlink>
    </w:p>
    <w:p w:rsidR="00CA67D2" w:rsidRDefault="00034A6F">
      <w:pPr>
        <w:pStyle w:val="TOC1"/>
        <w:tabs>
          <w:tab w:val="left" w:pos="720"/>
          <w:tab w:val="right" w:leader="dot" w:pos="9288"/>
        </w:tabs>
        <w:rPr>
          <w:rFonts w:ascii="Calibri" w:hAnsi="Calibri" w:cs="Times New Roman"/>
          <w:b w:val="0"/>
          <w:bCs w:val="0"/>
          <w:noProof/>
          <w:sz w:val="22"/>
          <w:szCs w:val="22"/>
          <w:lang w:eastAsia="en-GB"/>
        </w:rPr>
      </w:pPr>
      <w:hyperlink w:anchor="_Toc333507757" w:history="1">
        <w:r w:rsidR="00CA67D2" w:rsidRPr="00CD7612">
          <w:rPr>
            <w:rStyle w:val="Hyperlink"/>
            <w:noProof/>
          </w:rPr>
          <w:t>4.</w:t>
        </w:r>
        <w:r w:rsidR="00CA67D2">
          <w:rPr>
            <w:rFonts w:ascii="Calibri" w:hAnsi="Calibri" w:cs="Times New Roman"/>
            <w:b w:val="0"/>
            <w:bCs w:val="0"/>
            <w:noProof/>
            <w:sz w:val="22"/>
            <w:szCs w:val="22"/>
            <w:lang w:eastAsia="en-GB"/>
          </w:rPr>
          <w:tab/>
        </w:r>
        <w:r w:rsidR="00CA67D2" w:rsidRPr="00CD7612">
          <w:rPr>
            <w:rStyle w:val="Hyperlink"/>
            <w:noProof/>
          </w:rPr>
          <w:t>Strategic Housing Market Assessment Core Outputs</w:t>
        </w:r>
        <w:r w:rsidR="00CA67D2">
          <w:rPr>
            <w:noProof/>
            <w:webHidden/>
          </w:rPr>
          <w:tab/>
        </w:r>
        <w:r w:rsidR="0013742C">
          <w:rPr>
            <w:noProof/>
            <w:webHidden/>
          </w:rPr>
          <w:fldChar w:fldCharType="begin"/>
        </w:r>
        <w:r w:rsidR="00CA67D2">
          <w:rPr>
            <w:noProof/>
            <w:webHidden/>
          </w:rPr>
          <w:instrText xml:space="preserve"> PAGEREF _Toc333507757 \h </w:instrText>
        </w:r>
        <w:r w:rsidR="0013742C">
          <w:rPr>
            <w:noProof/>
            <w:webHidden/>
          </w:rPr>
        </w:r>
        <w:r w:rsidR="0013742C">
          <w:rPr>
            <w:noProof/>
            <w:webHidden/>
          </w:rPr>
          <w:fldChar w:fldCharType="separate"/>
        </w:r>
        <w:r w:rsidR="00153CCA">
          <w:rPr>
            <w:noProof/>
            <w:webHidden/>
          </w:rPr>
          <w:t>42</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58" w:history="1">
        <w:r w:rsidR="00CA67D2" w:rsidRPr="00CD7612">
          <w:rPr>
            <w:rStyle w:val="Hyperlink"/>
            <w:noProof/>
          </w:rPr>
          <w:t>Introduction</w:t>
        </w:r>
        <w:r w:rsidR="00CA67D2">
          <w:rPr>
            <w:noProof/>
            <w:webHidden/>
          </w:rPr>
          <w:tab/>
        </w:r>
        <w:r w:rsidR="0013742C">
          <w:rPr>
            <w:noProof/>
            <w:webHidden/>
          </w:rPr>
          <w:fldChar w:fldCharType="begin"/>
        </w:r>
        <w:r w:rsidR="00CA67D2">
          <w:rPr>
            <w:noProof/>
            <w:webHidden/>
          </w:rPr>
          <w:instrText xml:space="preserve"> PAGEREF _Toc333507758 \h </w:instrText>
        </w:r>
        <w:r w:rsidR="0013742C">
          <w:rPr>
            <w:noProof/>
            <w:webHidden/>
          </w:rPr>
        </w:r>
        <w:r w:rsidR="0013742C">
          <w:rPr>
            <w:noProof/>
            <w:webHidden/>
          </w:rPr>
          <w:fldChar w:fldCharType="separate"/>
        </w:r>
        <w:r w:rsidR="00153CCA">
          <w:rPr>
            <w:noProof/>
            <w:webHidden/>
          </w:rPr>
          <w:t>42</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59" w:history="1">
        <w:r w:rsidR="00CA67D2" w:rsidRPr="00CD7612">
          <w:rPr>
            <w:rStyle w:val="Hyperlink"/>
            <w:noProof/>
          </w:rPr>
          <w:t xml:space="preserve">Core Output 1: </w:t>
        </w:r>
        <w:r w:rsidR="00CA67D2">
          <w:rPr>
            <w:rFonts w:ascii="Calibri" w:hAnsi="Calibri"/>
            <w:bCs w:val="0"/>
            <w:noProof/>
            <w:szCs w:val="22"/>
            <w:lang w:eastAsia="en-GB"/>
          </w:rPr>
          <w:tab/>
        </w:r>
        <w:r w:rsidR="00CA67D2" w:rsidRPr="00CD7612">
          <w:rPr>
            <w:rStyle w:val="Hyperlink"/>
            <w:noProof/>
          </w:rPr>
          <w:t>Estimates of current dwellings in terms of size, type, condition, tenure</w:t>
        </w:r>
        <w:r w:rsidR="00CA67D2">
          <w:rPr>
            <w:noProof/>
            <w:webHidden/>
          </w:rPr>
          <w:tab/>
        </w:r>
        <w:r w:rsidR="0013742C">
          <w:rPr>
            <w:noProof/>
            <w:webHidden/>
          </w:rPr>
          <w:fldChar w:fldCharType="begin"/>
        </w:r>
        <w:r w:rsidR="00CA67D2">
          <w:rPr>
            <w:noProof/>
            <w:webHidden/>
          </w:rPr>
          <w:instrText xml:space="preserve"> PAGEREF _Toc333507759 \h </w:instrText>
        </w:r>
        <w:r w:rsidR="0013742C">
          <w:rPr>
            <w:noProof/>
            <w:webHidden/>
          </w:rPr>
        </w:r>
        <w:r w:rsidR="0013742C">
          <w:rPr>
            <w:noProof/>
            <w:webHidden/>
          </w:rPr>
          <w:fldChar w:fldCharType="separate"/>
        </w:r>
        <w:r w:rsidR="00153CCA">
          <w:rPr>
            <w:noProof/>
            <w:webHidden/>
          </w:rPr>
          <w:t>42</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60" w:history="1">
        <w:r w:rsidR="00CA67D2" w:rsidRPr="00CD7612">
          <w:rPr>
            <w:rStyle w:val="Hyperlink"/>
            <w:noProof/>
          </w:rPr>
          <w:t xml:space="preserve">Core Output 2: </w:t>
        </w:r>
        <w:r w:rsidR="00CA67D2">
          <w:rPr>
            <w:rFonts w:ascii="Calibri" w:hAnsi="Calibri"/>
            <w:bCs w:val="0"/>
            <w:noProof/>
            <w:szCs w:val="22"/>
            <w:lang w:eastAsia="en-GB"/>
          </w:rPr>
          <w:tab/>
        </w:r>
        <w:r w:rsidR="00CA67D2" w:rsidRPr="00CD7612">
          <w:rPr>
            <w:rStyle w:val="Hyperlink"/>
            <w:noProof/>
          </w:rPr>
          <w:t>Past and current housing market trends; balance between supply and demand; key drivers</w:t>
        </w:r>
        <w:r w:rsidR="00CA67D2">
          <w:rPr>
            <w:noProof/>
            <w:webHidden/>
          </w:rPr>
          <w:tab/>
        </w:r>
        <w:r w:rsidR="0013742C">
          <w:rPr>
            <w:noProof/>
            <w:webHidden/>
          </w:rPr>
          <w:fldChar w:fldCharType="begin"/>
        </w:r>
        <w:r w:rsidR="00CA67D2">
          <w:rPr>
            <w:noProof/>
            <w:webHidden/>
          </w:rPr>
          <w:instrText xml:space="preserve"> PAGEREF _Toc333507760 \h </w:instrText>
        </w:r>
        <w:r w:rsidR="0013742C">
          <w:rPr>
            <w:noProof/>
            <w:webHidden/>
          </w:rPr>
        </w:r>
        <w:r w:rsidR="0013742C">
          <w:rPr>
            <w:noProof/>
            <w:webHidden/>
          </w:rPr>
          <w:fldChar w:fldCharType="separate"/>
        </w:r>
        <w:r w:rsidR="00153CCA">
          <w:rPr>
            <w:noProof/>
            <w:webHidden/>
          </w:rPr>
          <w:t>50</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61" w:history="1">
        <w:r w:rsidR="00CA67D2" w:rsidRPr="00CD7612">
          <w:rPr>
            <w:rStyle w:val="Hyperlink"/>
            <w:noProof/>
          </w:rPr>
          <w:t xml:space="preserve">Core Output 3: </w:t>
        </w:r>
        <w:r w:rsidR="00CA67D2">
          <w:rPr>
            <w:rFonts w:ascii="Calibri" w:hAnsi="Calibri"/>
            <w:bCs w:val="0"/>
            <w:noProof/>
            <w:szCs w:val="22"/>
            <w:lang w:eastAsia="en-GB"/>
          </w:rPr>
          <w:tab/>
        </w:r>
        <w:r w:rsidR="00CA67D2" w:rsidRPr="00CD7612">
          <w:rPr>
            <w:rStyle w:val="Hyperlink"/>
            <w:noProof/>
          </w:rPr>
          <w:t>Future households</w:t>
        </w:r>
        <w:r w:rsidR="00CA67D2">
          <w:rPr>
            <w:noProof/>
            <w:webHidden/>
          </w:rPr>
          <w:tab/>
        </w:r>
        <w:r w:rsidR="0013742C">
          <w:rPr>
            <w:noProof/>
            <w:webHidden/>
          </w:rPr>
          <w:fldChar w:fldCharType="begin"/>
        </w:r>
        <w:r w:rsidR="00CA67D2">
          <w:rPr>
            <w:noProof/>
            <w:webHidden/>
          </w:rPr>
          <w:instrText xml:space="preserve"> PAGEREF _Toc333507761 \h </w:instrText>
        </w:r>
        <w:r w:rsidR="0013742C">
          <w:rPr>
            <w:noProof/>
            <w:webHidden/>
          </w:rPr>
        </w:r>
        <w:r w:rsidR="0013742C">
          <w:rPr>
            <w:noProof/>
            <w:webHidden/>
          </w:rPr>
          <w:fldChar w:fldCharType="separate"/>
        </w:r>
        <w:r w:rsidR="00153CCA">
          <w:rPr>
            <w:noProof/>
            <w:webHidden/>
          </w:rPr>
          <w:t>70</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62" w:history="1">
        <w:r w:rsidR="00CA67D2" w:rsidRPr="00CD7612">
          <w:rPr>
            <w:rStyle w:val="Hyperlink"/>
            <w:noProof/>
          </w:rPr>
          <w:t xml:space="preserve">Core Output 4: </w:t>
        </w:r>
        <w:r w:rsidR="00CA67D2">
          <w:rPr>
            <w:rFonts w:ascii="Calibri" w:hAnsi="Calibri"/>
            <w:bCs w:val="0"/>
            <w:noProof/>
            <w:szCs w:val="22"/>
            <w:lang w:eastAsia="en-GB"/>
          </w:rPr>
          <w:tab/>
        </w:r>
        <w:r w:rsidR="00CA67D2" w:rsidRPr="00CD7612">
          <w:rPr>
            <w:rStyle w:val="Hyperlink"/>
            <w:noProof/>
          </w:rPr>
          <w:t>Current households in need</w:t>
        </w:r>
        <w:r w:rsidR="00CA67D2">
          <w:rPr>
            <w:noProof/>
            <w:webHidden/>
          </w:rPr>
          <w:tab/>
        </w:r>
        <w:r w:rsidR="0013742C">
          <w:rPr>
            <w:noProof/>
            <w:webHidden/>
          </w:rPr>
          <w:fldChar w:fldCharType="begin"/>
        </w:r>
        <w:r w:rsidR="00CA67D2">
          <w:rPr>
            <w:noProof/>
            <w:webHidden/>
          </w:rPr>
          <w:instrText xml:space="preserve"> PAGEREF _Toc333507762 \h </w:instrText>
        </w:r>
        <w:r w:rsidR="0013742C">
          <w:rPr>
            <w:noProof/>
            <w:webHidden/>
          </w:rPr>
        </w:r>
        <w:r w:rsidR="0013742C">
          <w:rPr>
            <w:noProof/>
            <w:webHidden/>
          </w:rPr>
          <w:fldChar w:fldCharType="separate"/>
        </w:r>
        <w:r w:rsidR="00153CCA">
          <w:rPr>
            <w:noProof/>
            <w:webHidden/>
          </w:rPr>
          <w:t>71</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63" w:history="1">
        <w:r w:rsidR="00CA67D2" w:rsidRPr="00CD7612">
          <w:rPr>
            <w:rStyle w:val="Hyperlink"/>
            <w:noProof/>
          </w:rPr>
          <w:t xml:space="preserve">Core Output 5: </w:t>
        </w:r>
        <w:r w:rsidR="00CA67D2">
          <w:rPr>
            <w:rFonts w:ascii="Calibri" w:hAnsi="Calibri"/>
            <w:bCs w:val="0"/>
            <w:noProof/>
            <w:szCs w:val="22"/>
            <w:lang w:eastAsia="en-GB"/>
          </w:rPr>
          <w:tab/>
        </w:r>
        <w:r w:rsidR="00CA67D2" w:rsidRPr="00CD7612">
          <w:rPr>
            <w:rStyle w:val="Hyperlink"/>
            <w:noProof/>
          </w:rPr>
          <w:t>Future households requiring affordable housing</w:t>
        </w:r>
        <w:r w:rsidR="00CA67D2">
          <w:rPr>
            <w:noProof/>
            <w:webHidden/>
          </w:rPr>
          <w:tab/>
        </w:r>
        <w:r w:rsidR="0013742C">
          <w:rPr>
            <w:noProof/>
            <w:webHidden/>
          </w:rPr>
          <w:fldChar w:fldCharType="begin"/>
        </w:r>
        <w:r w:rsidR="00CA67D2">
          <w:rPr>
            <w:noProof/>
            <w:webHidden/>
          </w:rPr>
          <w:instrText xml:space="preserve"> PAGEREF _Toc333507763 \h </w:instrText>
        </w:r>
        <w:r w:rsidR="0013742C">
          <w:rPr>
            <w:noProof/>
            <w:webHidden/>
          </w:rPr>
        </w:r>
        <w:r w:rsidR="0013742C">
          <w:rPr>
            <w:noProof/>
            <w:webHidden/>
          </w:rPr>
          <w:fldChar w:fldCharType="separate"/>
        </w:r>
        <w:r w:rsidR="00153CCA">
          <w:rPr>
            <w:noProof/>
            <w:webHidden/>
          </w:rPr>
          <w:t>74</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64" w:history="1">
        <w:r w:rsidR="00CA67D2" w:rsidRPr="00CD7612">
          <w:rPr>
            <w:rStyle w:val="Hyperlink"/>
            <w:noProof/>
          </w:rPr>
          <w:t xml:space="preserve">Core Output 6: </w:t>
        </w:r>
        <w:r w:rsidR="00CA67D2">
          <w:rPr>
            <w:rFonts w:ascii="Calibri" w:hAnsi="Calibri"/>
            <w:bCs w:val="0"/>
            <w:noProof/>
            <w:szCs w:val="22"/>
            <w:lang w:eastAsia="en-GB"/>
          </w:rPr>
          <w:tab/>
        </w:r>
        <w:r w:rsidR="00CA67D2" w:rsidRPr="00CD7612">
          <w:rPr>
            <w:rStyle w:val="Hyperlink"/>
            <w:noProof/>
          </w:rPr>
          <w:t>Future households requiring market housing</w:t>
        </w:r>
        <w:r w:rsidR="00CA67D2">
          <w:rPr>
            <w:noProof/>
            <w:webHidden/>
          </w:rPr>
          <w:tab/>
        </w:r>
        <w:r w:rsidR="0013742C">
          <w:rPr>
            <w:noProof/>
            <w:webHidden/>
          </w:rPr>
          <w:fldChar w:fldCharType="begin"/>
        </w:r>
        <w:r w:rsidR="00CA67D2">
          <w:rPr>
            <w:noProof/>
            <w:webHidden/>
          </w:rPr>
          <w:instrText xml:space="preserve"> PAGEREF _Toc333507764 \h </w:instrText>
        </w:r>
        <w:r w:rsidR="0013742C">
          <w:rPr>
            <w:noProof/>
            <w:webHidden/>
          </w:rPr>
        </w:r>
        <w:r w:rsidR="0013742C">
          <w:rPr>
            <w:noProof/>
            <w:webHidden/>
          </w:rPr>
          <w:fldChar w:fldCharType="separate"/>
        </w:r>
        <w:r w:rsidR="00153CCA">
          <w:rPr>
            <w:noProof/>
            <w:webHidden/>
          </w:rPr>
          <w:t>74</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65" w:history="1">
        <w:r w:rsidR="00CA67D2" w:rsidRPr="00CD7612">
          <w:rPr>
            <w:rStyle w:val="Hyperlink"/>
            <w:noProof/>
          </w:rPr>
          <w:t xml:space="preserve">Core Output 7: </w:t>
        </w:r>
        <w:r w:rsidR="00CA67D2">
          <w:rPr>
            <w:rFonts w:ascii="Calibri" w:hAnsi="Calibri"/>
            <w:bCs w:val="0"/>
            <w:noProof/>
            <w:szCs w:val="22"/>
            <w:lang w:eastAsia="en-GB"/>
          </w:rPr>
          <w:tab/>
        </w:r>
        <w:r w:rsidR="00CA67D2" w:rsidRPr="00CD7612">
          <w:rPr>
            <w:rStyle w:val="Hyperlink"/>
            <w:noProof/>
          </w:rPr>
          <w:t>Size of affordable housing required</w:t>
        </w:r>
        <w:r w:rsidR="00CA67D2">
          <w:rPr>
            <w:noProof/>
            <w:webHidden/>
          </w:rPr>
          <w:tab/>
        </w:r>
        <w:r w:rsidR="0013742C">
          <w:rPr>
            <w:noProof/>
            <w:webHidden/>
          </w:rPr>
          <w:fldChar w:fldCharType="begin"/>
        </w:r>
        <w:r w:rsidR="00CA67D2">
          <w:rPr>
            <w:noProof/>
            <w:webHidden/>
          </w:rPr>
          <w:instrText xml:space="preserve"> PAGEREF _Toc333507765 \h </w:instrText>
        </w:r>
        <w:r w:rsidR="0013742C">
          <w:rPr>
            <w:noProof/>
            <w:webHidden/>
          </w:rPr>
        </w:r>
        <w:r w:rsidR="0013742C">
          <w:rPr>
            <w:noProof/>
            <w:webHidden/>
          </w:rPr>
          <w:fldChar w:fldCharType="separate"/>
        </w:r>
        <w:r w:rsidR="00153CCA">
          <w:rPr>
            <w:noProof/>
            <w:webHidden/>
          </w:rPr>
          <w:t>79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66" w:history="1">
        <w:r w:rsidR="00CA67D2" w:rsidRPr="00CD7612">
          <w:rPr>
            <w:rStyle w:val="Hyperlink"/>
            <w:noProof/>
          </w:rPr>
          <w:t>The new delivery model for affordable housing</w:t>
        </w:r>
        <w:r w:rsidR="00CA67D2">
          <w:rPr>
            <w:noProof/>
            <w:webHidden/>
          </w:rPr>
          <w:tab/>
        </w:r>
        <w:r w:rsidR="0013742C">
          <w:rPr>
            <w:noProof/>
            <w:webHidden/>
          </w:rPr>
          <w:fldChar w:fldCharType="begin"/>
        </w:r>
        <w:r w:rsidR="00CA67D2">
          <w:rPr>
            <w:noProof/>
            <w:webHidden/>
          </w:rPr>
          <w:instrText xml:space="preserve"> PAGEREF _Toc333507766 \h </w:instrText>
        </w:r>
        <w:r w:rsidR="0013742C">
          <w:rPr>
            <w:noProof/>
            <w:webHidden/>
          </w:rPr>
        </w:r>
        <w:r w:rsidR="0013742C">
          <w:rPr>
            <w:noProof/>
            <w:webHidden/>
          </w:rPr>
          <w:fldChar w:fldCharType="separate"/>
        </w:r>
        <w:r w:rsidR="00153CCA">
          <w:rPr>
            <w:noProof/>
            <w:webHidden/>
          </w:rPr>
          <w:t>83</w:t>
        </w:r>
        <w:r w:rsidR="0013742C">
          <w:rPr>
            <w:noProof/>
            <w:webHidden/>
          </w:rPr>
          <w:fldChar w:fldCharType="end"/>
        </w:r>
      </w:hyperlink>
    </w:p>
    <w:p w:rsidR="00CA67D2" w:rsidRDefault="00034A6F">
      <w:pPr>
        <w:pStyle w:val="TOC2"/>
        <w:tabs>
          <w:tab w:val="left" w:pos="2444"/>
        </w:tabs>
        <w:rPr>
          <w:rFonts w:ascii="Calibri" w:hAnsi="Calibri"/>
          <w:bCs w:val="0"/>
          <w:noProof/>
          <w:szCs w:val="22"/>
          <w:lang w:eastAsia="en-GB"/>
        </w:rPr>
      </w:pPr>
      <w:hyperlink w:anchor="_Toc333507767" w:history="1">
        <w:r w:rsidR="00CA67D2" w:rsidRPr="00CD7612">
          <w:rPr>
            <w:rStyle w:val="Hyperlink"/>
            <w:noProof/>
          </w:rPr>
          <w:t xml:space="preserve">Core Output 8: </w:t>
        </w:r>
        <w:r w:rsidR="00CA67D2">
          <w:rPr>
            <w:rFonts w:ascii="Calibri" w:hAnsi="Calibri"/>
            <w:bCs w:val="0"/>
            <w:noProof/>
            <w:szCs w:val="22"/>
            <w:lang w:eastAsia="en-GB"/>
          </w:rPr>
          <w:tab/>
        </w:r>
        <w:r w:rsidR="00CA67D2" w:rsidRPr="00CD7612">
          <w:rPr>
            <w:rStyle w:val="Hyperlink"/>
            <w:noProof/>
          </w:rPr>
          <w:t>Estimates of household groups who have particular housing requirements</w:t>
        </w:r>
        <w:r w:rsidR="00CA67D2">
          <w:rPr>
            <w:noProof/>
            <w:webHidden/>
          </w:rPr>
          <w:tab/>
        </w:r>
        <w:r w:rsidR="0013742C">
          <w:rPr>
            <w:noProof/>
            <w:webHidden/>
          </w:rPr>
          <w:fldChar w:fldCharType="begin"/>
        </w:r>
        <w:r w:rsidR="00CA67D2">
          <w:rPr>
            <w:noProof/>
            <w:webHidden/>
          </w:rPr>
          <w:instrText xml:space="preserve"> PAGEREF _Toc333507767 \h </w:instrText>
        </w:r>
        <w:r w:rsidR="0013742C">
          <w:rPr>
            <w:noProof/>
            <w:webHidden/>
          </w:rPr>
        </w:r>
        <w:r w:rsidR="0013742C">
          <w:rPr>
            <w:noProof/>
            <w:webHidden/>
          </w:rPr>
          <w:fldChar w:fldCharType="separate"/>
        </w:r>
        <w:r w:rsidR="00153CCA">
          <w:rPr>
            <w:noProof/>
            <w:webHidden/>
          </w:rPr>
          <w:t>84</w:t>
        </w:r>
        <w:r w:rsidR="0013742C">
          <w:rPr>
            <w:noProof/>
            <w:webHidden/>
          </w:rPr>
          <w:fldChar w:fldCharType="end"/>
        </w:r>
      </w:hyperlink>
    </w:p>
    <w:p w:rsidR="00CA67D2" w:rsidRDefault="00034A6F">
      <w:pPr>
        <w:pStyle w:val="TOC1"/>
        <w:tabs>
          <w:tab w:val="left" w:pos="720"/>
          <w:tab w:val="right" w:leader="dot" w:pos="9288"/>
        </w:tabs>
        <w:rPr>
          <w:rFonts w:ascii="Calibri" w:hAnsi="Calibri" w:cs="Times New Roman"/>
          <w:b w:val="0"/>
          <w:bCs w:val="0"/>
          <w:noProof/>
          <w:sz w:val="22"/>
          <w:szCs w:val="22"/>
          <w:lang w:eastAsia="en-GB"/>
        </w:rPr>
      </w:pPr>
      <w:hyperlink w:anchor="_Toc333507768" w:history="1">
        <w:r w:rsidR="00CA67D2" w:rsidRPr="00CD7612">
          <w:rPr>
            <w:rStyle w:val="Hyperlink"/>
            <w:noProof/>
          </w:rPr>
          <w:t>5.</w:t>
        </w:r>
        <w:r w:rsidR="00CA67D2">
          <w:rPr>
            <w:rFonts w:ascii="Calibri" w:hAnsi="Calibri" w:cs="Times New Roman"/>
            <w:b w:val="0"/>
            <w:bCs w:val="0"/>
            <w:noProof/>
            <w:sz w:val="22"/>
            <w:szCs w:val="22"/>
            <w:lang w:eastAsia="en-GB"/>
          </w:rPr>
          <w:tab/>
        </w:r>
        <w:r w:rsidR="00CA67D2" w:rsidRPr="00CD7612">
          <w:rPr>
            <w:rStyle w:val="Hyperlink"/>
            <w:noProof/>
          </w:rPr>
          <w:t>Review of general market demand</w:t>
        </w:r>
        <w:r w:rsidR="00CA67D2">
          <w:rPr>
            <w:noProof/>
            <w:webHidden/>
          </w:rPr>
          <w:tab/>
        </w:r>
        <w:r w:rsidR="0013742C">
          <w:rPr>
            <w:noProof/>
            <w:webHidden/>
          </w:rPr>
          <w:fldChar w:fldCharType="begin"/>
        </w:r>
        <w:r w:rsidR="00CA67D2">
          <w:rPr>
            <w:noProof/>
            <w:webHidden/>
          </w:rPr>
          <w:instrText xml:space="preserve"> PAGEREF _Toc333507768 \h </w:instrText>
        </w:r>
        <w:r w:rsidR="0013742C">
          <w:rPr>
            <w:noProof/>
            <w:webHidden/>
          </w:rPr>
        </w:r>
        <w:r w:rsidR="0013742C">
          <w:rPr>
            <w:noProof/>
            <w:webHidden/>
          </w:rPr>
          <w:fldChar w:fldCharType="separate"/>
        </w:r>
        <w:r w:rsidR="00153CCA">
          <w:rPr>
            <w:noProof/>
            <w:webHidden/>
          </w:rPr>
          <w:t>89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69" w:history="1">
        <w:r w:rsidR="00CA67D2" w:rsidRPr="00CD7612">
          <w:rPr>
            <w:rStyle w:val="Hyperlink"/>
            <w:noProof/>
          </w:rPr>
          <w:t>Overall dwelling requirements</w:t>
        </w:r>
        <w:r w:rsidR="00CA67D2">
          <w:rPr>
            <w:noProof/>
            <w:webHidden/>
          </w:rPr>
          <w:tab/>
        </w:r>
        <w:r w:rsidR="0013742C">
          <w:rPr>
            <w:noProof/>
            <w:webHidden/>
          </w:rPr>
          <w:fldChar w:fldCharType="begin"/>
        </w:r>
        <w:r w:rsidR="00CA67D2">
          <w:rPr>
            <w:noProof/>
            <w:webHidden/>
          </w:rPr>
          <w:instrText xml:space="preserve"> PAGEREF _Toc333507769 \h </w:instrText>
        </w:r>
        <w:r w:rsidR="0013742C">
          <w:rPr>
            <w:noProof/>
            <w:webHidden/>
          </w:rPr>
        </w:r>
        <w:r w:rsidR="0013742C">
          <w:rPr>
            <w:noProof/>
            <w:webHidden/>
          </w:rPr>
          <w:fldChar w:fldCharType="separate"/>
        </w:r>
        <w:r w:rsidR="00153CCA">
          <w:rPr>
            <w:noProof/>
            <w:webHidden/>
          </w:rPr>
          <w:t>89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70" w:history="1">
        <w:r w:rsidR="00CA67D2" w:rsidRPr="00CD7612">
          <w:rPr>
            <w:rStyle w:val="Hyperlink"/>
            <w:noProof/>
          </w:rPr>
          <w:t>Market housing: key issues</w:t>
        </w:r>
        <w:r w:rsidR="00CA67D2">
          <w:rPr>
            <w:noProof/>
            <w:webHidden/>
          </w:rPr>
          <w:tab/>
        </w:r>
        <w:r w:rsidR="0013742C">
          <w:rPr>
            <w:noProof/>
            <w:webHidden/>
          </w:rPr>
          <w:fldChar w:fldCharType="begin"/>
        </w:r>
        <w:r w:rsidR="00CA67D2">
          <w:rPr>
            <w:noProof/>
            <w:webHidden/>
          </w:rPr>
          <w:instrText xml:space="preserve"> PAGEREF _Toc333507770 \h </w:instrText>
        </w:r>
        <w:r w:rsidR="0013742C">
          <w:rPr>
            <w:noProof/>
            <w:webHidden/>
          </w:rPr>
        </w:r>
        <w:r w:rsidR="0013742C">
          <w:rPr>
            <w:noProof/>
            <w:webHidden/>
          </w:rPr>
          <w:fldChar w:fldCharType="separate"/>
        </w:r>
        <w:r w:rsidR="00153CCA">
          <w:rPr>
            <w:noProof/>
            <w:webHidden/>
          </w:rPr>
          <w:t>89</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71" w:history="1">
        <w:r w:rsidR="00CA67D2" w:rsidRPr="00CD7612">
          <w:rPr>
            <w:rStyle w:val="Hyperlink"/>
            <w:noProof/>
          </w:rPr>
          <w:t>Planning policy and management</w:t>
        </w:r>
        <w:r w:rsidR="00CA67D2">
          <w:rPr>
            <w:noProof/>
            <w:webHidden/>
          </w:rPr>
          <w:tab/>
        </w:r>
        <w:r w:rsidR="0013742C">
          <w:rPr>
            <w:noProof/>
            <w:webHidden/>
          </w:rPr>
          <w:fldChar w:fldCharType="begin"/>
        </w:r>
        <w:r w:rsidR="00CA67D2">
          <w:rPr>
            <w:noProof/>
            <w:webHidden/>
          </w:rPr>
          <w:instrText xml:space="preserve"> PAGEREF _Toc333507771 \h </w:instrText>
        </w:r>
        <w:r w:rsidR="0013742C">
          <w:rPr>
            <w:noProof/>
            <w:webHidden/>
          </w:rPr>
        </w:r>
        <w:r w:rsidR="0013742C">
          <w:rPr>
            <w:noProof/>
            <w:webHidden/>
          </w:rPr>
          <w:fldChar w:fldCharType="separate"/>
        </w:r>
        <w:r w:rsidR="00153CCA">
          <w:rPr>
            <w:noProof/>
            <w:webHidden/>
          </w:rPr>
          <w:t>94</w:t>
        </w:r>
        <w:r w:rsidR="0013742C">
          <w:rPr>
            <w:noProof/>
            <w:webHidden/>
          </w:rPr>
          <w:fldChar w:fldCharType="end"/>
        </w:r>
      </w:hyperlink>
    </w:p>
    <w:p w:rsidR="00CA67D2" w:rsidRDefault="00034A6F">
      <w:pPr>
        <w:pStyle w:val="TOC1"/>
        <w:tabs>
          <w:tab w:val="left" w:pos="720"/>
          <w:tab w:val="right" w:leader="dot" w:pos="9288"/>
        </w:tabs>
        <w:rPr>
          <w:rFonts w:ascii="Calibri" w:hAnsi="Calibri" w:cs="Times New Roman"/>
          <w:b w:val="0"/>
          <w:bCs w:val="0"/>
          <w:noProof/>
          <w:sz w:val="22"/>
          <w:szCs w:val="22"/>
          <w:lang w:eastAsia="en-GB"/>
        </w:rPr>
      </w:pPr>
      <w:hyperlink w:anchor="_Toc333507772" w:history="1">
        <w:r w:rsidR="00CA67D2" w:rsidRPr="00CD7612">
          <w:rPr>
            <w:rStyle w:val="Hyperlink"/>
            <w:noProof/>
          </w:rPr>
          <w:t>6.</w:t>
        </w:r>
        <w:r w:rsidR="00CA67D2">
          <w:rPr>
            <w:rFonts w:ascii="Calibri" w:hAnsi="Calibri" w:cs="Times New Roman"/>
            <w:b w:val="0"/>
            <w:bCs w:val="0"/>
            <w:noProof/>
            <w:sz w:val="22"/>
            <w:szCs w:val="22"/>
            <w:lang w:eastAsia="en-GB"/>
          </w:rPr>
          <w:tab/>
        </w:r>
        <w:r w:rsidR="00CA67D2" w:rsidRPr="00CD7612">
          <w:rPr>
            <w:rStyle w:val="Hyperlink"/>
            <w:noProof/>
          </w:rPr>
          <w:t>Conclusion: policy and strategic issues</w:t>
        </w:r>
        <w:r w:rsidR="00CA67D2">
          <w:rPr>
            <w:noProof/>
            <w:webHidden/>
          </w:rPr>
          <w:tab/>
        </w:r>
        <w:r w:rsidR="0013742C">
          <w:rPr>
            <w:noProof/>
            <w:webHidden/>
          </w:rPr>
          <w:fldChar w:fldCharType="begin"/>
        </w:r>
        <w:r w:rsidR="00CA67D2">
          <w:rPr>
            <w:noProof/>
            <w:webHidden/>
          </w:rPr>
          <w:instrText xml:space="preserve"> PAGEREF _Toc333507772 \h </w:instrText>
        </w:r>
        <w:r w:rsidR="0013742C">
          <w:rPr>
            <w:noProof/>
            <w:webHidden/>
          </w:rPr>
        </w:r>
        <w:r w:rsidR="0013742C">
          <w:rPr>
            <w:noProof/>
            <w:webHidden/>
          </w:rPr>
          <w:fldChar w:fldCharType="separate"/>
        </w:r>
        <w:r w:rsidR="00153CCA">
          <w:rPr>
            <w:noProof/>
            <w:webHidden/>
          </w:rPr>
          <w:t>96</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73" w:history="1">
        <w:r w:rsidR="00CA67D2" w:rsidRPr="00CD7612">
          <w:rPr>
            <w:rStyle w:val="Hyperlink"/>
            <w:noProof/>
          </w:rPr>
          <w:t>The current housing market</w:t>
        </w:r>
        <w:r w:rsidR="00CA67D2">
          <w:rPr>
            <w:noProof/>
            <w:webHidden/>
          </w:rPr>
          <w:tab/>
        </w:r>
        <w:r w:rsidR="0013742C">
          <w:rPr>
            <w:noProof/>
            <w:webHidden/>
          </w:rPr>
          <w:fldChar w:fldCharType="begin"/>
        </w:r>
        <w:r w:rsidR="00CA67D2">
          <w:rPr>
            <w:noProof/>
            <w:webHidden/>
          </w:rPr>
          <w:instrText xml:space="preserve"> PAGEREF _Toc333507773 \h </w:instrText>
        </w:r>
        <w:r w:rsidR="0013742C">
          <w:rPr>
            <w:noProof/>
            <w:webHidden/>
          </w:rPr>
        </w:r>
        <w:r w:rsidR="0013742C">
          <w:rPr>
            <w:noProof/>
            <w:webHidden/>
          </w:rPr>
          <w:fldChar w:fldCharType="separate"/>
        </w:r>
        <w:r w:rsidR="00153CCA">
          <w:rPr>
            <w:noProof/>
            <w:webHidden/>
          </w:rPr>
          <w:t>96</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74" w:history="1">
        <w:r w:rsidR="00CA67D2" w:rsidRPr="00CD7612">
          <w:rPr>
            <w:rStyle w:val="Hyperlink"/>
            <w:noProof/>
          </w:rPr>
          <w:t>Housing markets and mobility</w:t>
        </w:r>
        <w:r w:rsidR="00CA67D2">
          <w:rPr>
            <w:noProof/>
            <w:webHidden/>
          </w:rPr>
          <w:tab/>
        </w:r>
        <w:r w:rsidR="0013742C">
          <w:rPr>
            <w:noProof/>
            <w:webHidden/>
          </w:rPr>
          <w:fldChar w:fldCharType="begin"/>
        </w:r>
        <w:r w:rsidR="00CA67D2">
          <w:rPr>
            <w:noProof/>
            <w:webHidden/>
          </w:rPr>
          <w:instrText xml:space="preserve"> PAGEREF _Toc333507774 \h </w:instrText>
        </w:r>
        <w:r w:rsidR="0013742C">
          <w:rPr>
            <w:noProof/>
            <w:webHidden/>
          </w:rPr>
        </w:r>
        <w:r w:rsidR="0013742C">
          <w:rPr>
            <w:noProof/>
            <w:webHidden/>
          </w:rPr>
          <w:fldChar w:fldCharType="separate"/>
        </w:r>
        <w:r w:rsidR="00153CCA">
          <w:rPr>
            <w:noProof/>
            <w:webHidden/>
          </w:rPr>
          <w:t>97</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75" w:history="1">
        <w:r w:rsidR="00CA67D2" w:rsidRPr="00CD7612">
          <w:rPr>
            <w:rStyle w:val="Hyperlink"/>
            <w:noProof/>
          </w:rPr>
          <w:t>Future housing market</w:t>
        </w:r>
        <w:r w:rsidR="00CA67D2">
          <w:rPr>
            <w:noProof/>
            <w:webHidden/>
          </w:rPr>
          <w:tab/>
        </w:r>
        <w:r w:rsidR="0013742C">
          <w:rPr>
            <w:noProof/>
            <w:webHidden/>
          </w:rPr>
          <w:fldChar w:fldCharType="begin"/>
        </w:r>
        <w:r w:rsidR="00CA67D2">
          <w:rPr>
            <w:noProof/>
            <w:webHidden/>
          </w:rPr>
          <w:instrText xml:space="preserve"> PAGEREF _Toc333507775 \h </w:instrText>
        </w:r>
        <w:r w:rsidR="0013742C">
          <w:rPr>
            <w:noProof/>
            <w:webHidden/>
          </w:rPr>
        </w:r>
        <w:r w:rsidR="0013742C">
          <w:rPr>
            <w:noProof/>
            <w:webHidden/>
          </w:rPr>
          <w:fldChar w:fldCharType="separate"/>
        </w:r>
        <w:r w:rsidR="00153CCA">
          <w:rPr>
            <w:noProof/>
            <w:webHidden/>
          </w:rPr>
          <w:t>97</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76" w:history="1">
        <w:r w:rsidR="00CA67D2" w:rsidRPr="00CD7612">
          <w:rPr>
            <w:rStyle w:val="Hyperlink"/>
            <w:noProof/>
          </w:rPr>
          <w:t>Housing need and demand</w:t>
        </w:r>
        <w:r w:rsidR="00CA67D2">
          <w:rPr>
            <w:noProof/>
            <w:webHidden/>
          </w:rPr>
          <w:tab/>
        </w:r>
        <w:r w:rsidR="0013742C">
          <w:rPr>
            <w:noProof/>
            <w:webHidden/>
          </w:rPr>
          <w:fldChar w:fldCharType="begin"/>
        </w:r>
        <w:r w:rsidR="00CA67D2">
          <w:rPr>
            <w:noProof/>
            <w:webHidden/>
          </w:rPr>
          <w:instrText xml:space="preserve"> PAGEREF _Toc333507776 \h </w:instrText>
        </w:r>
        <w:r w:rsidR="0013742C">
          <w:rPr>
            <w:noProof/>
            <w:webHidden/>
          </w:rPr>
        </w:r>
        <w:r w:rsidR="0013742C">
          <w:rPr>
            <w:noProof/>
            <w:webHidden/>
          </w:rPr>
          <w:fldChar w:fldCharType="separate"/>
        </w:r>
        <w:r w:rsidR="00153CCA">
          <w:rPr>
            <w:noProof/>
            <w:webHidden/>
          </w:rPr>
          <w:t>98</w:t>
        </w:r>
        <w:r w:rsidR="0013742C">
          <w:rPr>
            <w:noProof/>
            <w:webHidden/>
          </w:rPr>
          <w:fldChar w:fldCharType="end"/>
        </w:r>
      </w:hyperlink>
    </w:p>
    <w:p w:rsidR="00CA67D2" w:rsidRDefault="00034A6F">
      <w:pPr>
        <w:pStyle w:val="TOC2"/>
        <w:rPr>
          <w:rFonts w:ascii="Calibri" w:hAnsi="Calibri"/>
          <w:bCs w:val="0"/>
          <w:noProof/>
          <w:szCs w:val="22"/>
          <w:lang w:eastAsia="en-GB"/>
        </w:rPr>
      </w:pPr>
      <w:hyperlink w:anchor="_Toc333507777" w:history="1">
        <w:r w:rsidR="00CA67D2" w:rsidRPr="00CD7612">
          <w:rPr>
            <w:rStyle w:val="Hyperlink"/>
            <w:noProof/>
          </w:rPr>
          <w:t>Final comments</w:t>
        </w:r>
        <w:r w:rsidR="00CA67D2">
          <w:rPr>
            <w:noProof/>
            <w:webHidden/>
          </w:rPr>
          <w:tab/>
        </w:r>
        <w:r w:rsidR="0013742C">
          <w:rPr>
            <w:noProof/>
            <w:webHidden/>
          </w:rPr>
          <w:fldChar w:fldCharType="begin"/>
        </w:r>
        <w:r w:rsidR="00CA67D2">
          <w:rPr>
            <w:noProof/>
            <w:webHidden/>
          </w:rPr>
          <w:instrText xml:space="preserve"> PAGEREF _Toc333507777 \h </w:instrText>
        </w:r>
        <w:r w:rsidR="0013742C">
          <w:rPr>
            <w:noProof/>
            <w:webHidden/>
          </w:rPr>
        </w:r>
        <w:r w:rsidR="0013742C">
          <w:rPr>
            <w:noProof/>
            <w:webHidden/>
          </w:rPr>
          <w:fldChar w:fldCharType="separate"/>
        </w:r>
        <w:r w:rsidR="00153CCA">
          <w:rPr>
            <w:noProof/>
            <w:webHidden/>
          </w:rPr>
          <w:t>100</w:t>
        </w:r>
        <w:r w:rsidR="0013742C">
          <w:rPr>
            <w:noProof/>
            <w:webHidden/>
          </w:rPr>
          <w:fldChar w:fldCharType="end"/>
        </w:r>
      </w:hyperlink>
    </w:p>
    <w:p w:rsidR="00CA67D2" w:rsidRDefault="00CA67D2">
      <w:pPr>
        <w:pStyle w:val="TOC1"/>
        <w:tabs>
          <w:tab w:val="right" w:leader="dot" w:pos="9288"/>
        </w:tabs>
        <w:rPr>
          <w:rStyle w:val="Hyperlink"/>
          <w:noProof/>
        </w:rPr>
      </w:pPr>
    </w:p>
    <w:p w:rsidR="00CA67D2" w:rsidRDefault="00034A6F">
      <w:pPr>
        <w:pStyle w:val="TOC1"/>
        <w:tabs>
          <w:tab w:val="right" w:leader="dot" w:pos="9288"/>
        </w:tabs>
        <w:rPr>
          <w:rFonts w:ascii="Calibri" w:hAnsi="Calibri" w:cs="Times New Roman"/>
          <w:b w:val="0"/>
          <w:bCs w:val="0"/>
          <w:noProof/>
          <w:sz w:val="22"/>
          <w:szCs w:val="22"/>
          <w:lang w:eastAsia="en-GB"/>
        </w:rPr>
      </w:pPr>
      <w:hyperlink w:anchor="_Toc333507778" w:history="1">
        <w:r w:rsidR="00CA67D2" w:rsidRPr="00CD7612">
          <w:rPr>
            <w:rStyle w:val="Hyperlink"/>
            <w:noProof/>
          </w:rPr>
          <w:t>Introduction to Technical Appendices</w:t>
        </w:r>
        <w:r w:rsidR="00CA67D2">
          <w:rPr>
            <w:noProof/>
            <w:webHidden/>
          </w:rPr>
          <w:tab/>
        </w:r>
        <w:r w:rsidR="0013742C">
          <w:rPr>
            <w:noProof/>
            <w:webHidden/>
          </w:rPr>
          <w:fldChar w:fldCharType="begin"/>
        </w:r>
        <w:r w:rsidR="00CA67D2">
          <w:rPr>
            <w:noProof/>
            <w:webHidden/>
          </w:rPr>
          <w:instrText xml:space="preserve"> PAGEREF _Toc333507778 \h </w:instrText>
        </w:r>
        <w:r w:rsidR="0013742C">
          <w:rPr>
            <w:noProof/>
            <w:webHidden/>
          </w:rPr>
        </w:r>
        <w:r w:rsidR="0013742C">
          <w:rPr>
            <w:noProof/>
            <w:webHidden/>
          </w:rPr>
          <w:fldChar w:fldCharType="separate"/>
        </w:r>
        <w:r w:rsidR="00153CCA">
          <w:rPr>
            <w:noProof/>
            <w:webHidden/>
          </w:rPr>
          <w:t>101</w:t>
        </w:r>
        <w:r w:rsidR="0013742C">
          <w:rPr>
            <w:noProof/>
            <w:webHidden/>
          </w:rPr>
          <w:fldChar w:fldCharType="end"/>
        </w:r>
      </w:hyperlink>
    </w:p>
    <w:p w:rsidR="00CA67D2" w:rsidRDefault="00034A6F">
      <w:pPr>
        <w:pStyle w:val="TOC1"/>
        <w:tabs>
          <w:tab w:val="right" w:leader="dot" w:pos="9288"/>
        </w:tabs>
        <w:rPr>
          <w:rFonts w:ascii="Calibri" w:hAnsi="Calibri" w:cs="Times New Roman"/>
          <w:b w:val="0"/>
          <w:bCs w:val="0"/>
          <w:noProof/>
          <w:sz w:val="22"/>
          <w:szCs w:val="22"/>
          <w:lang w:eastAsia="en-GB"/>
        </w:rPr>
      </w:pPr>
      <w:hyperlink w:anchor="_Toc333507779" w:history="1">
        <w:r w:rsidR="00CA67D2" w:rsidRPr="00CD7612">
          <w:rPr>
            <w:rStyle w:val="Hyperlink"/>
            <w:noProof/>
          </w:rPr>
          <w:t>Technical Appendix A: Research Methodology</w:t>
        </w:r>
        <w:r w:rsidR="00CA67D2">
          <w:rPr>
            <w:noProof/>
            <w:webHidden/>
          </w:rPr>
          <w:tab/>
        </w:r>
        <w:r w:rsidR="0013742C">
          <w:rPr>
            <w:noProof/>
            <w:webHidden/>
          </w:rPr>
          <w:fldChar w:fldCharType="begin"/>
        </w:r>
        <w:r w:rsidR="00CA67D2">
          <w:rPr>
            <w:noProof/>
            <w:webHidden/>
          </w:rPr>
          <w:instrText xml:space="preserve"> PAGEREF _Toc333507779 \h </w:instrText>
        </w:r>
        <w:r w:rsidR="0013742C">
          <w:rPr>
            <w:noProof/>
            <w:webHidden/>
          </w:rPr>
        </w:r>
        <w:r w:rsidR="0013742C">
          <w:rPr>
            <w:noProof/>
            <w:webHidden/>
          </w:rPr>
          <w:fldChar w:fldCharType="separate"/>
        </w:r>
        <w:r w:rsidR="00153CCA">
          <w:rPr>
            <w:noProof/>
            <w:webHidden/>
          </w:rPr>
          <w:t>102</w:t>
        </w:r>
        <w:r w:rsidR="0013742C">
          <w:rPr>
            <w:noProof/>
            <w:webHidden/>
          </w:rPr>
          <w:fldChar w:fldCharType="end"/>
        </w:r>
      </w:hyperlink>
    </w:p>
    <w:p w:rsidR="00CA67D2" w:rsidRDefault="00034A6F">
      <w:pPr>
        <w:pStyle w:val="TOC1"/>
        <w:tabs>
          <w:tab w:val="right" w:leader="dot" w:pos="9288"/>
        </w:tabs>
        <w:rPr>
          <w:rFonts w:ascii="Calibri" w:hAnsi="Calibri" w:cs="Times New Roman"/>
          <w:b w:val="0"/>
          <w:bCs w:val="0"/>
          <w:noProof/>
          <w:sz w:val="22"/>
          <w:szCs w:val="22"/>
          <w:lang w:eastAsia="en-GB"/>
        </w:rPr>
      </w:pPr>
      <w:hyperlink w:anchor="_Toc333507783" w:history="1">
        <w:r w:rsidR="00CA67D2" w:rsidRPr="00CD7612">
          <w:rPr>
            <w:rStyle w:val="Hyperlink"/>
            <w:noProof/>
          </w:rPr>
          <w:t>Technical Appendix B: The Current Housing Market</w:t>
        </w:r>
        <w:r w:rsidR="00CA67D2">
          <w:rPr>
            <w:noProof/>
            <w:webHidden/>
          </w:rPr>
          <w:tab/>
        </w:r>
        <w:r w:rsidR="0013742C">
          <w:rPr>
            <w:noProof/>
            <w:webHidden/>
          </w:rPr>
          <w:fldChar w:fldCharType="begin"/>
        </w:r>
        <w:r w:rsidR="00CA67D2">
          <w:rPr>
            <w:noProof/>
            <w:webHidden/>
          </w:rPr>
          <w:instrText xml:space="preserve"> PAGEREF _Toc333507783 \h </w:instrText>
        </w:r>
        <w:r w:rsidR="0013742C">
          <w:rPr>
            <w:noProof/>
            <w:webHidden/>
          </w:rPr>
        </w:r>
        <w:r w:rsidR="0013742C">
          <w:rPr>
            <w:noProof/>
            <w:webHidden/>
          </w:rPr>
          <w:fldChar w:fldCharType="separate"/>
        </w:r>
        <w:r w:rsidR="00153CCA">
          <w:rPr>
            <w:noProof/>
            <w:webHidden/>
          </w:rPr>
          <w:t>106</w:t>
        </w:r>
        <w:r w:rsidR="0013742C">
          <w:rPr>
            <w:noProof/>
            <w:webHidden/>
          </w:rPr>
          <w:fldChar w:fldCharType="end"/>
        </w:r>
      </w:hyperlink>
    </w:p>
    <w:p w:rsidR="00CA67D2" w:rsidRDefault="00034A6F">
      <w:pPr>
        <w:pStyle w:val="TOC1"/>
        <w:tabs>
          <w:tab w:val="right" w:leader="dot" w:pos="9288"/>
        </w:tabs>
        <w:rPr>
          <w:rFonts w:ascii="Calibri" w:hAnsi="Calibri" w:cs="Times New Roman"/>
          <w:b w:val="0"/>
          <w:bCs w:val="0"/>
          <w:noProof/>
          <w:sz w:val="22"/>
          <w:szCs w:val="22"/>
          <w:lang w:eastAsia="en-GB"/>
        </w:rPr>
      </w:pPr>
      <w:hyperlink w:anchor="_Toc333507790" w:history="1">
        <w:r w:rsidR="00CA67D2" w:rsidRPr="00CD7612">
          <w:rPr>
            <w:rStyle w:val="Hyperlink"/>
            <w:noProof/>
          </w:rPr>
          <w:t>Technical Appendix C: The Future Housing Market</w:t>
        </w:r>
        <w:r w:rsidR="00CA67D2">
          <w:rPr>
            <w:noProof/>
            <w:webHidden/>
          </w:rPr>
          <w:tab/>
        </w:r>
        <w:r w:rsidR="0013742C">
          <w:rPr>
            <w:noProof/>
            <w:webHidden/>
          </w:rPr>
          <w:fldChar w:fldCharType="begin"/>
        </w:r>
        <w:r w:rsidR="00CA67D2">
          <w:rPr>
            <w:noProof/>
            <w:webHidden/>
          </w:rPr>
          <w:instrText xml:space="preserve"> PAGEREF _Toc333507790 \h </w:instrText>
        </w:r>
        <w:r w:rsidR="0013742C">
          <w:rPr>
            <w:noProof/>
            <w:webHidden/>
          </w:rPr>
        </w:r>
        <w:r w:rsidR="0013742C">
          <w:rPr>
            <w:noProof/>
            <w:webHidden/>
          </w:rPr>
          <w:fldChar w:fldCharType="separate"/>
        </w:r>
        <w:r w:rsidR="00153CCA">
          <w:rPr>
            <w:noProof/>
            <w:webHidden/>
          </w:rPr>
          <w:t>138</w:t>
        </w:r>
        <w:r w:rsidR="0013742C">
          <w:rPr>
            <w:noProof/>
            <w:webHidden/>
          </w:rPr>
          <w:fldChar w:fldCharType="end"/>
        </w:r>
      </w:hyperlink>
    </w:p>
    <w:p w:rsidR="00CA67D2" w:rsidRPr="00CA67D2" w:rsidRDefault="00034A6F" w:rsidP="00CA67D2">
      <w:pPr>
        <w:pStyle w:val="TOC1"/>
        <w:tabs>
          <w:tab w:val="right" w:leader="dot" w:pos="9288"/>
        </w:tabs>
        <w:rPr>
          <w:rFonts w:ascii="Calibri" w:hAnsi="Calibri" w:cs="Times New Roman"/>
          <w:b w:val="0"/>
          <w:bCs w:val="0"/>
          <w:noProof/>
          <w:sz w:val="22"/>
          <w:szCs w:val="22"/>
          <w:lang w:eastAsia="en-GB"/>
        </w:rPr>
      </w:pPr>
      <w:hyperlink w:anchor="_Toc333507791" w:history="1">
        <w:r w:rsidR="00CA67D2" w:rsidRPr="00CD7612">
          <w:rPr>
            <w:rStyle w:val="Hyperlink"/>
            <w:noProof/>
          </w:rPr>
          <w:t>Technical Appendix D: Housing need calculations</w:t>
        </w:r>
        <w:r w:rsidR="00CA67D2">
          <w:rPr>
            <w:noProof/>
            <w:webHidden/>
          </w:rPr>
          <w:tab/>
        </w:r>
        <w:r w:rsidR="0013742C">
          <w:rPr>
            <w:noProof/>
            <w:webHidden/>
          </w:rPr>
          <w:fldChar w:fldCharType="begin"/>
        </w:r>
        <w:r w:rsidR="00CA67D2">
          <w:rPr>
            <w:noProof/>
            <w:webHidden/>
          </w:rPr>
          <w:instrText xml:space="preserve"> PAGEREF _Toc333507791 \h </w:instrText>
        </w:r>
        <w:r w:rsidR="0013742C">
          <w:rPr>
            <w:noProof/>
            <w:webHidden/>
          </w:rPr>
        </w:r>
        <w:r w:rsidR="0013742C">
          <w:rPr>
            <w:noProof/>
            <w:webHidden/>
          </w:rPr>
          <w:fldChar w:fldCharType="separate"/>
        </w:r>
        <w:r w:rsidR="00153CCA">
          <w:rPr>
            <w:noProof/>
            <w:webHidden/>
          </w:rPr>
          <w:t>145</w:t>
        </w:r>
        <w:r w:rsidR="0013742C">
          <w:rPr>
            <w:noProof/>
            <w:webHidden/>
          </w:rPr>
          <w:fldChar w:fldCharType="end"/>
        </w:r>
      </w:hyperlink>
    </w:p>
    <w:p w:rsidR="00CA67D2" w:rsidRDefault="00034A6F">
      <w:pPr>
        <w:pStyle w:val="TOC1"/>
        <w:tabs>
          <w:tab w:val="right" w:leader="dot" w:pos="9288"/>
        </w:tabs>
        <w:rPr>
          <w:rFonts w:ascii="Calibri" w:hAnsi="Calibri" w:cs="Times New Roman"/>
          <w:b w:val="0"/>
          <w:bCs w:val="0"/>
          <w:noProof/>
          <w:sz w:val="22"/>
          <w:szCs w:val="22"/>
          <w:lang w:eastAsia="en-GB"/>
        </w:rPr>
      </w:pPr>
      <w:hyperlink w:anchor="_Toc333507798" w:history="1">
        <w:r w:rsidR="00CA67D2" w:rsidRPr="00CD7612">
          <w:rPr>
            <w:rStyle w:val="Hyperlink"/>
            <w:noProof/>
          </w:rPr>
          <w:t>Technical Appendix E: Monitoring and updating</w:t>
        </w:r>
        <w:r w:rsidR="00CA67D2">
          <w:rPr>
            <w:noProof/>
            <w:webHidden/>
          </w:rPr>
          <w:tab/>
        </w:r>
        <w:r w:rsidR="0013742C">
          <w:rPr>
            <w:noProof/>
            <w:webHidden/>
          </w:rPr>
          <w:fldChar w:fldCharType="begin"/>
        </w:r>
        <w:r w:rsidR="00CA67D2">
          <w:rPr>
            <w:noProof/>
            <w:webHidden/>
          </w:rPr>
          <w:instrText xml:space="preserve"> PAGEREF _Toc333507798 \h </w:instrText>
        </w:r>
        <w:r w:rsidR="0013742C">
          <w:rPr>
            <w:noProof/>
            <w:webHidden/>
          </w:rPr>
        </w:r>
        <w:r w:rsidR="0013742C">
          <w:rPr>
            <w:noProof/>
            <w:webHidden/>
          </w:rPr>
          <w:fldChar w:fldCharType="separate"/>
        </w:r>
        <w:r w:rsidR="00153CCA">
          <w:rPr>
            <w:noProof/>
            <w:webHidden/>
          </w:rPr>
          <w:t>160</w:t>
        </w:r>
        <w:r w:rsidR="0013742C">
          <w:rPr>
            <w:noProof/>
            <w:webHidden/>
          </w:rPr>
          <w:fldChar w:fldCharType="end"/>
        </w:r>
      </w:hyperlink>
    </w:p>
    <w:p w:rsidR="00CA67D2" w:rsidRDefault="00034A6F">
      <w:pPr>
        <w:pStyle w:val="TOC1"/>
        <w:tabs>
          <w:tab w:val="right" w:leader="dot" w:pos="9288"/>
        </w:tabs>
        <w:rPr>
          <w:rFonts w:ascii="Calibri" w:hAnsi="Calibri" w:cs="Times New Roman"/>
          <w:b w:val="0"/>
          <w:bCs w:val="0"/>
          <w:noProof/>
          <w:sz w:val="22"/>
          <w:szCs w:val="22"/>
          <w:lang w:eastAsia="en-GB"/>
        </w:rPr>
      </w:pPr>
      <w:hyperlink w:anchor="_Toc333507803" w:history="1">
        <w:r w:rsidR="00CA67D2" w:rsidRPr="00CD7612">
          <w:rPr>
            <w:rStyle w:val="Hyperlink"/>
            <w:noProof/>
          </w:rPr>
          <w:t>Technical Appendix F: Statement of conformity to SHMA guidance</w:t>
        </w:r>
        <w:r w:rsidR="00CA67D2">
          <w:rPr>
            <w:noProof/>
            <w:webHidden/>
          </w:rPr>
          <w:tab/>
        </w:r>
        <w:r w:rsidR="0013742C">
          <w:rPr>
            <w:noProof/>
            <w:webHidden/>
          </w:rPr>
          <w:fldChar w:fldCharType="begin"/>
        </w:r>
        <w:r w:rsidR="00CA67D2">
          <w:rPr>
            <w:noProof/>
            <w:webHidden/>
          </w:rPr>
          <w:instrText xml:space="preserve"> PAGEREF _Toc333507803 \h </w:instrText>
        </w:r>
        <w:r w:rsidR="0013742C">
          <w:rPr>
            <w:noProof/>
            <w:webHidden/>
          </w:rPr>
        </w:r>
        <w:r w:rsidR="0013742C">
          <w:rPr>
            <w:noProof/>
            <w:webHidden/>
          </w:rPr>
          <w:fldChar w:fldCharType="separate"/>
        </w:r>
        <w:r w:rsidR="00153CCA">
          <w:rPr>
            <w:noProof/>
            <w:webHidden/>
          </w:rPr>
          <w:t>163</w:t>
        </w:r>
        <w:r w:rsidR="0013742C">
          <w:rPr>
            <w:noProof/>
            <w:webHidden/>
          </w:rPr>
          <w:fldChar w:fldCharType="end"/>
        </w:r>
      </w:hyperlink>
    </w:p>
    <w:p w:rsidR="00CA67D2" w:rsidRDefault="00034A6F">
      <w:pPr>
        <w:pStyle w:val="TOC1"/>
        <w:tabs>
          <w:tab w:val="right" w:leader="dot" w:pos="9288"/>
        </w:tabs>
        <w:rPr>
          <w:rFonts w:ascii="Calibri" w:hAnsi="Calibri" w:cs="Times New Roman"/>
          <w:b w:val="0"/>
          <w:bCs w:val="0"/>
          <w:noProof/>
          <w:sz w:val="22"/>
          <w:szCs w:val="22"/>
          <w:lang w:eastAsia="en-GB"/>
        </w:rPr>
      </w:pPr>
      <w:hyperlink w:anchor="_Toc333507804" w:history="1">
        <w:r w:rsidR="00CA67D2" w:rsidRPr="00CD7612">
          <w:rPr>
            <w:rStyle w:val="Hyperlink"/>
            <w:noProof/>
          </w:rPr>
          <w:t>Technical Appendix G: Affordable housing policy considerations</w:t>
        </w:r>
        <w:r w:rsidR="00CA67D2">
          <w:rPr>
            <w:noProof/>
            <w:webHidden/>
          </w:rPr>
          <w:tab/>
        </w:r>
        <w:r w:rsidR="0013742C">
          <w:rPr>
            <w:noProof/>
            <w:webHidden/>
          </w:rPr>
          <w:fldChar w:fldCharType="begin"/>
        </w:r>
        <w:r w:rsidR="00CA67D2">
          <w:rPr>
            <w:noProof/>
            <w:webHidden/>
          </w:rPr>
          <w:instrText xml:space="preserve"> PAGEREF _Toc333507804 \h </w:instrText>
        </w:r>
        <w:r w:rsidR="0013742C">
          <w:rPr>
            <w:noProof/>
            <w:webHidden/>
          </w:rPr>
        </w:r>
        <w:r w:rsidR="0013742C">
          <w:rPr>
            <w:noProof/>
            <w:webHidden/>
          </w:rPr>
          <w:fldChar w:fldCharType="separate"/>
        </w:r>
        <w:r w:rsidR="00153CCA">
          <w:rPr>
            <w:noProof/>
            <w:webHidden/>
          </w:rPr>
          <w:t>165</w:t>
        </w:r>
        <w:r w:rsidR="0013742C">
          <w:rPr>
            <w:noProof/>
            <w:webHidden/>
          </w:rPr>
          <w:fldChar w:fldCharType="end"/>
        </w:r>
      </w:hyperlink>
    </w:p>
    <w:p w:rsidR="003B1D39" w:rsidRDefault="0013742C">
      <w:r>
        <w:fldChar w:fldCharType="end"/>
      </w:r>
    </w:p>
    <w:p w:rsidR="00AA55F1" w:rsidRDefault="00CA67D2" w:rsidP="00AA55F1">
      <w:pPr>
        <w:pStyle w:val="Heading1"/>
        <w:numPr>
          <w:ilvl w:val="0"/>
          <w:numId w:val="0"/>
        </w:numPr>
        <w:jc w:val="both"/>
      </w:pPr>
      <w:bookmarkStart w:id="2" w:name="_Toc333507732"/>
      <w:bookmarkStart w:id="3" w:name="_Toc122427222"/>
      <w:bookmarkStart w:id="4" w:name="_Toc171741148"/>
      <w:bookmarkStart w:id="5" w:name="_Toc171741218"/>
      <w:bookmarkStart w:id="6" w:name="_Toc225941487"/>
      <w:bookmarkEnd w:id="1"/>
      <w:r>
        <w:br w:type="page"/>
      </w:r>
      <w:r w:rsidR="00AA55F1">
        <w:lastRenderedPageBreak/>
        <w:t>Executive Summary</w:t>
      </w:r>
      <w:bookmarkEnd w:id="2"/>
    </w:p>
    <w:p w:rsidR="00AA55F1" w:rsidRDefault="00AA55F1" w:rsidP="00AA55F1">
      <w:pPr>
        <w:pStyle w:val="Heading3"/>
        <w:ind w:left="0"/>
      </w:pPr>
    </w:p>
    <w:p w:rsidR="00AA55F1" w:rsidRPr="00AA55F1" w:rsidRDefault="00AA55F1" w:rsidP="00AA55F1">
      <w:pPr>
        <w:pStyle w:val="Heading3"/>
        <w:ind w:left="0"/>
      </w:pPr>
      <w:r>
        <w:t>Introduction</w:t>
      </w:r>
    </w:p>
    <w:p w:rsidR="00AE4DA1" w:rsidRDefault="003C5C8B" w:rsidP="00200941">
      <w:pPr>
        <w:pStyle w:val="Maintext"/>
        <w:numPr>
          <w:ilvl w:val="0"/>
          <w:numId w:val="0"/>
        </w:numPr>
        <w:rPr>
          <w:rFonts w:cs="Arial"/>
        </w:rPr>
      </w:pPr>
      <w:r w:rsidRPr="003C5C8B">
        <w:rPr>
          <w:rFonts w:cs="Arial"/>
        </w:rPr>
        <w:t>The 2013 County Durham Strategic Housing Market Assessment update has been prepared to update the 2012 SHMA. The 2013 SHMA update has rebased the household survey carried out as part of the 2012 SHMA using 2011 census data relating to tenure and age profile of heads of household. The 2013 SHMA also refreshes a range of secondary data and updates information on future population and households following the release of 2011-interim population and household projection data by the Office for National Statistics and Department for Central and Local Government.</w:t>
      </w:r>
      <w:r w:rsidR="005A3DD6">
        <w:rPr>
          <w:rFonts w:cs="Arial"/>
        </w:rPr>
        <w:t xml:space="preserve"> </w:t>
      </w:r>
    </w:p>
    <w:p w:rsidR="00AA55F1" w:rsidRDefault="005919ED" w:rsidP="00200941">
      <w:pPr>
        <w:pStyle w:val="Maintext"/>
        <w:numPr>
          <w:ilvl w:val="0"/>
          <w:numId w:val="0"/>
        </w:numPr>
        <w:rPr>
          <w:rFonts w:cs="Arial"/>
        </w:rPr>
      </w:pPr>
      <w:r>
        <w:rPr>
          <w:rFonts w:cs="Arial"/>
        </w:rPr>
        <w:t xml:space="preserve">County Durham </w:t>
      </w:r>
      <w:r w:rsidR="00AE4DA1">
        <w:rPr>
          <w:rFonts w:cs="Arial"/>
        </w:rPr>
        <w:t xml:space="preserve">is </w:t>
      </w:r>
      <w:r w:rsidR="00200941">
        <w:rPr>
          <w:rFonts w:cs="Arial"/>
        </w:rPr>
        <w:t xml:space="preserve">located in the North East of England </w:t>
      </w:r>
      <w:r>
        <w:rPr>
          <w:rFonts w:cs="Arial"/>
        </w:rPr>
        <w:t xml:space="preserve">and borders Tyne and Wear </w:t>
      </w:r>
      <w:r w:rsidR="00CC01B9">
        <w:rPr>
          <w:rFonts w:cs="Arial"/>
        </w:rPr>
        <w:t>and Northumberland to the North;</w:t>
      </w:r>
      <w:r>
        <w:rPr>
          <w:rFonts w:cs="Arial"/>
        </w:rPr>
        <w:t xml:space="preserve"> Tees Valley </w:t>
      </w:r>
      <w:r w:rsidR="00CC01B9">
        <w:rPr>
          <w:rFonts w:cs="Arial"/>
        </w:rPr>
        <w:t xml:space="preserve">and North Yorkshire to the South; </w:t>
      </w:r>
      <w:r>
        <w:rPr>
          <w:rFonts w:cs="Arial"/>
        </w:rPr>
        <w:t xml:space="preserve">and Eden District to the West. </w:t>
      </w:r>
      <w:r w:rsidR="00200941">
        <w:rPr>
          <w:rFonts w:cs="Arial"/>
        </w:rPr>
        <w:t xml:space="preserve">This research </w:t>
      </w:r>
      <w:r w:rsidR="00BC7A73">
        <w:rPr>
          <w:rFonts w:cs="Arial"/>
        </w:rPr>
        <w:t xml:space="preserve">provides </w:t>
      </w:r>
      <w:r w:rsidR="00AA55F1">
        <w:rPr>
          <w:rFonts w:cs="Arial"/>
        </w:rPr>
        <w:t xml:space="preserve">an up-to-date analysis of the social, economic, housing and demographic situation across </w:t>
      </w:r>
      <w:r w:rsidR="00BC7A73">
        <w:rPr>
          <w:rFonts w:cs="Arial"/>
        </w:rPr>
        <w:t xml:space="preserve">the </w:t>
      </w:r>
      <w:r>
        <w:rPr>
          <w:rFonts w:cs="Arial"/>
        </w:rPr>
        <w:t>County.</w:t>
      </w:r>
      <w:r w:rsidR="00BC7A73">
        <w:rPr>
          <w:rFonts w:cs="Arial"/>
        </w:rPr>
        <w:t xml:space="preserve"> </w:t>
      </w:r>
      <w:r w:rsidR="00AA55F1">
        <w:rPr>
          <w:rFonts w:cs="Arial"/>
        </w:rPr>
        <w:t xml:space="preserve"> </w:t>
      </w:r>
    </w:p>
    <w:p w:rsidR="00AA55F1" w:rsidRPr="00462D91" w:rsidRDefault="00AA55F1" w:rsidP="00AA55F1">
      <w:pPr>
        <w:pStyle w:val="Maintext"/>
        <w:numPr>
          <w:ilvl w:val="0"/>
          <w:numId w:val="0"/>
        </w:numPr>
      </w:pPr>
      <w:r>
        <w:rPr>
          <w:rFonts w:cs="Arial"/>
        </w:rPr>
        <w:t xml:space="preserve">The study </w:t>
      </w:r>
      <w:r>
        <w:t>has been carried out by arc</w:t>
      </w:r>
      <w:r w:rsidRPr="00F22DB3">
        <w:rPr>
          <w:vertAlign w:val="superscript"/>
        </w:rPr>
        <w:t>4</w:t>
      </w:r>
      <w:r>
        <w:t xml:space="preserve"> Ltd and has included:</w:t>
      </w:r>
    </w:p>
    <w:p w:rsidR="00AA55F1" w:rsidRDefault="00AA55F1" w:rsidP="007E46FA">
      <w:pPr>
        <w:pStyle w:val="Maintext"/>
        <w:numPr>
          <w:ilvl w:val="0"/>
          <w:numId w:val="20"/>
        </w:numPr>
      </w:pPr>
      <w:r>
        <w:t xml:space="preserve">A major household survey which was completed by </w:t>
      </w:r>
      <w:r w:rsidR="00AE4DA1">
        <w:t>6,216</w:t>
      </w:r>
      <w:r w:rsidR="00667143">
        <w:t xml:space="preserve"> </w:t>
      </w:r>
      <w:r>
        <w:t xml:space="preserve">households which represented a </w:t>
      </w:r>
      <w:r w:rsidR="00AE4DA1">
        <w:t>17.8</w:t>
      </w:r>
      <w:r w:rsidRPr="00755566">
        <w:t>%</w:t>
      </w:r>
      <w:r>
        <w:t xml:space="preserve"> response rate; </w:t>
      </w:r>
    </w:p>
    <w:p w:rsidR="00AA55F1" w:rsidRDefault="00AA55F1" w:rsidP="007E46FA">
      <w:pPr>
        <w:pStyle w:val="Maintext"/>
        <w:numPr>
          <w:ilvl w:val="0"/>
          <w:numId w:val="20"/>
        </w:numPr>
      </w:pPr>
      <w:r>
        <w:t>Interviews with stakeholders; and</w:t>
      </w:r>
    </w:p>
    <w:p w:rsidR="00AA55F1" w:rsidRDefault="00AA55F1" w:rsidP="007E46FA">
      <w:pPr>
        <w:pStyle w:val="Maintext"/>
        <w:numPr>
          <w:ilvl w:val="0"/>
          <w:numId w:val="20"/>
        </w:numPr>
      </w:pPr>
      <w:r>
        <w:t xml:space="preserve">A review of existing data; </w:t>
      </w:r>
    </w:p>
    <w:p w:rsidR="00AA55F1" w:rsidRDefault="00AA55F1" w:rsidP="00AA55F1">
      <w:pPr>
        <w:pStyle w:val="Maintext"/>
        <w:numPr>
          <w:ilvl w:val="0"/>
          <w:numId w:val="0"/>
        </w:numPr>
      </w:pPr>
      <w:r>
        <w:t>The findings from the study will provide a robust and defensible evidence base for future policy development which conforms to the Government’s Strategic Housing Market Assessment guidance.</w:t>
      </w:r>
    </w:p>
    <w:p w:rsidR="00AA55F1" w:rsidRDefault="00AA55F1" w:rsidP="00AA55F1">
      <w:pPr>
        <w:pStyle w:val="Maintext"/>
        <w:numPr>
          <w:ilvl w:val="0"/>
          <w:numId w:val="0"/>
        </w:numPr>
        <w:ind w:left="709"/>
        <w:rPr>
          <w:b/>
        </w:rPr>
      </w:pPr>
    </w:p>
    <w:p w:rsidR="00AA55F1" w:rsidRPr="00AA55F1" w:rsidRDefault="00AA55F1" w:rsidP="00AA55F1">
      <w:pPr>
        <w:pStyle w:val="Heading3"/>
        <w:ind w:left="0"/>
      </w:pPr>
      <w:r>
        <w:t>Housing market context</w:t>
      </w:r>
    </w:p>
    <w:p w:rsidR="00AA55F1" w:rsidRPr="00200941" w:rsidRDefault="00AA55F1" w:rsidP="00AA55F1">
      <w:pPr>
        <w:pStyle w:val="Heading3"/>
        <w:ind w:left="0"/>
        <w:rPr>
          <w:i/>
        </w:rPr>
      </w:pPr>
      <w:r w:rsidRPr="00200941">
        <w:rPr>
          <w:i/>
        </w:rPr>
        <w:t>House prices</w:t>
      </w:r>
    </w:p>
    <w:p w:rsidR="00950A90" w:rsidRDefault="00950A90" w:rsidP="00950A90">
      <w:pPr>
        <w:pStyle w:val="Maintext"/>
        <w:numPr>
          <w:ilvl w:val="0"/>
          <w:numId w:val="0"/>
        </w:numPr>
      </w:pPr>
      <w:r>
        <w:t>Median house prices across County Durham have increa</w:t>
      </w:r>
      <w:r w:rsidR="005644AF">
        <w:t>sed from £45,450 in 2000 to £100,000 in 2012, an increase of 120</w:t>
      </w:r>
      <w:r>
        <w:t>%. Higher priced areas include Durham City, Chester-le-Street and rural areas; and lower priced ar</w:t>
      </w:r>
      <w:r w:rsidR="00AE1632">
        <w:t xml:space="preserve">eas include Easington/Peterlee </w:t>
      </w:r>
      <w:r>
        <w:t>and Stanley.</w:t>
      </w:r>
    </w:p>
    <w:p w:rsidR="00AA55F1" w:rsidRDefault="00AA55F1" w:rsidP="00AA55F1">
      <w:pPr>
        <w:pStyle w:val="Heading1"/>
        <w:numPr>
          <w:ilvl w:val="0"/>
          <w:numId w:val="0"/>
        </w:numPr>
        <w:spacing w:before="120" w:after="120"/>
        <w:jc w:val="both"/>
      </w:pPr>
    </w:p>
    <w:p w:rsidR="00AA55F1" w:rsidRPr="00CD1ECC" w:rsidRDefault="00AA55F1" w:rsidP="00AA55F1">
      <w:pPr>
        <w:pStyle w:val="Heading3"/>
        <w:ind w:left="0"/>
      </w:pPr>
      <w:r w:rsidRPr="00CD1ECC">
        <w:t>Dwelling stock</w:t>
      </w:r>
    </w:p>
    <w:p w:rsidR="0014652D" w:rsidRDefault="0014652D" w:rsidP="0014652D">
      <w:pPr>
        <w:pStyle w:val="Maintext"/>
        <w:numPr>
          <w:ilvl w:val="0"/>
          <w:numId w:val="0"/>
        </w:numPr>
      </w:pPr>
      <w:r>
        <w:t xml:space="preserve">There </w:t>
      </w:r>
      <w:r w:rsidR="005644AF">
        <w:t>are currently a total of 236,082</w:t>
      </w:r>
      <w:r>
        <w:t xml:space="preserve"> residential dwellings acros</w:t>
      </w:r>
      <w:r w:rsidR="005644AF">
        <w:t>s County Durham of which 223,803</w:t>
      </w:r>
      <w:r>
        <w:t xml:space="preserve"> are occupied by individual households. In terms of dwelling stock, the 2012 household survey reports that, across County Durham:</w:t>
      </w:r>
    </w:p>
    <w:p w:rsidR="005644AF" w:rsidRDefault="005644AF" w:rsidP="005644AF">
      <w:pPr>
        <w:pStyle w:val="Maintext"/>
        <w:numPr>
          <w:ilvl w:val="0"/>
          <w:numId w:val="15"/>
        </w:numPr>
      </w:pPr>
      <w:r>
        <w:t>79.3% of properties are houses, 5.0% are flats/maisonettes, 15.3% are bungalows and 0.5% are other property types (e.g. caravans);</w:t>
      </w:r>
    </w:p>
    <w:p w:rsidR="005644AF" w:rsidRDefault="005644AF" w:rsidP="005644AF">
      <w:pPr>
        <w:pStyle w:val="Maintext"/>
        <w:numPr>
          <w:ilvl w:val="0"/>
          <w:numId w:val="15"/>
        </w:numPr>
      </w:pPr>
      <w:r>
        <w:t>6.1% have one bedroom, 34.8% have two bedrooms, 43.7% have three bedrooms and 15.4% have four or more bedrooms;</w:t>
      </w:r>
    </w:p>
    <w:p w:rsidR="005644AF" w:rsidRDefault="005644AF" w:rsidP="005644AF">
      <w:pPr>
        <w:pStyle w:val="Maintext"/>
        <w:numPr>
          <w:ilvl w:val="0"/>
          <w:numId w:val="15"/>
        </w:numPr>
      </w:pPr>
      <w:r>
        <w:lastRenderedPageBreak/>
        <w:t xml:space="preserve">17.6% of properties were built before 1919, a further 16.5% were built between 1919 and 1944, 21.7% between 1945 and 1964, 23.1% between 1965 and 1984 and 21.2% have been built since 1985; </w:t>
      </w:r>
    </w:p>
    <w:p w:rsidR="005644AF" w:rsidRDefault="005644AF" w:rsidP="005644AF">
      <w:pPr>
        <w:pStyle w:val="Maintext"/>
        <w:numPr>
          <w:ilvl w:val="0"/>
          <w:numId w:val="15"/>
        </w:numPr>
      </w:pPr>
      <w:r>
        <w:t>65.8% of properties are owner-occupied, 20.3% are rented from a social landlord or an intermediate tenure (e.g. shared ownership) and 13.8% are private rented</w:t>
      </w:r>
    </w:p>
    <w:p w:rsidR="00EF3EC6" w:rsidRDefault="00EF3EC6" w:rsidP="00C76826">
      <w:pPr>
        <w:pStyle w:val="Maintext"/>
        <w:numPr>
          <w:ilvl w:val="0"/>
          <w:numId w:val="15"/>
        </w:numPr>
      </w:pPr>
      <w:r>
        <w:t>There are 10,110 vacant properties (4.1% of total dwelling stock) and 2,169 second homes located across the County.</w:t>
      </w:r>
    </w:p>
    <w:p w:rsidR="00AA55F1" w:rsidRDefault="00AA55F1" w:rsidP="00AA55F1">
      <w:pPr>
        <w:pStyle w:val="Heading1"/>
        <w:numPr>
          <w:ilvl w:val="0"/>
          <w:numId w:val="0"/>
        </w:numPr>
        <w:jc w:val="both"/>
      </w:pPr>
    </w:p>
    <w:p w:rsidR="00AA55F1" w:rsidRPr="000A3536" w:rsidRDefault="00AA55F1" w:rsidP="00AA55F1">
      <w:pPr>
        <w:pStyle w:val="Heading3"/>
        <w:ind w:left="0"/>
      </w:pPr>
      <w:r>
        <w:t>Demographic drivers</w:t>
      </w:r>
    </w:p>
    <w:p w:rsidR="00AA55F1" w:rsidRPr="00950A90" w:rsidRDefault="00AA55F1" w:rsidP="00AA55F1">
      <w:pPr>
        <w:pStyle w:val="Maintext"/>
        <w:numPr>
          <w:ilvl w:val="0"/>
          <w:numId w:val="0"/>
        </w:numPr>
        <w:rPr>
          <w:bCs/>
        </w:rPr>
      </w:pPr>
      <w:r w:rsidRPr="00950A90">
        <w:rPr>
          <w:bCs/>
        </w:rPr>
        <w:t xml:space="preserve">The population of </w:t>
      </w:r>
      <w:r w:rsidR="00950A90">
        <w:rPr>
          <w:bCs/>
        </w:rPr>
        <w:t>County Durham</w:t>
      </w:r>
      <w:r w:rsidR="00667143" w:rsidRPr="00950A90">
        <w:rPr>
          <w:bCs/>
        </w:rPr>
        <w:t xml:space="preserve"> i</w:t>
      </w:r>
      <w:r w:rsidRPr="00950A90">
        <w:rPr>
          <w:bCs/>
        </w:rPr>
        <w:t xml:space="preserve">s estimated to be </w:t>
      </w:r>
      <w:r w:rsidR="005644AF">
        <w:rPr>
          <w:bCs/>
        </w:rPr>
        <w:t>512,994</w:t>
      </w:r>
      <w:r w:rsidRPr="00950A90">
        <w:rPr>
          <w:rStyle w:val="FootnoteReference"/>
          <w:bCs/>
        </w:rPr>
        <w:footnoteReference w:id="1"/>
      </w:r>
      <w:r w:rsidRPr="00950A90">
        <w:rPr>
          <w:bCs/>
        </w:rPr>
        <w:t xml:space="preserve"> with </w:t>
      </w:r>
      <w:r w:rsidR="0057490F">
        <w:rPr>
          <w:bCs/>
        </w:rPr>
        <w:t xml:space="preserve">County-produced projections suggesting an increase to </w:t>
      </w:r>
      <w:r w:rsidR="005644AF">
        <w:rPr>
          <w:bCs/>
        </w:rPr>
        <w:t>560,715</w:t>
      </w:r>
      <w:r w:rsidR="00C0443D" w:rsidRPr="00950A90">
        <w:rPr>
          <w:bCs/>
        </w:rPr>
        <w:t xml:space="preserve"> by 20</w:t>
      </w:r>
      <w:r w:rsidR="0057490F">
        <w:rPr>
          <w:bCs/>
        </w:rPr>
        <w:t>3</w:t>
      </w:r>
      <w:r w:rsidR="008A3E3D">
        <w:rPr>
          <w:bCs/>
        </w:rPr>
        <w:t>0</w:t>
      </w:r>
      <w:r w:rsidR="008A3E3D">
        <w:rPr>
          <w:rStyle w:val="FootnoteReference"/>
          <w:bCs/>
        </w:rPr>
        <w:t>1</w:t>
      </w:r>
      <w:r w:rsidRPr="00950A90">
        <w:rPr>
          <w:bCs/>
        </w:rPr>
        <w:t xml:space="preserve">. </w:t>
      </w:r>
    </w:p>
    <w:p w:rsidR="00AA55F1" w:rsidRPr="00950A90" w:rsidRDefault="00AA55F1" w:rsidP="00AA55F1">
      <w:pPr>
        <w:pStyle w:val="Maintext"/>
        <w:numPr>
          <w:ilvl w:val="0"/>
          <w:numId w:val="0"/>
        </w:numPr>
        <w:rPr>
          <w:bCs/>
        </w:rPr>
      </w:pPr>
      <w:r w:rsidRPr="00950A90">
        <w:t xml:space="preserve">Over the next few decades, the age profile of residents in </w:t>
      </w:r>
      <w:r w:rsidR="00950A90" w:rsidRPr="00950A90">
        <w:t>County Durham</w:t>
      </w:r>
      <w:r w:rsidR="00C0443D" w:rsidRPr="00950A90">
        <w:t xml:space="preserve"> </w:t>
      </w:r>
      <w:r w:rsidRPr="00950A90">
        <w:t xml:space="preserve">is expected to change dramatically.  </w:t>
      </w:r>
      <w:r w:rsidR="00C0443D" w:rsidRPr="00950A90">
        <w:rPr>
          <w:bCs/>
        </w:rPr>
        <w:t>There will be a considerable</w:t>
      </w:r>
      <w:r w:rsidRPr="00950A90">
        <w:rPr>
          <w:bCs/>
        </w:rPr>
        <w:t xml:space="preserve"> ‘demographic shift’ with both the number and proportion of older people increasing.</w:t>
      </w:r>
      <w:r w:rsidRPr="00950A90">
        <w:t xml:space="preserve"> Overall the number of people aged 65 and over </w:t>
      </w:r>
      <w:r w:rsidR="00B87143" w:rsidRPr="00950A90">
        <w:t>is projected to increase by</w:t>
      </w:r>
      <w:r w:rsidR="005644AF">
        <w:t xml:space="preserve"> 48.8</w:t>
      </w:r>
      <w:r w:rsidR="00950A90" w:rsidRPr="00950A90">
        <w:t xml:space="preserve">% (or by </w:t>
      </w:r>
      <w:r w:rsidR="008A3E3D">
        <w:t>4</w:t>
      </w:r>
      <w:r w:rsidR="005644AF">
        <w:t>5,388</w:t>
      </w:r>
      <w:r w:rsidR="008A3E3D">
        <w:t>) by 2030</w:t>
      </w:r>
      <w:r w:rsidR="005644AF">
        <w:t>; the number of 80</w:t>
      </w:r>
      <w:r w:rsidRPr="00950A90">
        <w:t>+ residents</w:t>
      </w:r>
      <w:r w:rsidR="008A3E3D">
        <w:t xml:space="preserve"> is expected to increase b</w:t>
      </w:r>
      <w:r w:rsidR="005644AF">
        <w:t>y 89.4</w:t>
      </w:r>
      <w:r w:rsidRPr="00950A90">
        <w:t>% (</w:t>
      </w:r>
      <w:r w:rsidR="00950A90" w:rsidRPr="00950A90">
        <w:t xml:space="preserve">or by </w:t>
      </w:r>
      <w:r w:rsidR="005644AF">
        <w:t>21,251</w:t>
      </w:r>
      <w:r w:rsidRPr="00950A90">
        <w:t xml:space="preserve">) </w:t>
      </w:r>
      <w:r w:rsidR="008A3E3D">
        <w:t>by 2030</w:t>
      </w:r>
      <w:r w:rsidR="00C0443D" w:rsidRPr="00950A90">
        <w:t>.</w:t>
      </w:r>
    </w:p>
    <w:p w:rsidR="00AA55F1" w:rsidRDefault="00AA55F1" w:rsidP="00AA55F1">
      <w:pPr>
        <w:pStyle w:val="Maintext"/>
        <w:numPr>
          <w:ilvl w:val="0"/>
          <w:numId w:val="0"/>
        </w:numPr>
        <w:ind w:left="709"/>
      </w:pPr>
    </w:p>
    <w:p w:rsidR="00AA55F1" w:rsidRPr="000A3536" w:rsidRDefault="00AA55F1" w:rsidP="00AA55F1">
      <w:pPr>
        <w:pStyle w:val="Heading3"/>
        <w:ind w:left="0"/>
      </w:pPr>
      <w:r>
        <w:t>Economic drivers</w:t>
      </w:r>
    </w:p>
    <w:p w:rsidR="00950A90" w:rsidRPr="00950A90" w:rsidRDefault="00AA55F1" w:rsidP="00AA56D5">
      <w:pPr>
        <w:pStyle w:val="Maintext"/>
        <w:numPr>
          <w:ilvl w:val="0"/>
          <w:numId w:val="0"/>
        </w:numPr>
      </w:pPr>
      <w:r w:rsidRPr="00950A90">
        <w:t xml:space="preserve">Across </w:t>
      </w:r>
      <w:r w:rsidR="00950A90" w:rsidRPr="00950A90">
        <w:t>County Durham</w:t>
      </w:r>
      <w:r w:rsidRPr="00950A90">
        <w:t xml:space="preserve">, </w:t>
      </w:r>
      <w:r w:rsidR="005644AF">
        <w:t>44.7</w:t>
      </w:r>
      <w:r w:rsidR="00167AE9" w:rsidRPr="00950A90">
        <w:t xml:space="preserve">% of households have a gross </w:t>
      </w:r>
      <w:r w:rsidR="006E3921" w:rsidRPr="00950A90">
        <w:t>income of</w:t>
      </w:r>
      <w:r w:rsidR="00167AE9" w:rsidRPr="00950A90">
        <w:t xml:space="preserve"> the head of household and partner (if applicable) of l</w:t>
      </w:r>
      <w:r w:rsidR="00667143" w:rsidRPr="00950A90">
        <w:t>ess than £</w:t>
      </w:r>
      <w:r w:rsidR="005644AF">
        <w:t>300 each week and 33.1</w:t>
      </w:r>
      <w:r w:rsidR="00167AE9" w:rsidRPr="00950A90">
        <w:t>% receive</w:t>
      </w:r>
      <w:r w:rsidR="00845B52" w:rsidRPr="00950A90">
        <w:t xml:space="preserve"> at least £500 each week</w:t>
      </w:r>
      <w:r w:rsidR="00950A90" w:rsidRPr="00950A90">
        <w:t>.</w:t>
      </w:r>
    </w:p>
    <w:p w:rsidR="00950A90" w:rsidRPr="00950A90" w:rsidRDefault="00EB0331" w:rsidP="00AA56D5">
      <w:pPr>
        <w:pStyle w:val="Maintext"/>
        <w:numPr>
          <w:ilvl w:val="0"/>
          <w:numId w:val="0"/>
        </w:numPr>
      </w:pPr>
      <w:r>
        <w:t>65.2</w:t>
      </w:r>
      <w:r w:rsidR="00845B52" w:rsidRPr="00950A90">
        <w:t xml:space="preserve">% of people in employment work within </w:t>
      </w:r>
      <w:r>
        <w:t>County Durham. Of the 34.8</w:t>
      </w:r>
      <w:r w:rsidR="00950A90" w:rsidRPr="00950A90">
        <w:t>% w</w:t>
      </w:r>
      <w:r>
        <w:t>ho work outside the County, 19.8% work in Tyne and Wear, 9.4% in Tees Valley, 0.8</w:t>
      </w:r>
      <w:r w:rsidR="00950A90" w:rsidRPr="00950A90">
        <w:t>% work els</w:t>
      </w:r>
      <w:r>
        <w:t>ewhere in the North East and 4.1</w:t>
      </w:r>
      <w:r w:rsidR="00950A90" w:rsidRPr="00950A90">
        <w:t xml:space="preserve">% work outside the North East. </w:t>
      </w:r>
    </w:p>
    <w:p w:rsidR="00845B52" w:rsidRDefault="00845B52" w:rsidP="00950A90">
      <w:pPr>
        <w:pStyle w:val="Maintext"/>
        <w:numPr>
          <w:ilvl w:val="0"/>
          <w:numId w:val="0"/>
        </w:numPr>
        <w:jc w:val="left"/>
      </w:pPr>
    </w:p>
    <w:p w:rsidR="00AA55F1" w:rsidRPr="000A3536" w:rsidRDefault="00AA55F1" w:rsidP="00AA55F1">
      <w:pPr>
        <w:pStyle w:val="Heading3"/>
        <w:ind w:left="0"/>
      </w:pPr>
      <w:r>
        <w:t>Market areas</w:t>
      </w:r>
    </w:p>
    <w:p w:rsidR="00EA7A3E" w:rsidRDefault="00EA7A3E" w:rsidP="00EA7A3E">
      <w:pPr>
        <w:pStyle w:val="Maintext"/>
        <w:numPr>
          <w:ilvl w:val="0"/>
          <w:numId w:val="0"/>
        </w:numPr>
      </w:pPr>
      <w:r>
        <w:t>The Department of Communities and Local Government (CLG) suggests that a housing market is self-contained if upwards of 70% of moves (migration and travel to work) take place within a defined area. An analysis of mi</w:t>
      </w:r>
      <w:r w:rsidR="001D3255">
        <w:t>gration data indicates that 77.5</w:t>
      </w:r>
      <w:r>
        <w:t xml:space="preserve">% of households moving originated within County Durham, suggesting that the County is a self-contained </w:t>
      </w:r>
      <w:r w:rsidR="00B440F0">
        <w:t>housing market area</w:t>
      </w:r>
      <w:r>
        <w:t xml:space="preserve">. That said, there are areas which exhibit strong migration interactions with other localities (for instance </w:t>
      </w:r>
      <w:r w:rsidR="0021263D">
        <w:t xml:space="preserve">North Durham and Tyne and Wear and South Durham with Tees Valley). </w:t>
      </w:r>
      <w:r>
        <w:t xml:space="preserve">On balance, County Durham can be described as a self contained </w:t>
      </w:r>
      <w:r w:rsidR="00B440F0">
        <w:t>housing market area</w:t>
      </w:r>
      <w:r>
        <w:t xml:space="preserve"> in terms of migration, with some areas exhibiting strong interactions with other areas. </w:t>
      </w:r>
      <w:r>
        <w:tab/>
      </w:r>
    </w:p>
    <w:p w:rsidR="00EA7A3E" w:rsidRDefault="00EA7A3E" w:rsidP="00EA7A3E">
      <w:pPr>
        <w:pStyle w:val="Maintext"/>
        <w:numPr>
          <w:ilvl w:val="0"/>
          <w:numId w:val="0"/>
        </w:numPr>
      </w:pPr>
      <w:r>
        <w:t>In terms of travel to work, County Durham is part of a broader functional market which extends into Tyne and Wear and Tees Valley.</w:t>
      </w:r>
    </w:p>
    <w:p w:rsidR="00EA7A3E" w:rsidRDefault="00EA7A3E" w:rsidP="00EA7A3E">
      <w:pPr>
        <w:pStyle w:val="Maintext"/>
        <w:numPr>
          <w:ilvl w:val="0"/>
          <w:numId w:val="0"/>
        </w:numPr>
      </w:pPr>
    </w:p>
    <w:p w:rsidR="00AA55F1" w:rsidRPr="000A3536" w:rsidRDefault="00AA55F1" w:rsidP="00AA55F1">
      <w:pPr>
        <w:pStyle w:val="Heading3"/>
        <w:ind w:left="0"/>
      </w:pPr>
      <w:r>
        <w:lastRenderedPageBreak/>
        <w:t>Housing need and affordable housing</w:t>
      </w:r>
    </w:p>
    <w:p w:rsidR="00AA55F1" w:rsidRDefault="00AA55F1" w:rsidP="00AA55F1">
      <w:pPr>
        <w:pStyle w:val="Maintext"/>
        <w:numPr>
          <w:ilvl w:val="0"/>
          <w:numId w:val="0"/>
        </w:numPr>
        <w:rPr>
          <w:bCs/>
        </w:rPr>
      </w:pPr>
      <w:r>
        <w:t xml:space="preserve">Housing need is defined as ‘the quantity of housing required for households who are unable to access suitable housing without financial assistance’. </w:t>
      </w:r>
      <w:r>
        <w:rPr>
          <w:bCs/>
        </w:rPr>
        <w:t xml:space="preserve">A key element of the study is to explore the scale of housing need and the extent to which additional affordable housing is needed. </w:t>
      </w:r>
    </w:p>
    <w:p w:rsidR="00AA55F1" w:rsidRPr="00292495" w:rsidRDefault="00AA55F1" w:rsidP="00AA55F1">
      <w:pPr>
        <w:pStyle w:val="Maintext"/>
        <w:numPr>
          <w:ilvl w:val="0"/>
          <w:numId w:val="0"/>
        </w:numPr>
        <w:rPr>
          <w:bCs/>
        </w:rPr>
      </w:pPr>
      <w:r>
        <w:rPr>
          <w:bCs/>
        </w:rPr>
        <w:t>Affordable housing is defined as either social</w:t>
      </w:r>
      <w:r w:rsidR="0009011B">
        <w:rPr>
          <w:bCs/>
        </w:rPr>
        <w:t>/affordable</w:t>
      </w:r>
      <w:r>
        <w:rPr>
          <w:bCs/>
        </w:rPr>
        <w:t xml:space="preserve"> rented or intermediate housing which is provided and made available to eligible households (i.e. those who lack their own housing or live in unsuitable housing) who cannot afford to meet their needs through the market.  Intermediate affordable housing is housing at prices and rents above those of social rents, but below market prices or rents.</w:t>
      </w:r>
    </w:p>
    <w:p w:rsidR="00AA55F1" w:rsidRPr="00950A90" w:rsidRDefault="00AA55F1" w:rsidP="006B4CDE">
      <w:pPr>
        <w:pStyle w:val="Maintext"/>
        <w:numPr>
          <w:ilvl w:val="0"/>
          <w:numId w:val="0"/>
        </w:numPr>
        <w:rPr>
          <w:bCs/>
        </w:rPr>
      </w:pPr>
      <w:r w:rsidRPr="00950A90">
        <w:t>The scale of affordable requirements has been assessed by taking into account the annual need from existing and newl</w:t>
      </w:r>
      <w:r w:rsidR="00F87D14" w:rsidRPr="00950A90">
        <w:t xml:space="preserve">y-forming households within </w:t>
      </w:r>
      <w:r w:rsidR="00950A90">
        <w:t xml:space="preserve">County Durham </w:t>
      </w:r>
      <w:r w:rsidRPr="00950A90">
        <w:t xml:space="preserve">and comparing this with the supply of affordable (social/affordable rent and intermediate tenure dwellings). </w:t>
      </w:r>
      <w:r w:rsidR="006B4CDE" w:rsidRPr="00950A90">
        <w:t xml:space="preserve"> The overall net shortfall is </w:t>
      </w:r>
      <w:r w:rsidR="00A909F6">
        <w:rPr>
          <w:b/>
        </w:rPr>
        <w:t>674</w:t>
      </w:r>
      <w:r w:rsidRPr="00950A90">
        <w:rPr>
          <w:b/>
        </w:rPr>
        <w:t xml:space="preserve"> affordable dwellings</w:t>
      </w:r>
      <w:r w:rsidR="00FB2D23" w:rsidRPr="00950A90">
        <w:rPr>
          <w:b/>
        </w:rPr>
        <w:t xml:space="preserve"> </w:t>
      </w:r>
      <w:r w:rsidR="00FB2D23" w:rsidRPr="00950A90">
        <w:t xml:space="preserve">across </w:t>
      </w:r>
      <w:r w:rsidR="00950A90">
        <w:t xml:space="preserve">County Durham </w:t>
      </w:r>
      <w:r w:rsidR="000077CF" w:rsidRPr="00950A90">
        <w:t>each year</w:t>
      </w:r>
      <w:r w:rsidRPr="00950A90">
        <w:t xml:space="preserve">. This figure is a measure of the extent to which the requirement for affordable housing is greater than the current supply. </w:t>
      </w:r>
      <w:r w:rsidRPr="00950A90">
        <w:rPr>
          <w:bCs/>
        </w:rPr>
        <w:t>Table ES1 provides a summary of annual a</w:t>
      </w:r>
      <w:r w:rsidR="00110772" w:rsidRPr="00950A90">
        <w:rPr>
          <w:bCs/>
        </w:rPr>
        <w:t>fforda</w:t>
      </w:r>
      <w:r w:rsidR="00950A90">
        <w:rPr>
          <w:bCs/>
        </w:rPr>
        <w:t xml:space="preserve">ble shortfalls by </w:t>
      </w:r>
      <w:r w:rsidR="00B440F0">
        <w:rPr>
          <w:bCs/>
        </w:rPr>
        <w:t>delivery area</w:t>
      </w:r>
      <w:r w:rsidR="00CF5794">
        <w:rPr>
          <w:bCs/>
        </w:rPr>
        <w:t>.</w:t>
      </w:r>
    </w:p>
    <w:p w:rsidR="00AA55F1" w:rsidRPr="00950A90" w:rsidRDefault="00AA55F1" w:rsidP="00AA55F1">
      <w:pPr>
        <w:pStyle w:val="Maintext"/>
        <w:numPr>
          <w:ilvl w:val="0"/>
          <w:numId w:val="0"/>
        </w:numPr>
        <w:rPr>
          <w:bCs/>
        </w:rPr>
      </w:pPr>
      <w:r w:rsidRPr="00950A90">
        <w:rPr>
          <w:bCs/>
        </w:rPr>
        <w:t>In terms of the split between social rented and intermediate tenure products, the household survey identified tenure preferences of existi</w:t>
      </w:r>
      <w:r w:rsidR="00FB2D23" w:rsidRPr="00950A90">
        <w:rPr>
          <w:bCs/>
        </w:rPr>
        <w:t>ng and newly-forming households</w:t>
      </w:r>
      <w:r w:rsidR="00110772" w:rsidRPr="00950A90">
        <w:rPr>
          <w:bCs/>
        </w:rPr>
        <w:t>.</w:t>
      </w:r>
      <w:r w:rsidR="00FB2D23" w:rsidRPr="00950A90">
        <w:rPr>
          <w:bCs/>
        </w:rPr>
        <w:t xml:space="preserve"> Th</w:t>
      </w:r>
      <w:r w:rsidR="00EB0331">
        <w:rPr>
          <w:bCs/>
        </w:rPr>
        <w:t>is suggests a tenure split of 76.7</w:t>
      </w:r>
      <w:r w:rsidR="00FB2D23" w:rsidRPr="00950A90">
        <w:rPr>
          <w:bCs/>
        </w:rPr>
        <w:t>% a</w:t>
      </w:r>
      <w:r w:rsidR="00950A90" w:rsidRPr="00950A90">
        <w:rPr>
          <w:bCs/>
        </w:rPr>
        <w:t>ff</w:t>
      </w:r>
      <w:r w:rsidR="00EB0331">
        <w:rPr>
          <w:bCs/>
        </w:rPr>
        <w:t>ordable (social) rented and 23.3</w:t>
      </w:r>
      <w:r w:rsidR="00FB2D23" w:rsidRPr="00950A90">
        <w:rPr>
          <w:bCs/>
        </w:rPr>
        <w:t xml:space="preserve">% intermediate </w:t>
      </w:r>
      <w:r w:rsidR="006E3921" w:rsidRPr="00950A90">
        <w:rPr>
          <w:bCs/>
        </w:rPr>
        <w:t xml:space="preserve">tenure. </w:t>
      </w:r>
    </w:p>
    <w:p w:rsidR="00AA55F1" w:rsidRPr="0035395D" w:rsidRDefault="00AA55F1" w:rsidP="00AA55F1">
      <w:pPr>
        <w:pStyle w:val="Maintext"/>
        <w:numPr>
          <w:ilvl w:val="0"/>
          <w:numId w:val="0"/>
        </w:numPr>
        <w:ind w:left="709"/>
        <w:rPr>
          <w:bCs/>
          <w:i/>
        </w:rPr>
      </w:pPr>
    </w:p>
    <w:p w:rsidR="00A909F6" w:rsidRDefault="00AA55F1" w:rsidP="00A909F6">
      <w:pPr>
        <w:pStyle w:val="Maintext"/>
        <w:numPr>
          <w:ilvl w:val="0"/>
          <w:numId w:val="0"/>
        </w:numPr>
        <w:ind w:left="1440" w:hanging="1440"/>
      </w:pPr>
      <w:r>
        <w:rPr>
          <w:b/>
        </w:rPr>
        <w:t>Table ES1</w:t>
      </w:r>
      <w:r>
        <w:tab/>
        <w:t xml:space="preserve">Annual affordable housing requirements by </w:t>
      </w:r>
      <w:r w:rsidR="005D7D0B">
        <w:t>d</w:t>
      </w:r>
      <w:r w:rsidR="00B440F0">
        <w:t>elivery area</w:t>
      </w:r>
      <w:r w:rsidR="00667143">
        <w:t xml:space="preserve">, </w:t>
      </w:r>
      <w:r>
        <w:t xml:space="preserve">property size and designation (general needs/older person) </w:t>
      </w:r>
      <w:r w:rsidR="00EB0331">
        <w:t>2013/14 to 2017/18</w:t>
      </w:r>
    </w:p>
    <w:tbl>
      <w:tblPr>
        <w:tblW w:w="8260" w:type="dxa"/>
        <w:tblInd w:w="94" w:type="dxa"/>
        <w:tblLook w:val="04A0" w:firstRow="1" w:lastRow="0" w:firstColumn="1" w:lastColumn="0" w:noHBand="0" w:noVBand="1"/>
      </w:tblPr>
      <w:tblGrid>
        <w:gridCol w:w="3360"/>
        <w:gridCol w:w="1080"/>
        <w:gridCol w:w="1080"/>
        <w:gridCol w:w="1660"/>
        <w:gridCol w:w="1080"/>
      </w:tblGrid>
      <w:tr w:rsidR="00A909F6" w:rsidRPr="00A909F6" w:rsidTr="00A909F6">
        <w:trPr>
          <w:trHeight w:val="600"/>
        </w:trPr>
        <w:tc>
          <w:tcPr>
            <w:tcW w:w="3360" w:type="dxa"/>
            <w:tcBorders>
              <w:top w:val="single" w:sz="4" w:space="0" w:color="auto"/>
              <w:left w:val="single" w:sz="4" w:space="0" w:color="auto"/>
              <w:bottom w:val="nil"/>
              <w:right w:val="single" w:sz="4" w:space="0" w:color="auto"/>
            </w:tcBorders>
            <w:shd w:val="clear" w:color="000000" w:fill="008080"/>
            <w:noWrap/>
            <w:vAlign w:val="bottom"/>
            <w:hideMark/>
          </w:tcPr>
          <w:p w:rsidR="00A909F6" w:rsidRPr="00A909F6" w:rsidRDefault="00A909F6" w:rsidP="00A909F6">
            <w:pPr>
              <w:spacing w:before="0" w:after="0"/>
              <w:rPr>
                <w:rFonts w:cs="Arial"/>
                <w:b/>
                <w:bCs/>
                <w:color w:val="FFFFFF"/>
                <w:sz w:val="22"/>
                <w:szCs w:val="22"/>
                <w:lang w:eastAsia="en-GB"/>
              </w:rPr>
            </w:pPr>
            <w:r w:rsidRPr="00A909F6">
              <w:rPr>
                <w:rFonts w:cs="Arial"/>
                <w:b/>
                <w:bCs/>
                <w:color w:val="FFFFFF"/>
                <w:sz w:val="22"/>
                <w:szCs w:val="22"/>
                <w:lang w:eastAsia="en-GB"/>
              </w:rPr>
              <w:t>Delivery area</w:t>
            </w:r>
          </w:p>
        </w:tc>
        <w:tc>
          <w:tcPr>
            <w:tcW w:w="2160" w:type="dxa"/>
            <w:gridSpan w:val="2"/>
            <w:tcBorders>
              <w:top w:val="single" w:sz="4" w:space="0" w:color="auto"/>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General</w:t>
            </w:r>
          </w:p>
        </w:tc>
        <w:tc>
          <w:tcPr>
            <w:tcW w:w="1660" w:type="dxa"/>
            <w:tcBorders>
              <w:top w:val="single" w:sz="4" w:space="0" w:color="auto"/>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Older Person</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TOTAL</w:t>
            </w:r>
          </w:p>
        </w:tc>
      </w:tr>
      <w:tr w:rsidR="00A909F6" w:rsidRPr="00A909F6" w:rsidTr="00A909F6">
        <w:trPr>
          <w:trHeight w:val="600"/>
        </w:trPr>
        <w:tc>
          <w:tcPr>
            <w:tcW w:w="3360" w:type="dxa"/>
            <w:tcBorders>
              <w:top w:val="nil"/>
              <w:left w:val="single" w:sz="4" w:space="0" w:color="auto"/>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rPr>
                <w:rFonts w:cs="Arial"/>
                <w:b/>
                <w:bCs/>
                <w:color w:val="FFFFFF"/>
                <w:sz w:val="22"/>
                <w:szCs w:val="22"/>
                <w:lang w:eastAsia="en-GB"/>
              </w:rPr>
            </w:pPr>
            <w:r w:rsidRPr="00A909F6">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Smaller 1/2 Bed</w:t>
            </w:r>
          </w:p>
        </w:tc>
        <w:tc>
          <w:tcPr>
            <w:tcW w:w="1080" w:type="dxa"/>
            <w:tcBorders>
              <w:top w:val="nil"/>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3+Bed</w:t>
            </w:r>
          </w:p>
        </w:tc>
        <w:tc>
          <w:tcPr>
            <w:tcW w:w="1660" w:type="dxa"/>
            <w:tcBorders>
              <w:top w:val="nil"/>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 </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North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72</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-27</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110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156</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Central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68</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31</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90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189</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East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70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-26</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108</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152</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The Dales and South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-33</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210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177</w:t>
            </w:r>
          </w:p>
        </w:tc>
      </w:tr>
      <w:tr w:rsidR="00A909F6" w:rsidRPr="00A909F6" w:rsidTr="00A909F6">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Total</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210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-54</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519</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674</w:t>
            </w:r>
          </w:p>
        </w:tc>
      </w:tr>
    </w:tbl>
    <w:p w:rsidR="00A909F6" w:rsidRDefault="00A909F6" w:rsidP="00AA55F1">
      <w:pPr>
        <w:pStyle w:val="Heading3"/>
        <w:ind w:left="0"/>
      </w:pPr>
    </w:p>
    <w:p w:rsidR="00AA55F1" w:rsidRPr="000A3536" w:rsidRDefault="00AA55F1" w:rsidP="00AA55F1">
      <w:pPr>
        <w:pStyle w:val="Heading3"/>
        <w:ind w:left="0"/>
      </w:pPr>
      <w:r>
        <w:t>Market demand</w:t>
      </w:r>
    </w:p>
    <w:p w:rsidR="00EB0331" w:rsidRDefault="00FB2D23" w:rsidP="00EB0331">
      <w:pPr>
        <w:pStyle w:val="Maintext"/>
        <w:numPr>
          <w:ilvl w:val="0"/>
          <w:numId w:val="0"/>
        </w:numPr>
      </w:pPr>
      <w:r>
        <w:t xml:space="preserve">Households intending to move in the open market were asked what type and size of property they would like and expect to move to. </w:t>
      </w:r>
      <w:r w:rsidR="00EB0331">
        <w:t xml:space="preserve">Of households moving, most would like to move to a house (77.8%), 16.7% would like to move to a bungalow and 5.4% to a flat. This compares with 79.8% who expect to move to a house, 14.2% to a bungalow and 5.5% to a flat. Although households are expecting to broadly achieve their aspirations, a higher proportion would like to move to a detached house (55.4%) but only 28.6% expect to. In contrast, higher proportions expect to move to a semi-detached house (34.6%) than would prefer to (16.9%).  </w:t>
      </w:r>
    </w:p>
    <w:p w:rsidR="00EB0331" w:rsidRDefault="00EB0331" w:rsidP="000B0F10">
      <w:pPr>
        <w:pStyle w:val="Maintext"/>
        <w:numPr>
          <w:ilvl w:val="0"/>
          <w:numId w:val="0"/>
        </w:numPr>
      </w:pPr>
    </w:p>
    <w:p w:rsidR="00EB0331" w:rsidRDefault="00FB2D23" w:rsidP="00EB0331">
      <w:pPr>
        <w:pStyle w:val="Maintext"/>
        <w:numPr>
          <w:ilvl w:val="0"/>
          <w:numId w:val="0"/>
        </w:numPr>
      </w:pPr>
      <w:r>
        <w:lastRenderedPageBreak/>
        <w:t xml:space="preserve">In terms of property size, the majority of respondents </w:t>
      </w:r>
      <w:r w:rsidRPr="00667143">
        <w:rPr>
          <w:i/>
        </w:rPr>
        <w:t>expect</w:t>
      </w:r>
      <w:r>
        <w:t xml:space="preserve"> to</w:t>
      </w:r>
      <w:r w:rsidR="000B0F10">
        <w:t xml:space="preserve"> move to a property with </w:t>
      </w:r>
      <w:r w:rsidR="00EB0331">
        <w:t xml:space="preserve">two (26.1%), three (50.3%) or four or more (23.1%) bedrooms. A higher proportion of households would </w:t>
      </w:r>
      <w:r w:rsidR="00EB0331" w:rsidRPr="00EB0331">
        <w:rPr>
          <w:i/>
        </w:rPr>
        <w:t xml:space="preserve">like </w:t>
      </w:r>
      <w:r w:rsidR="00EB0331">
        <w:t>a property with four or more bedrooms (39.2%).</w:t>
      </w:r>
    </w:p>
    <w:p w:rsidR="00AA55F1" w:rsidRDefault="00AA55F1" w:rsidP="00AA55F1">
      <w:pPr>
        <w:pStyle w:val="Maintext"/>
        <w:numPr>
          <w:ilvl w:val="0"/>
          <w:numId w:val="0"/>
        </w:numPr>
      </w:pPr>
      <w:r>
        <w:t>Newly-forming households</w:t>
      </w:r>
      <w:r w:rsidR="000B0F10">
        <w:t xml:space="preserve"> have mainly </w:t>
      </w:r>
      <w:r>
        <w:t>move</w:t>
      </w:r>
      <w:r w:rsidR="00667143">
        <w:t>d</w:t>
      </w:r>
      <w:r>
        <w:t xml:space="preserve"> to </w:t>
      </w:r>
      <w:r w:rsidR="00EB0331">
        <w:t>terraced houses (39.4%), semi-detached houses (27.6</w:t>
      </w:r>
      <w:r w:rsidR="00FB2D23">
        <w:t xml:space="preserve">%), </w:t>
      </w:r>
      <w:r>
        <w:t>terraced houses</w:t>
      </w:r>
      <w:r w:rsidR="00FB2D23">
        <w:t xml:space="preserve"> </w:t>
      </w:r>
      <w:r w:rsidR="00EB0331">
        <w:t>and flats/apartments (19.2</w:t>
      </w:r>
      <w:r w:rsidR="00FB2D23">
        <w:t>%); and properties with two (</w:t>
      </w:r>
      <w:r w:rsidR="00EB0331">
        <w:t>60.7%) and three (29.9</w:t>
      </w:r>
      <w:r>
        <w:t xml:space="preserve">%) bedrooms. </w:t>
      </w:r>
    </w:p>
    <w:p w:rsidR="00AA55F1" w:rsidRDefault="00AA55F1" w:rsidP="00AA55F1">
      <w:pPr>
        <w:pStyle w:val="Maintext"/>
        <w:numPr>
          <w:ilvl w:val="0"/>
          <w:numId w:val="0"/>
        </w:numPr>
      </w:pPr>
      <w:r>
        <w:t xml:space="preserve">Using household survey data, it is possible to </w:t>
      </w:r>
      <w:r w:rsidR="000B0F10">
        <w:t>establish</w:t>
      </w:r>
      <w:r>
        <w:t xml:space="preserve"> market demand (as measured by the aspirations from existing households, newly-forming households and in-migrant households).  This can then be reconciled with the likely supply based on turnover rates in the preceding </w:t>
      </w:r>
      <w:r w:rsidR="002E0355">
        <w:t xml:space="preserve">five years. Table ES2 shows </w:t>
      </w:r>
      <w:r>
        <w:t>where there are imbalances in the provision of general market accommodation relative to expectations</w:t>
      </w:r>
      <w:r w:rsidR="002E0355">
        <w:t>.</w:t>
      </w:r>
    </w:p>
    <w:p w:rsidR="00D42388" w:rsidRDefault="00D42388" w:rsidP="00D42388">
      <w:pPr>
        <w:pStyle w:val="Maintext"/>
        <w:numPr>
          <w:ilvl w:val="0"/>
          <w:numId w:val="0"/>
        </w:numPr>
        <w:tabs>
          <w:tab w:val="left" w:pos="1830"/>
        </w:tabs>
      </w:pPr>
      <w:r>
        <w:tab/>
      </w:r>
    </w:p>
    <w:p w:rsidR="00D42388" w:rsidRDefault="00D42388" w:rsidP="00D42388">
      <w:pPr>
        <w:pStyle w:val="Maintext"/>
        <w:numPr>
          <w:ilvl w:val="0"/>
          <w:numId w:val="0"/>
        </w:numPr>
      </w:pPr>
      <w:r w:rsidRPr="00D42388">
        <w:rPr>
          <w:b/>
        </w:rPr>
        <w:t>Table ES2</w:t>
      </w:r>
      <w:r>
        <w:tab/>
        <w:t xml:space="preserve">Review of general market supply and demand by </w:t>
      </w:r>
      <w:r w:rsidR="005D7D0B">
        <w:t>d</w:t>
      </w:r>
      <w:r w:rsidR="00B440F0">
        <w:t>elivery area</w:t>
      </w:r>
    </w:p>
    <w:tbl>
      <w:tblPr>
        <w:tblW w:w="7655" w:type="dxa"/>
        <w:tblInd w:w="817" w:type="dxa"/>
        <w:tblLook w:val="04A0" w:firstRow="1" w:lastRow="0" w:firstColumn="1" w:lastColumn="0" w:noHBand="0" w:noVBand="1"/>
      </w:tblPr>
      <w:tblGrid>
        <w:gridCol w:w="1843"/>
        <w:gridCol w:w="992"/>
        <w:gridCol w:w="992"/>
        <w:gridCol w:w="993"/>
        <w:gridCol w:w="992"/>
        <w:gridCol w:w="928"/>
        <w:gridCol w:w="915"/>
      </w:tblGrid>
      <w:tr w:rsidR="00EB0331" w:rsidRPr="0021643B" w:rsidTr="009F7EE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b/>
                <w:bCs/>
                <w:color w:val="000000"/>
                <w:sz w:val="22"/>
                <w:szCs w:val="22"/>
                <w:lang w:eastAsia="en-GB"/>
              </w:rPr>
            </w:pPr>
            <w:r w:rsidRPr="0021643B">
              <w:rPr>
                <w:rFonts w:cs="Arial"/>
                <w:b/>
                <w:bCs/>
                <w:color w:val="000000"/>
                <w:sz w:val="22"/>
                <w:szCs w:val="22"/>
                <w:lang w:eastAsia="en-GB"/>
              </w:rPr>
              <w:t> </w:t>
            </w:r>
          </w:p>
        </w:tc>
        <w:tc>
          <w:tcPr>
            <w:tcW w:w="581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B0331" w:rsidRPr="0021643B" w:rsidRDefault="00EB0331" w:rsidP="009F7EE4">
            <w:pPr>
              <w:spacing w:before="0" w:after="0"/>
              <w:jc w:val="center"/>
              <w:rPr>
                <w:rFonts w:cs="Arial"/>
                <w:b/>
                <w:bCs/>
                <w:color w:val="000000"/>
                <w:sz w:val="22"/>
                <w:szCs w:val="22"/>
                <w:lang w:eastAsia="en-GB"/>
              </w:rPr>
            </w:pPr>
            <w:r w:rsidRPr="0021643B">
              <w:rPr>
                <w:rFonts w:cs="Arial"/>
                <w:b/>
                <w:bCs/>
                <w:color w:val="000000"/>
                <w:sz w:val="22"/>
                <w:szCs w:val="22"/>
                <w:lang w:eastAsia="en-GB"/>
              </w:rPr>
              <w:t>Delivery Area</w:t>
            </w:r>
          </w:p>
        </w:tc>
      </w:tr>
      <w:tr w:rsidR="00EB0331" w:rsidRPr="0021643B" w:rsidTr="009F7EE4">
        <w:trPr>
          <w:trHeight w:val="52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b/>
                <w:bCs/>
                <w:color w:val="000000"/>
                <w:sz w:val="22"/>
                <w:szCs w:val="22"/>
                <w:lang w:eastAsia="en-GB"/>
              </w:rPr>
            </w:pPr>
            <w:r w:rsidRPr="0021643B">
              <w:rPr>
                <w:rFonts w:cs="Arial"/>
                <w:b/>
                <w:bCs/>
                <w:color w:val="000000"/>
                <w:sz w:val="22"/>
                <w:szCs w:val="22"/>
                <w:lang w:eastAsia="en-GB"/>
              </w:rPr>
              <w:t>Dwelling type</w:t>
            </w:r>
          </w:p>
        </w:tc>
        <w:tc>
          <w:tcPr>
            <w:tcW w:w="992" w:type="dxa"/>
            <w:tcBorders>
              <w:top w:val="nil"/>
              <w:left w:val="nil"/>
              <w:bottom w:val="single" w:sz="4" w:space="0" w:color="auto"/>
              <w:right w:val="single" w:sz="4" w:space="0" w:color="auto"/>
            </w:tcBorders>
            <w:shd w:val="clear" w:color="auto" w:fill="auto"/>
            <w:vAlign w:val="bottom"/>
            <w:hideMark/>
          </w:tcPr>
          <w:p w:rsidR="00EB0331" w:rsidRPr="0021643B" w:rsidRDefault="00EB0331" w:rsidP="009F7EE4">
            <w:pPr>
              <w:spacing w:before="0" w:after="0"/>
              <w:jc w:val="center"/>
              <w:rPr>
                <w:rFonts w:cs="Arial"/>
                <w:sz w:val="20"/>
                <w:szCs w:val="20"/>
                <w:lang w:eastAsia="en-GB"/>
              </w:rPr>
            </w:pPr>
            <w:r w:rsidRPr="0021643B">
              <w:rPr>
                <w:rFonts w:cs="Arial"/>
                <w:sz w:val="20"/>
                <w:szCs w:val="20"/>
                <w:lang w:eastAsia="en-GB"/>
              </w:rPr>
              <w:t>North Durham</w:t>
            </w:r>
          </w:p>
        </w:tc>
        <w:tc>
          <w:tcPr>
            <w:tcW w:w="992" w:type="dxa"/>
            <w:tcBorders>
              <w:top w:val="nil"/>
              <w:left w:val="nil"/>
              <w:bottom w:val="single" w:sz="4" w:space="0" w:color="auto"/>
              <w:right w:val="single" w:sz="4" w:space="0" w:color="auto"/>
            </w:tcBorders>
            <w:shd w:val="clear" w:color="auto" w:fill="auto"/>
            <w:vAlign w:val="bottom"/>
            <w:hideMark/>
          </w:tcPr>
          <w:p w:rsidR="00EB0331" w:rsidRPr="0021643B" w:rsidRDefault="00EB0331" w:rsidP="009F7EE4">
            <w:pPr>
              <w:spacing w:before="0" w:after="0"/>
              <w:jc w:val="center"/>
              <w:rPr>
                <w:rFonts w:cs="Arial"/>
                <w:sz w:val="20"/>
                <w:szCs w:val="20"/>
                <w:lang w:eastAsia="en-GB"/>
              </w:rPr>
            </w:pPr>
            <w:r w:rsidRPr="0021643B">
              <w:rPr>
                <w:rFonts w:cs="Arial"/>
                <w:sz w:val="20"/>
                <w:szCs w:val="20"/>
                <w:lang w:eastAsia="en-GB"/>
              </w:rPr>
              <w:t>Central Durham</w:t>
            </w:r>
          </w:p>
        </w:tc>
        <w:tc>
          <w:tcPr>
            <w:tcW w:w="993" w:type="dxa"/>
            <w:tcBorders>
              <w:top w:val="nil"/>
              <w:left w:val="nil"/>
              <w:bottom w:val="single" w:sz="4" w:space="0" w:color="auto"/>
              <w:right w:val="single" w:sz="4" w:space="0" w:color="auto"/>
            </w:tcBorders>
            <w:shd w:val="clear" w:color="auto" w:fill="auto"/>
            <w:vAlign w:val="bottom"/>
            <w:hideMark/>
          </w:tcPr>
          <w:p w:rsidR="00EB0331" w:rsidRPr="0021643B" w:rsidRDefault="00EB0331" w:rsidP="009F7EE4">
            <w:pPr>
              <w:spacing w:before="0" w:after="0"/>
              <w:jc w:val="center"/>
              <w:rPr>
                <w:rFonts w:cs="Arial"/>
                <w:sz w:val="20"/>
                <w:szCs w:val="20"/>
                <w:lang w:eastAsia="en-GB"/>
              </w:rPr>
            </w:pPr>
            <w:r w:rsidRPr="0021643B">
              <w:rPr>
                <w:rFonts w:cs="Arial"/>
                <w:sz w:val="20"/>
                <w:szCs w:val="20"/>
                <w:lang w:eastAsia="en-GB"/>
              </w:rPr>
              <w:t>East Durham</w:t>
            </w:r>
          </w:p>
        </w:tc>
        <w:tc>
          <w:tcPr>
            <w:tcW w:w="992" w:type="dxa"/>
            <w:tcBorders>
              <w:top w:val="nil"/>
              <w:left w:val="nil"/>
              <w:bottom w:val="single" w:sz="4" w:space="0" w:color="auto"/>
              <w:right w:val="single" w:sz="4" w:space="0" w:color="auto"/>
            </w:tcBorders>
            <w:shd w:val="clear" w:color="auto" w:fill="auto"/>
            <w:vAlign w:val="bottom"/>
            <w:hideMark/>
          </w:tcPr>
          <w:p w:rsidR="00EB0331" w:rsidRPr="0021643B" w:rsidRDefault="00EB0331" w:rsidP="009F7EE4">
            <w:pPr>
              <w:spacing w:before="0" w:after="0"/>
              <w:jc w:val="center"/>
              <w:rPr>
                <w:rFonts w:cs="Arial"/>
                <w:sz w:val="20"/>
                <w:szCs w:val="20"/>
                <w:lang w:eastAsia="en-GB"/>
              </w:rPr>
            </w:pPr>
            <w:r w:rsidRPr="0021643B">
              <w:rPr>
                <w:rFonts w:cs="Arial"/>
                <w:sz w:val="20"/>
                <w:szCs w:val="20"/>
                <w:lang w:eastAsia="en-GB"/>
              </w:rPr>
              <w:t>The Dales</w:t>
            </w:r>
          </w:p>
        </w:tc>
        <w:tc>
          <w:tcPr>
            <w:tcW w:w="928" w:type="dxa"/>
            <w:tcBorders>
              <w:top w:val="nil"/>
              <w:left w:val="nil"/>
              <w:bottom w:val="single" w:sz="4" w:space="0" w:color="auto"/>
              <w:right w:val="single" w:sz="4" w:space="0" w:color="auto"/>
            </w:tcBorders>
            <w:shd w:val="clear" w:color="auto" w:fill="auto"/>
            <w:vAlign w:val="bottom"/>
            <w:hideMark/>
          </w:tcPr>
          <w:p w:rsidR="00EB0331" w:rsidRPr="0021643B" w:rsidRDefault="00EB0331" w:rsidP="009F7EE4">
            <w:pPr>
              <w:spacing w:before="0" w:after="0"/>
              <w:jc w:val="center"/>
              <w:rPr>
                <w:rFonts w:cs="Arial"/>
                <w:sz w:val="20"/>
                <w:szCs w:val="20"/>
                <w:lang w:eastAsia="en-GB"/>
              </w:rPr>
            </w:pPr>
            <w:r w:rsidRPr="0021643B">
              <w:rPr>
                <w:rFonts w:cs="Arial"/>
                <w:sz w:val="20"/>
                <w:szCs w:val="20"/>
                <w:lang w:eastAsia="en-GB"/>
              </w:rPr>
              <w:t>South Durham</w:t>
            </w:r>
          </w:p>
        </w:tc>
        <w:tc>
          <w:tcPr>
            <w:tcW w:w="915" w:type="dxa"/>
            <w:tcBorders>
              <w:top w:val="nil"/>
              <w:left w:val="nil"/>
              <w:bottom w:val="single" w:sz="4" w:space="0" w:color="auto"/>
              <w:right w:val="single" w:sz="4" w:space="0" w:color="auto"/>
            </w:tcBorders>
            <w:shd w:val="clear" w:color="auto" w:fill="auto"/>
            <w:vAlign w:val="bottom"/>
            <w:hideMark/>
          </w:tcPr>
          <w:p w:rsidR="00EB0331" w:rsidRPr="0021643B" w:rsidRDefault="00EB0331" w:rsidP="009F7EE4">
            <w:pPr>
              <w:spacing w:before="0" w:after="0"/>
              <w:jc w:val="center"/>
              <w:rPr>
                <w:rFonts w:cs="Arial"/>
                <w:sz w:val="20"/>
                <w:szCs w:val="20"/>
                <w:lang w:eastAsia="en-GB"/>
              </w:rPr>
            </w:pPr>
            <w:r w:rsidRPr="0021643B">
              <w:rPr>
                <w:rFonts w:cs="Arial"/>
                <w:sz w:val="20"/>
                <w:szCs w:val="20"/>
                <w:lang w:eastAsia="en-GB"/>
              </w:rPr>
              <w:t>Total</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Detached House</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0.85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1.10</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1.03</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Semi-Detached House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0.95</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1.11</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0.87</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1.15</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1.02</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Terraced House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0.96</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0.93</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0.70</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0.97</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Bungalow</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1.31</w:t>
            </w:r>
          </w:p>
        </w:tc>
        <w:tc>
          <w:tcPr>
            <w:tcW w:w="992" w:type="dxa"/>
            <w:tcBorders>
              <w:top w:val="nil"/>
              <w:left w:val="nil"/>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0.95</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1.35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1.09</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Flat</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0.73</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0.58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0.67</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1.25</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0.89</w:t>
            </w:r>
          </w:p>
        </w:tc>
      </w:tr>
      <w:tr w:rsidR="00EB0331" w:rsidRPr="0021643B" w:rsidTr="009F7EE4">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b/>
                <w:bCs/>
                <w:color w:val="000000"/>
                <w:sz w:val="22"/>
                <w:szCs w:val="22"/>
                <w:lang w:eastAsia="en-GB"/>
              </w:rPr>
            </w:pPr>
            <w:r w:rsidRPr="0021643B">
              <w:rPr>
                <w:rFonts w:cs="Arial"/>
                <w:b/>
                <w:bCs/>
                <w:color w:val="000000"/>
                <w:sz w:val="22"/>
                <w:szCs w:val="22"/>
                <w:lang w:eastAsia="en-GB"/>
              </w:rPr>
              <w:t>TOTAL</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1.01</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0.94</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0.79</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1.10</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0.99</w:t>
            </w:r>
          </w:p>
        </w:tc>
      </w:tr>
      <w:tr w:rsidR="00EB0331" w:rsidRPr="0021643B" w:rsidTr="009F7EE4">
        <w:trPr>
          <w:trHeight w:val="300"/>
        </w:trPr>
        <w:tc>
          <w:tcPr>
            <w:tcW w:w="1843" w:type="dxa"/>
            <w:tcBorders>
              <w:top w:val="nil"/>
              <w:left w:val="single" w:sz="4" w:space="0" w:color="auto"/>
              <w:bottom w:val="single" w:sz="4" w:space="0" w:color="auto"/>
              <w:right w:val="nil"/>
            </w:tcBorders>
            <w:shd w:val="clear" w:color="auto" w:fill="auto"/>
            <w:noWrap/>
            <w:vAlign w:val="bottom"/>
            <w:hideMark/>
          </w:tcPr>
          <w:p w:rsidR="00EB0331" w:rsidRPr="0021643B" w:rsidRDefault="00EB0331" w:rsidP="009F7EE4">
            <w:pPr>
              <w:spacing w:before="0" w:after="0"/>
              <w:rPr>
                <w:rFonts w:cs="Arial"/>
                <w:b/>
                <w:bCs/>
                <w:color w:val="000000"/>
                <w:sz w:val="22"/>
                <w:szCs w:val="22"/>
                <w:lang w:eastAsia="en-GB"/>
              </w:rPr>
            </w:pPr>
            <w:r w:rsidRPr="0021643B">
              <w:rPr>
                <w:rFonts w:cs="Arial"/>
                <w:b/>
                <w:bCs/>
                <w:color w:val="000000"/>
                <w:sz w:val="22"/>
                <w:szCs w:val="22"/>
                <w:lang w:eastAsia="en-GB"/>
              </w:rPr>
              <w:t>Dwelling size</w:t>
            </w:r>
          </w:p>
        </w:tc>
        <w:tc>
          <w:tcPr>
            <w:tcW w:w="992" w:type="dxa"/>
            <w:tcBorders>
              <w:top w:val="nil"/>
              <w:left w:val="nil"/>
              <w:bottom w:val="single" w:sz="4" w:space="0" w:color="auto"/>
              <w:right w:val="nil"/>
            </w:tcBorders>
            <w:shd w:val="clear" w:color="auto" w:fill="auto"/>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92" w:type="dxa"/>
            <w:tcBorders>
              <w:top w:val="nil"/>
              <w:left w:val="nil"/>
              <w:bottom w:val="single" w:sz="4" w:space="0" w:color="auto"/>
              <w:right w:val="nil"/>
            </w:tcBorders>
            <w:shd w:val="clear" w:color="auto" w:fill="auto"/>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93" w:type="dxa"/>
            <w:tcBorders>
              <w:top w:val="nil"/>
              <w:left w:val="nil"/>
              <w:bottom w:val="single" w:sz="4" w:space="0" w:color="auto"/>
              <w:right w:val="nil"/>
            </w:tcBorders>
            <w:shd w:val="clear" w:color="auto" w:fill="auto"/>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92" w:type="dxa"/>
            <w:tcBorders>
              <w:top w:val="nil"/>
              <w:left w:val="nil"/>
              <w:bottom w:val="single" w:sz="4" w:space="0" w:color="auto"/>
              <w:right w:val="nil"/>
            </w:tcBorders>
            <w:shd w:val="clear" w:color="auto" w:fill="auto"/>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28" w:type="dxa"/>
            <w:tcBorders>
              <w:top w:val="nil"/>
              <w:left w:val="nil"/>
              <w:bottom w:val="single" w:sz="4" w:space="0" w:color="auto"/>
              <w:right w:val="nil"/>
            </w:tcBorders>
            <w:shd w:val="clear" w:color="auto" w:fill="auto"/>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 </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One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0.70</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1.53</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1.35</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Two</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0.88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0.65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1.04</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0.96</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Three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0.96</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0.87</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1.15</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1.01</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Four</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0.97</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0.99</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1.04</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0.76</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1.14</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1.03</w:t>
            </w:r>
          </w:p>
        </w:tc>
      </w:tr>
      <w:tr w:rsidR="00EB0331" w:rsidRPr="0021643B" w:rsidTr="009F7EE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sz w:val="20"/>
                <w:szCs w:val="20"/>
                <w:lang w:eastAsia="en-GB"/>
              </w:rPr>
            </w:pPr>
            <w:r w:rsidRPr="0021643B">
              <w:rPr>
                <w:rFonts w:cs="Arial"/>
                <w:sz w:val="20"/>
                <w:szCs w:val="20"/>
                <w:lang w:eastAsia="en-GB"/>
              </w:rPr>
              <w:t>Five or more</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1.44</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0.85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1.15</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1.10</w:t>
            </w:r>
          </w:p>
        </w:tc>
      </w:tr>
      <w:tr w:rsidR="00EB0331" w:rsidRPr="0021643B" w:rsidTr="009F7EE4">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EB0331" w:rsidRPr="0021643B" w:rsidRDefault="00EB0331" w:rsidP="009F7EE4">
            <w:pPr>
              <w:spacing w:before="0" w:after="0"/>
              <w:rPr>
                <w:rFonts w:cs="Arial"/>
                <w:b/>
                <w:bCs/>
                <w:color w:val="000000"/>
                <w:sz w:val="22"/>
                <w:szCs w:val="22"/>
                <w:lang w:eastAsia="en-GB"/>
              </w:rPr>
            </w:pPr>
            <w:r w:rsidRPr="0021643B">
              <w:rPr>
                <w:rFonts w:cs="Arial"/>
                <w:b/>
                <w:bCs/>
                <w:color w:val="000000"/>
                <w:sz w:val="22"/>
                <w:szCs w:val="22"/>
                <w:lang w:eastAsia="en-GB"/>
              </w:rPr>
              <w:t>TOTAL</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1.01</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0.94</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0.79</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1.10</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B0331" w:rsidRPr="0021643B" w:rsidRDefault="00EB0331" w:rsidP="009F7EE4">
            <w:pPr>
              <w:spacing w:before="0" w:after="0"/>
              <w:jc w:val="center"/>
              <w:rPr>
                <w:rFonts w:cs="Arial"/>
                <w:color w:val="000000"/>
                <w:sz w:val="16"/>
                <w:szCs w:val="16"/>
                <w:lang w:eastAsia="en-GB"/>
              </w:rPr>
            </w:pPr>
            <w:r w:rsidRPr="0021643B">
              <w:rPr>
                <w:rFonts w:cs="Arial"/>
                <w:color w:val="000000"/>
                <w:sz w:val="16"/>
                <w:szCs w:val="16"/>
                <w:lang w:eastAsia="en-GB"/>
              </w:rPr>
              <w:t>0.99</w:t>
            </w:r>
          </w:p>
        </w:tc>
      </w:tr>
    </w:tbl>
    <w:p w:rsidR="00D42388" w:rsidRDefault="00D42388" w:rsidP="00D42388">
      <w:pPr>
        <w:pStyle w:val="Maintext"/>
        <w:numPr>
          <w:ilvl w:val="0"/>
          <w:numId w:val="0"/>
        </w:numPr>
        <w:ind w:left="709"/>
      </w:pPr>
    </w:p>
    <w:tbl>
      <w:tblPr>
        <w:tblW w:w="6252" w:type="dxa"/>
        <w:tblInd w:w="720" w:type="dxa"/>
        <w:tblLook w:val="04A0" w:firstRow="1" w:lastRow="0" w:firstColumn="1" w:lastColumn="0" w:noHBand="0" w:noVBand="1"/>
      </w:tblPr>
      <w:tblGrid>
        <w:gridCol w:w="2360"/>
        <w:gridCol w:w="3892"/>
      </w:tblGrid>
      <w:tr w:rsidR="00D42388" w:rsidRPr="001A0CFB" w:rsidTr="0029556F">
        <w:trPr>
          <w:trHeight w:val="285"/>
        </w:trPr>
        <w:tc>
          <w:tcPr>
            <w:tcW w:w="2360"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D42388" w:rsidRPr="001A0CFB" w:rsidRDefault="00D42388" w:rsidP="0029556F">
            <w:pPr>
              <w:spacing w:before="0" w:after="0"/>
              <w:jc w:val="right"/>
              <w:rPr>
                <w:rFonts w:cs="Arial"/>
                <w:color w:val="000000"/>
                <w:sz w:val="16"/>
                <w:szCs w:val="16"/>
                <w:lang w:eastAsia="en-GB"/>
              </w:rPr>
            </w:pPr>
            <w:r w:rsidRPr="001A0CFB">
              <w:rPr>
                <w:rFonts w:cs="Arial"/>
                <w:color w:val="000000"/>
                <w:sz w:val="16"/>
                <w:szCs w:val="16"/>
                <w:lang w:eastAsia="en-GB"/>
              </w:rPr>
              <w:t>1.0</w:t>
            </w:r>
          </w:p>
        </w:tc>
        <w:tc>
          <w:tcPr>
            <w:tcW w:w="3892" w:type="dxa"/>
            <w:tcBorders>
              <w:top w:val="nil"/>
              <w:left w:val="nil"/>
              <w:bottom w:val="nil"/>
              <w:right w:val="nil"/>
            </w:tcBorders>
            <w:shd w:val="clear" w:color="auto" w:fill="auto"/>
            <w:noWrap/>
            <w:vAlign w:val="bottom"/>
            <w:hideMark/>
          </w:tcPr>
          <w:p w:rsidR="00D42388" w:rsidRPr="001A0CFB" w:rsidRDefault="00D42388" w:rsidP="0029556F">
            <w:pPr>
              <w:spacing w:before="0" w:after="0"/>
              <w:rPr>
                <w:rFonts w:cs="Arial"/>
                <w:color w:val="000000"/>
                <w:sz w:val="16"/>
                <w:szCs w:val="16"/>
                <w:lang w:eastAsia="en-GB"/>
              </w:rPr>
            </w:pPr>
            <w:r w:rsidRPr="001A0CFB">
              <w:rPr>
                <w:rFonts w:cs="Arial"/>
                <w:color w:val="000000"/>
                <w:sz w:val="16"/>
                <w:szCs w:val="16"/>
                <w:lang w:eastAsia="en-GB"/>
              </w:rPr>
              <w:t>Supply matches demand</w:t>
            </w:r>
          </w:p>
        </w:tc>
      </w:tr>
      <w:tr w:rsidR="00D42388" w:rsidRPr="001A0CFB" w:rsidTr="0029556F">
        <w:trPr>
          <w:trHeight w:val="285"/>
        </w:trPr>
        <w:tc>
          <w:tcPr>
            <w:tcW w:w="23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D42388" w:rsidRPr="001A0CFB" w:rsidRDefault="00D42388" w:rsidP="0029556F">
            <w:pPr>
              <w:spacing w:before="0" w:after="0"/>
              <w:jc w:val="right"/>
              <w:rPr>
                <w:rFonts w:cs="Arial"/>
                <w:color w:val="000000"/>
                <w:sz w:val="16"/>
                <w:szCs w:val="16"/>
                <w:lang w:eastAsia="en-GB"/>
              </w:rPr>
            </w:pPr>
            <w:r w:rsidRPr="001A0CFB">
              <w:rPr>
                <w:rFonts w:cs="Arial"/>
                <w:color w:val="000000"/>
                <w:sz w:val="16"/>
                <w:szCs w:val="16"/>
                <w:lang w:eastAsia="en-GB"/>
              </w:rPr>
              <w:t>1.0</w:t>
            </w:r>
          </w:p>
        </w:tc>
        <w:tc>
          <w:tcPr>
            <w:tcW w:w="3892" w:type="dxa"/>
            <w:tcBorders>
              <w:top w:val="nil"/>
              <w:left w:val="nil"/>
              <w:bottom w:val="nil"/>
              <w:right w:val="nil"/>
            </w:tcBorders>
            <w:shd w:val="clear" w:color="auto" w:fill="auto"/>
            <w:noWrap/>
            <w:vAlign w:val="bottom"/>
            <w:hideMark/>
          </w:tcPr>
          <w:p w:rsidR="00D42388" w:rsidRPr="001A0CFB" w:rsidRDefault="00D42388" w:rsidP="0029556F">
            <w:pPr>
              <w:spacing w:before="0" w:after="0"/>
              <w:rPr>
                <w:rFonts w:cs="Arial"/>
                <w:color w:val="000000"/>
                <w:sz w:val="16"/>
                <w:szCs w:val="16"/>
                <w:lang w:eastAsia="en-GB"/>
              </w:rPr>
            </w:pPr>
            <w:r w:rsidRPr="001A0CFB">
              <w:rPr>
                <w:rFonts w:cs="Arial"/>
                <w:color w:val="000000"/>
                <w:sz w:val="16"/>
                <w:szCs w:val="16"/>
                <w:lang w:eastAsia="en-GB"/>
              </w:rPr>
              <w:t>Demand greater than supply</w:t>
            </w:r>
          </w:p>
        </w:tc>
      </w:tr>
    </w:tbl>
    <w:p w:rsidR="00D42388" w:rsidRDefault="00D42388" w:rsidP="000B0F10">
      <w:pPr>
        <w:pStyle w:val="Maintext"/>
        <w:numPr>
          <w:ilvl w:val="0"/>
          <w:numId w:val="0"/>
        </w:numPr>
      </w:pPr>
    </w:p>
    <w:p w:rsidR="00EB0331" w:rsidRDefault="00EB0331" w:rsidP="00EB0331">
      <w:pPr>
        <w:pStyle w:val="Maintext"/>
        <w:numPr>
          <w:ilvl w:val="0"/>
          <w:numId w:val="0"/>
        </w:numPr>
      </w:pPr>
      <w:r w:rsidRPr="0021643B">
        <w:t>In summary, analysis of general market supply and demand suggests that across County Durham the overall demand for open market dwellings exceeds supply. Only in South and Central Durham is supply sufficient for overall demand, but in these areas there remain imbalances in some property types and sizes. Data suggests</w:t>
      </w:r>
      <w:r>
        <w:t>:</w:t>
      </w:r>
    </w:p>
    <w:p w:rsidR="00EB0331" w:rsidRDefault="00EB0331" w:rsidP="00EB0331">
      <w:pPr>
        <w:pStyle w:val="Maintext"/>
        <w:numPr>
          <w:ilvl w:val="2"/>
          <w:numId w:val="10"/>
        </w:numPr>
      </w:pPr>
      <w:r>
        <w:t>Strongest market shortfalls in North Durham, East Durham and The Dales; and</w:t>
      </w:r>
    </w:p>
    <w:p w:rsidR="00EB0331" w:rsidRDefault="00EB0331" w:rsidP="00EB0331">
      <w:pPr>
        <w:pStyle w:val="Maintext"/>
        <w:numPr>
          <w:ilvl w:val="2"/>
          <w:numId w:val="10"/>
        </w:numPr>
      </w:pPr>
      <w:r>
        <w:t>A general balance in property sizes, with specific shortfalls of smaller dwellings evidenced.</w:t>
      </w:r>
    </w:p>
    <w:p w:rsidR="00FB2D23" w:rsidRPr="00E4595A" w:rsidRDefault="00FB2D23" w:rsidP="00FB2D23">
      <w:pPr>
        <w:pStyle w:val="Maintext"/>
        <w:numPr>
          <w:ilvl w:val="0"/>
          <w:numId w:val="0"/>
        </w:numPr>
      </w:pPr>
      <w:r w:rsidRPr="00E4595A">
        <w:t xml:space="preserve">Future development should focus on delivering </w:t>
      </w:r>
      <w:r w:rsidR="00D42388">
        <w:t xml:space="preserve">the right housing </w:t>
      </w:r>
      <w:r w:rsidRPr="00E4595A">
        <w:t>to address identified shortfalls and reflect household aspira</w:t>
      </w:r>
      <w:r>
        <w:t>tions.</w:t>
      </w:r>
    </w:p>
    <w:p w:rsidR="00AA55F1" w:rsidRDefault="00AA55F1" w:rsidP="00AA55F1">
      <w:pPr>
        <w:pStyle w:val="Maintext"/>
        <w:numPr>
          <w:ilvl w:val="0"/>
          <w:numId w:val="0"/>
        </w:numPr>
        <w:ind w:left="709"/>
      </w:pPr>
    </w:p>
    <w:p w:rsidR="00AA55F1" w:rsidRDefault="00AA55F1" w:rsidP="00AA55F1">
      <w:pPr>
        <w:pStyle w:val="Heading3"/>
        <w:ind w:left="0"/>
      </w:pPr>
      <w:r w:rsidRPr="000A3536">
        <w:t>Older people</w:t>
      </w:r>
      <w:r>
        <w:t xml:space="preserve"> and adaptations</w:t>
      </w:r>
    </w:p>
    <w:p w:rsidR="00AA55F1" w:rsidRPr="002D2B9B" w:rsidRDefault="00AA55F1" w:rsidP="00AA55F1">
      <w:pPr>
        <w:jc w:val="both"/>
      </w:pPr>
      <w:r>
        <w:t xml:space="preserve">Addressing the accommodation requirements of older people is going to become a major strategic challenge for </w:t>
      </w:r>
      <w:r w:rsidR="000B0F10">
        <w:t>the Council</w:t>
      </w:r>
      <w:r w:rsidR="00667143">
        <w:t xml:space="preserve"> </w:t>
      </w:r>
      <w:r>
        <w:t xml:space="preserve">over the next few decades, with the number of residents aged 65 or over expected to increase dramatically. </w:t>
      </w:r>
    </w:p>
    <w:p w:rsidR="00EB0331" w:rsidRDefault="000B0F10" w:rsidP="00AA55F1">
      <w:pPr>
        <w:pStyle w:val="Maintext"/>
        <w:numPr>
          <w:ilvl w:val="0"/>
          <w:numId w:val="0"/>
        </w:numPr>
      </w:pPr>
      <w:r>
        <w:rPr>
          <w:rFonts w:cs="Arial"/>
        </w:rPr>
        <w:t>Th</w:t>
      </w:r>
      <w:r w:rsidR="00EB0331">
        <w:rPr>
          <w:rFonts w:cs="Arial"/>
        </w:rPr>
        <w:t>e majority of older people (61.8</w:t>
      </w:r>
      <w:r w:rsidR="00AA55F1">
        <w:rPr>
          <w:rFonts w:cs="Arial"/>
        </w:rPr>
        <w:t xml:space="preserve">%) want to continue to live in their current home with support when needed.  </w:t>
      </w:r>
      <w:r>
        <w:rPr>
          <w:rFonts w:cs="Arial"/>
        </w:rPr>
        <w:t xml:space="preserve">Of those considering moving to alternative accommodation, </w:t>
      </w:r>
      <w:r>
        <w:t xml:space="preserve">there is a degree of interest in a variety of options, with </w:t>
      </w:r>
      <w:r w:rsidR="00EB0331">
        <w:t>27.4% considering renting from the Council/Housing Association, 23.7% renting sheltered accommodation and 17.9% renting extra care housing. Additionally 19.1% are considering buying on the open market. This evidence suggests a need to continue to diversify the range of older persons’ housing provision. Additionally, providing a wider range of older persons’ accommodation has the potential to free-up larger family accommodation.</w:t>
      </w:r>
    </w:p>
    <w:p w:rsidR="00AA55F1" w:rsidRDefault="00AA55F1" w:rsidP="00AA55F1">
      <w:pPr>
        <w:pStyle w:val="Maintext"/>
        <w:numPr>
          <w:ilvl w:val="0"/>
          <w:numId w:val="0"/>
        </w:numPr>
        <w:ind w:left="709" w:hanging="709"/>
      </w:pPr>
    </w:p>
    <w:p w:rsidR="003A6F13" w:rsidRDefault="00AA55F1" w:rsidP="007E46FA">
      <w:pPr>
        <w:pStyle w:val="Heading1"/>
        <w:numPr>
          <w:ilvl w:val="0"/>
          <w:numId w:val="21"/>
        </w:numPr>
      </w:pPr>
      <w:r>
        <w:br w:type="page"/>
      </w:r>
      <w:bookmarkStart w:id="7" w:name="_Toc333507733"/>
      <w:r w:rsidR="003A6F13">
        <w:lastRenderedPageBreak/>
        <w:t>Introduction</w:t>
      </w:r>
      <w:bookmarkEnd w:id="3"/>
      <w:bookmarkEnd w:id="4"/>
      <w:bookmarkEnd w:id="5"/>
      <w:bookmarkEnd w:id="6"/>
      <w:bookmarkEnd w:id="7"/>
    </w:p>
    <w:p w:rsidR="003A6F13" w:rsidRDefault="003A6F13"/>
    <w:p w:rsidR="003A6F13" w:rsidRDefault="003A6F13" w:rsidP="004A3F13">
      <w:pPr>
        <w:pStyle w:val="Heading2"/>
      </w:pPr>
      <w:bookmarkStart w:id="8" w:name="_Toc225941488"/>
      <w:bookmarkStart w:id="9" w:name="_Toc333507734"/>
      <w:r>
        <w:t>Background and objectives</w:t>
      </w:r>
      <w:bookmarkEnd w:id="8"/>
      <w:bookmarkEnd w:id="9"/>
    </w:p>
    <w:p w:rsidR="003A6F13" w:rsidRDefault="003A6F13">
      <w:pPr>
        <w:pStyle w:val="Maintext"/>
      </w:pPr>
      <w:r>
        <w:t>arc</w:t>
      </w:r>
      <w:r>
        <w:rPr>
          <w:vertAlign w:val="superscript"/>
        </w:rPr>
        <w:t>4</w:t>
      </w:r>
      <w:r>
        <w:t xml:space="preserve"> Limited</w:t>
      </w:r>
      <w:r w:rsidR="0016579F">
        <w:t xml:space="preserve"> </w:t>
      </w:r>
      <w:r>
        <w:t xml:space="preserve">was commissioned in </w:t>
      </w:r>
      <w:r w:rsidR="005919ED">
        <w:t>September</w:t>
      </w:r>
      <w:r w:rsidR="001876A2">
        <w:t xml:space="preserve"> 2011</w:t>
      </w:r>
      <w:r>
        <w:t xml:space="preserve"> to carry out a comprehensive Strategic Housing Market</w:t>
      </w:r>
      <w:r w:rsidR="001876A2">
        <w:t xml:space="preserve"> </w:t>
      </w:r>
      <w:r>
        <w:t xml:space="preserve">Assessment (SHMA) for </w:t>
      </w:r>
      <w:r w:rsidR="005919ED">
        <w:t xml:space="preserve">County Durham. </w:t>
      </w:r>
    </w:p>
    <w:p w:rsidR="003A6F13" w:rsidRDefault="003A6F13">
      <w:pPr>
        <w:pStyle w:val="Maintext"/>
      </w:pPr>
      <w:r>
        <w:t xml:space="preserve">This research conforms to the Department of Communities and Local Government (CLG) Strategic Housing Market Assessment Guidance and provides a robust and defensible evidence base for future policy development.  The research focuses on four core areas: a review of housing markets; an assessment of housing need and affordable requirements; a review of general market requirements; and provides policy recommendations. </w:t>
      </w:r>
    </w:p>
    <w:p w:rsidR="003A6F13" w:rsidRDefault="003A6F13">
      <w:pPr>
        <w:pStyle w:val="Maintext"/>
        <w:numPr>
          <w:ilvl w:val="0"/>
          <w:numId w:val="0"/>
        </w:numPr>
      </w:pPr>
    </w:p>
    <w:p w:rsidR="003A6F13" w:rsidRDefault="003A6F13" w:rsidP="004A3F13">
      <w:pPr>
        <w:pStyle w:val="Heading2"/>
      </w:pPr>
      <w:bookmarkStart w:id="10" w:name="_Toc225941489"/>
      <w:bookmarkStart w:id="11" w:name="_Toc333507735"/>
      <w:r>
        <w:t>Definitions</w:t>
      </w:r>
      <w:bookmarkEnd w:id="10"/>
      <w:bookmarkEnd w:id="11"/>
    </w:p>
    <w:p w:rsidR="003A6F13" w:rsidRDefault="003A6F13">
      <w:pPr>
        <w:pStyle w:val="Maintext"/>
        <w:rPr>
          <w:rFonts w:cs="Arial"/>
        </w:rPr>
      </w:pPr>
      <w:r>
        <w:t>A series of terms are used in work of this nature.  To avoid ambiguities, these terms are clearly defined as f</w:t>
      </w:r>
      <w:r w:rsidR="002C1B0D">
        <w:t>ollows</w:t>
      </w:r>
      <w:r>
        <w:t>:</w:t>
      </w:r>
    </w:p>
    <w:p w:rsidR="003A6F13" w:rsidRDefault="003A6F13">
      <w:pPr>
        <w:ind w:left="709"/>
        <w:jc w:val="both"/>
        <w:rPr>
          <w:rFonts w:cs="Arial"/>
        </w:rPr>
      </w:pPr>
      <w:r>
        <w:rPr>
          <w:rFonts w:cs="Arial"/>
          <w:b/>
        </w:rPr>
        <w:t>Housing demand</w:t>
      </w:r>
      <w:r>
        <w:rPr>
          <w:rFonts w:cs="Arial"/>
        </w:rPr>
        <w:t xml:space="preserve"> is the quantity of housing that households are willing and able to buy or rent. </w:t>
      </w:r>
    </w:p>
    <w:p w:rsidR="003A6F13" w:rsidRDefault="003A6F13">
      <w:pPr>
        <w:ind w:left="709"/>
        <w:jc w:val="both"/>
        <w:rPr>
          <w:rFonts w:cs="Arial"/>
        </w:rPr>
      </w:pPr>
      <w:r>
        <w:rPr>
          <w:rFonts w:cs="Arial"/>
          <w:b/>
        </w:rPr>
        <w:t>Housing need</w:t>
      </w:r>
      <w:r>
        <w:rPr>
          <w:rFonts w:cs="Arial"/>
        </w:rPr>
        <w:t xml:space="preserve"> is the quantity of housing required for households who are unable to access suitable housing without financial assistance. </w:t>
      </w:r>
    </w:p>
    <w:p w:rsidR="003A6F13" w:rsidRDefault="003A6F13">
      <w:pPr>
        <w:ind w:left="709"/>
        <w:jc w:val="both"/>
        <w:rPr>
          <w:rFonts w:cs="Arial"/>
        </w:rPr>
      </w:pPr>
      <w:r>
        <w:rPr>
          <w:b/>
        </w:rPr>
        <w:t>Housing markets</w:t>
      </w:r>
      <w:r>
        <w:t xml:space="preserve"> are geographical areas defined by household demand and preferences for housing. They reflect the key functional linkages between places where people live and work. </w:t>
      </w:r>
    </w:p>
    <w:p w:rsidR="00EC5ED9" w:rsidRDefault="003A6F13" w:rsidP="0049779C">
      <w:pPr>
        <w:ind w:left="709"/>
        <w:jc w:val="both"/>
        <w:rPr>
          <w:rFonts w:cs="Arial"/>
        </w:rPr>
      </w:pPr>
      <w:r>
        <w:rPr>
          <w:rFonts w:cs="Arial"/>
          <w:b/>
        </w:rPr>
        <w:t xml:space="preserve">Housing requirement </w:t>
      </w:r>
      <w:r>
        <w:rPr>
          <w:rFonts w:cs="Arial"/>
        </w:rPr>
        <w:t>is the combination of both housing need and housing demand.</w:t>
      </w:r>
    </w:p>
    <w:p w:rsidR="001876A2" w:rsidRDefault="001876A2" w:rsidP="001876A2">
      <w:pPr>
        <w:pStyle w:val="Maintext"/>
        <w:rPr>
          <w:rFonts w:cs="Arial"/>
        </w:rPr>
      </w:pPr>
      <w:r w:rsidRPr="009D0E7F">
        <w:rPr>
          <w:rFonts w:cs="Arial"/>
        </w:rPr>
        <w:t>Definitions relating to affordable housing have been revised in</w:t>
      </w:r>
      <w:r>
        <w:rPr>
          <w:rFonts w:cs="Arial"/>
        </w:rPr>
        <w:t xml:space="preserve"> the </w:t>
      </w:r>
      <w:r w:rsidR="002C1B0D">
        <w:rPr>
          <w:rFonts w:cs="Arial"/>
        </w:rPr>
        <w:t>National Planning Policy Framework (March 2012)</w:t>
      </w:r>
      <w:r>
        <w:rPr>
          <w:rFonts w:cs="Arial"/>
        </w:rPr>
        <w:t>:</w:t>
      </w:r>
    </w:p>
    <w:p w:rsidR="00743AEC" w:rsidRPr="00411C03" w:rsidRDefault="00743AEC" w:rsidP="00743AEC">
      <w:pPr>
        <w:ind w:left="709"/>
        <w:rPr>
          <w:szCs w:val="22"/>
        </w:rPr>
      </w:pPr>
      <w:r w:rsidRPr="00411C03">
        <w:rPr>
          <w:b/>
          <w:szCs w:val="22"/>
        </w:rPr>
        <w:t>Affordable housing</w:t>
      </w:r>
      <w:r w:rsidRPr="00411C03">
        <w:rPr>
          <w:szCs w:val="22"/>
        </w:rPr>
        <w:t xml:space="preserve">: </w:t>
      </w:r>
      <w:r w:rsidRPr="00411C03">
        <w:rPr>
          <w:rFonts w:ascii="Frutiger-Light" w:hAnsi="Frutiger-Light" w:cs="Frutiger-Light"/>
          <w:szCs w:val="22"/>
          <w:lang w:eastAsia="en-GB"/>
        </w:rPr>
        <w:t>Social rented, affordable rented and intermediate housing, provided to eligible households whose needs are not met by the market. Eligibility is determined with regard to local incomes and local house prices. Affordable housing should include provisions to remain at an affordable price for future eligible households or for the subsidy to be recycled for alternative affordable housing provision.</w:t>
      </w:r>
    </w:p>
    <w:p w:rsidR="00743AEC" w:rsidRPr="00411C03" w:rsidRDefault="00743AEC" w:rsidP="00743AEC">
      <w:pPr>
        <w:ind w:left="709"/>
        <w:rPr>
          <w:rFonts w:ascii="Frutiger-Light" w:hAnsi="Frutiger-Light" w:cs="Frutiger-Light"/>
          <w:szCs w:val="22"/>
          <w:lang w:eastAsia="en-GB"/>
        </w:rPr>
      </w:pPr>
      <w:r w:rsidRPr="00411C03">
        <w:rPr>
          <w:rFonts w:ascii="Frutiger-Light" w:hAnsi="Frutiger-Light" w:cs="Frutiger-Light"/>
          <w:b/>
          <w:szCs w:val="22"/>
          <w:lang w:eastAsia="en-GB"/>
        </w:rPr>
        <w:t>Social rented</w:t>
      </w:r>
      <w:r w:rsidRPr="00411C03">
        <w:rPr>
          <w:rFonts w:ascii="Frutiger-Light" w:hAnsi="Frutiger-Light" w:cs="Frutiger-Light"/>
          <w:szCs w:val="22"/>
          <w:lang w:eastAsia="en-GB"/>
        </w:rPr>
        <w:t xml:space="preserve"> housing is owned by local authorities and private registered </w:t>
      </w:r>
      <w:r w:rsidR="001B3D63" w:rsidRPr="00411C03">
        <w:rPr>
          <w:rFonts w:ascii="Frutiger-Light" w:hAnsi="Frutiger-Light" w:cs="Frutiger-Light"/>
          <w:szCs w:val="22"/>
          <w:lang w:eastAsia="en-GB"/>
        </w:rPr>
        <w:t>providers (</w:t>
      </w:r>
      <w:r w:rsidRPr="00411C03">
        <w:rPr>
          <w:rFonts w:ascii="Frutiger-Light" w:hAnsi="Frutiger-Light" w:cs="Frutiger-Light"/>
          <w:szCs w:val="22"/>
          <w:lang w:eastAsia="en-GB"/>
        </w:rPr>
        <w:t>as defined in section 80 of the Housing and Regeneration Act 2008), for which guideline target rents are determined through the national rent regime. It may also be owned by other persons and provided under equivalent rental arrangements to the above, as agreed with the local authority or with the Homes and Communities Agency.</w:t>
      </w:r>
    </w:p>
    <w:p w:rsidR="00743AEC" w:rsidRPr="00411C03" w:rsidRDefault="00743AEC" w:rsidP="00743AEC">
      <w:pPr>
        <w:ind w:left="709"/>
        <w:rPr>
          <w:szCs w:val="22"/>
        </w:rPr>
      </w:pPr>
      <w:r w:rsidRPr="00411C03">
        <w:rPr>
          <w:rFonts w:ascii="Frutiger-Light" w:hAnsi="Frutiger-Light" w:cs="Frutiger-Light"/>
          <w:b/>
          <w:szCs w:val="22"/>
          <w:lang w:eastAsia="en-GB"/>
        </w:rPr>
        <w:t>Affordable rented</w:t>
      </w:r>
      <w:r w:rsidRPr="00411C03">
        <w:rPr>
          <w:rFonts w:ascii="Frutiger-Light" w:hAnsi="Frutiger-Light" w:cs="Frutiger-Light"/>
          <w:szCs w:val="22"/>
          <w:lang w:eastAsia="en-GB"/>
        </w:rPr>
        <w:t xml:space="preserve"> housing is let by local authorities or private registered providers of social housing to households who are eligible for social rented </w:t>
      </w:r>
      <w:r w:rsidRPr="00411C03">
        <w:rPr>
          <w:rFonts w:ascii="Frutiger-Light" w:hAnsi="Frutiger-Light" w:cs="Frutiger-Light"/>
          <w:szCs w:val="22"/>
          <w:lang w:eastAsia="en-GB"/>
        </w:rPr>
        <w:lastRenderedPageBreak/>
        <w:t>housing. Affordable Rent is subject to rent controls that require a rent of no more than 80% of the local market rent (including service charges, where applicable).</w:t>
      </w:r>
    </w:p>
    <w:p w:rsidR="00743AEC" w:rsidRPr="00411C03" w:rsidRDefault="00743AEC" w:rsidP="00743AEC">
      <w:pPr>
        <w:autoSpaceDE w:val="0"/>
        <w:autoSpaceDN w:val="0"/>
        <w:adjustRightInd w:val="0"/>
        <w:spacing w:before="0" w:after="0"/>
        <w:ind w:left="709"/>
        <w:rPr>
          <w:rFonts w:ascii="Frutiger-Light" w:hAnsi="Frutiger-Light" w:cs="Frutiger-Light"/>
          <w:szCs w:val="22"/>
          <w:lang w:eastAsia="en-GB"/>
        </w:rPr>
      </w:pPr>
      <w:r w:rsidRPr="00411C03">
        <w:rPr>
          <w:rFonts w:ascii="Frutiger-Light" w:hAnsi="Frutiger-Light" w:cs="Frutiger-Light"/>
          <w:b/>
          <w:szCs w:val="22"/>
          <w:lang w:eastAsia="en-GB"/>
        </w:rPr>
        <w:t>Intermediate housing</w:t>
      </w:r>
      <w:r w:rsidRPr="00411C03">
        <w:rPr>
          <w:rFonts w:ascii="Frutiger-Light" w:hAnsi="Frutiger-Light" w:cs="Frutiger-Light"/>
          <w:szCs w:val="22"/>
          <w:lang w:eastAsia="en-GB"/>
        </w:rPr>
        <w:t xml:space="preserve"> is homes for sale and rent provided at a cost above social rent, but below market levels subject to the criteria in the Affordable Housing definition above. These can include shared equity (shared ownership and equity loans), other low cost homes for sale and intermediate rent, but not affordable rented housing. Homes that do not meet the above definition of affordable housing, such as “low cost market” housing, may not be considered as affordable housing for planning</w:t>
      </w:r>
    </w:p>
    <w:p w:rsidR="00743AEC" w:rsidRDefault="00743AEC" w:rsidP="00743AEC">
      <w:pPr>
        <w:pStyle w:val="Maintext"/>
        <w:numPr>
          <w:ilvl w:val="0"/>
          <w:numId w:val="0"/>
        </w:numPr>
        <w:ind w:left="709"/>
      </w:pPr>
      <w:bookmarkStart w:id="12" w:name="_Toc225941490"/>
    </w:p>
    <w:p w:rsidR="003A6F13" w:rsidRDefault="00743AEC" w:rsidP="00743AEC">
      <w:pPr>
        <w:pStyle w:val="Heading2"/>
      </w:pPr>
      <w:bookmarkStart w:id="13" w:name="_Toc225941491"/>
      <w:bookmarkStart w:id="14" w:name="_Toc333507736"/>
      <w:bookmarkEnd w:id="12"/>
      <w:r>
        <w:t>SHMA Guidance</w:t>
      </w:r>
      <w:bookmarkEnd w:id="13"/>
      <w:bookmarkEnd w:id="14"/>
    </w:p>
    <w:p w:rsidR="003A6F13" w:rsidRDefault="003A6F13">
      <w:pPr>
        <w:pStyle w:val="Maintext"/>
      </w:pPr>
      <w:r>
        <w:t>In August 2007, the CLG published Strategic Housing Market Assessments: Practice Guidance Version 2.  This is the frame of reference for this report.   The guidance brings together and builds upon the key elements of existing guidance on housing market and housing needs assessments and replaces the following Government guidance:</w:t>
      </w:r>
    </w:p>
    <w:p w:rsidR="003A6F13" w:rsidRDefault="003A6F13">
      <w:pPr>
        <w:pStyle w:val="Maintext"/>
        <w:numPr>
          <w:ilvl w:val="2"/>
          <w:numId w:val="2"/>
        </w:numPr>
      </w:pPr>
      <w:r>
        <w:t>Local Housing Needs Assessment: A Guide to Good Practice (DETR, 2000);</w:t>
      </w:r>
    </w:p>
    <w:p w:rsidR="003A6F13" w:rsidRDefault="003A6F13">
      <w:pPr>
        <w:pStyle w:val="Maintext"/>
        <w:numPr>
          <w:ilvl w:val="2"/>
          <w:numId w:val="2"/>
        </w:numPr>
      </w:pPr>
      <w:r>
        <w:t>Housing Market Assessment Manual (ODPM, 2004).</w:t>
      </w:r>
    </w:p>
    <w:p w:rsidR="003A6F13" w:rsidRDefault="003A6F13">
      <w:pPr>
        <w:pStyle w:val="Maintext"/>
      </w:pPr>
      <w:r>
        <w:t xml:space="preserve">The CLG states that the guidance should be read in conjunction with the ‘Identifying Sub-Regional </w:t>
      </w:r>
      <w:r w:rsidR="005D7D0B">
        <w:t xml:space="preserve">Market </w:t>
      </w:r>
      <w:r w:rsidR="00B440F0">
        <w:t xml:space="preserve"> area</w:t>
      </w:r>
      <w:r>
        <w:t>s Advice Note’ (CLG, 2007).</w:t>
      </w:r>
    </w:p>
    <w:p w:rsidR="003A6F13" w:rsidRDefault="003A6F13">
      <w:pPr>
        <w:pStyle w:val="Maintext"/>
      </w:pPr>
      <w:r>
        <w:t xml:space="preserve">Strategic Housing Market Assessments (SHMAs) are particularly valuable in assisting policy development, decision making and resource allocation, in particular by: </w:t>
      </w:r>
    </w:p>
    <w:p w:rsidR="003A6F13" w:rsidRDefault="003A6F13">
      <w:pPr>
        <w:pStyle w:val="Maintext"/>
        <w:numPr>
          <w:ilvl w:val="2"/>
          <w:numId w:val="2"/>
        </w:numPr>
      </w:pPr>
      <w:r>
        <w:t>Thinking regionally and long-term about housing need and demand;</w:t>
      </w:r>
    </w:p>
    <w:p w:rsidR="003A6F13" w:rsidRDefault="003A6F13">
      <w:pPr>
        <w:pStyle w:val="Maintext"/>
        <w:numPr>
          <w:ilvl w:val="2"/>
          <w:numId w:val="2"/>
        </w:numPr>
      </w:pPr>
      <w:r>
        <w:t>Providing robust evidence to inform policy debate, particularly around the provision of both market and affordable housing, including type, size and tenure mix;</w:t>
      </w:r>
    </w:p>
    <w:p w:rsidR="003A6F13" w:rsidRDefault="003A6F13">
      <w:pPr>
        <w:pStyle w:val="Maintext"/>
        <w:numPr>
          <w:ilvl w:val="2"/>
          <w:numId w:val="2"/>
        </w:numPr>
      </w:pPr>
      <w:r>
        <w:t>Understanding the drivers and trajectories of housing markets.</w:t>
      </w:r>
    </w:p>
    <w:p w:rsidR="003A6F13" w:rsidRDefault="003A6F13">
      <w:pPr>
        <w:pStyle w:val="Maintext"/>
      </w:pPr>
      <w:r>
        <w:t xml:space="preserve">SHMAs are considered robust and credible if, as a minimum, they provide all of the core outputs and meet the requirements of the process criteria presented in the SHMA Guidance.   Table 1.1 summarises the core outputs which are required through the SHMA guidance.  Table 1.2 presents the process checklist which needs to be adhered </w:t>
      </w:r>
      <w:r w:rsidR="00CD1ECC">
        <w:t>to in SHMA research.  Appendix E</w:t>
      </w:r>
      <w:r>
        <w:t xml:space="preserve"> comments on how each aspect of the process checklist has been adhered to in this research. </w:t>
      </w:r>
    </w:p>
    <w:p w:rsidR="00E41F4B" w:rsidRDefault="00E41F4B" w:rsidP="00E41F4B">
      <w:pPr>
        <w:pStyle w:val="Heading3"/>
      </w:pPr>
      <w:bookmarkStart w:id="15" w:name="_Toc201569536"/>
      <w:bookmarkStart w:id="16" w:name="_Toc201570368"/>
    </w:p>
    <w:p w:rsidR="00A70416" w:rsidRDefault="002C1B0D" w:rsidP="00A70416">
      <w:pPr>
        <w:ind w:left="709"/>
      </w:pPr>
      <w:r>
        <w:rPr>
          <w:b/>
        </w:rPr>
        <w:br w:type="page"/>
      </w:r>
      <w:r w:rsidR="00A70416">
        <w:rPr>
          <w:b/>
        </w:rPr>
        <w:lastRenderedPageBreak/>
        <w:t>Table 1.1</w:t>
      </w:r>
      <w:r w:rsidR="00A70416">
        <w:tab/>
        <w:t xml:space="preserve">Strategic Housing Market Assessment core outputs </w:t>
      </w:r>
    </w:p>
    <w:tbl>
      <w:tblPr>
        <w:tblpPr w:leftFromText="180" w:rightFromText="180" w:vertAnchor="text" w:horzAnchor="margin" w:tblpY="130"/>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160"/>
      </w:tblGrid>
      <w:tr w:rsidR="00A70416" w:rsidTr="007D39E7">
        <w:trPr>
          <w:trHeight w:val="310"/>
        </w:trPr>
        <w:tc>
          <w:tcPr>
            <w:tcW w:w="8748" w:type="dxa"/>
            <w:gridSpan w:val="2"/>
            <w:shd w:val="clear" w:color="auto" w:fill="008080"/>
          </w:tcPr>
          <w:p w:rsidR="00A70416" w:rsidRDefault="00A70416" w:rsidP="007D39E7">
            <w:pPr>
              <w:pStyle w:val="StyleCentered"/>
              <w:jc w:val="both"/>
              <w:rPr>
                <w:rFonts w:cs="Arial"/>
                <w:b/>
                <w:color w:val="FFFFFF"/>
                <w:szCs w:val="22"/>
                <w:lang w:eastAsia="en-GB"/>
              </w:rPr>
            </w:pPr>
            <w:r>
              <w:rPr>
                <w:rFonts w:cs="Arial"/>
                <w:b/>
                <w:color w:val="FFFFFF"/>
                <w:szCs w:val="22"/>
                <w:lang w:eastAsia="en-GB"/>
              </w:rPr>
              <w:t>Strategic Housing Market Assessment core outputs</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1</w:t>
            </w:r>
          </w:p>
        </w:tc>
        <w:tc>
          <w:tcPr>
            <w:tcW w:w="8160" w:type="dxa"/>
          </w:tcPr>
          <w:p w:rsidR="00A70416" w:rsidRDefault="00A70416" w:rsidP="007D39E7">
            <w:pPr>
              <w:autoSpaceDE w:val="0"/>
              <w:autoSpaceDN w:val="0"/>
              <w:adjustRightInd w:val="0"/>
              <w:jc w:val="both"/>
              <w:rPr>
                <w:rFonts w:cs="Arial"/>
                <w:color w:val="FFFFFF"/>
                <w:szCs w:val="22"/>
                <w:lang w:eastAsia="en-GB"/>
              </w:rPr>
            </w:pPr>
            <w:r>
              <w:rPr>
                <w:rFonts w:cs="Arial"/>
                <w:color w:val="000000"/>
                <w:szCs w:val="22"/>
                <w:lang w:eastAsia="en-GB"/>
              </w:rPr>
              <w:t>Estimate of current dwellings in terms of size, type, condition, tenure.</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2</w:t>
            </w:r>
          </w:p>
        </w:tc>
        <w:tc>
          <w:tcPr>
            <w:tcW w:w="8160" w:type="dxa"/>
          </w:tcPr>
          <w:p w:rsidR="00A70416" w:rsidRDefault="00A70416" w:rsidP="007D39E7">
            <w:pPr>
              <w:autoSpaceDE w:val="0"/>
              <w:autoSpaceDN w:val="0"/>
              <w:adjustRightInd w:val="0"/>
              <w:jc w:val="both"/>
              <w:rPr>
                <w:rFonts w:cs="Arial"/>
                <w:color w:val="FFFFFF"/>
                <w:szCs w:val="22"/>
                <w:lang w:eastAsia="en-GB"/>
              </w:rPr>
            </w:pPr>
            <w:r>
              <w:rPr>
                <w:rFonts w:cs="Arial"/>
                <w:color w:val="000000"/>
                <w:szCs w:val="22"/>
                <w:lang w:eastAsia="en-GB"/>
              </w:rPr>
              <w:t>Analysis of past and current housing market trends, including balance between supply and demand in different housing sectors and price/affordability. Description of key drivers underpinning the housing market.</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3</w:t>
            </w:r>
          </w:p>
        </w:tc>
        <w:tc>
          <w:tcPr>
            <w:tcW w:w="8160" w:type="dxa"/>
          </w:tcPr>
          <w:p w:rsidR="00A70416" w:rsidRDefault="00A70416" w:rsidP="007D39E7">
            <w:pPr>
              <w:autoSpaceDE w:val="0"/>
              <w:autoSpaceDN w:val="0"/>
              <w:adjustRightInd w:val="0"/>
              <w:jc w:val="both"/>
              <w:rPr>
                <w:rFonts w:cs="Arial"/>
                <w:color w:val="000000"/>
                <w:szCs w:val="22"/>
                <w:lang w:eastAsia="en-GB"/>
              </w:rPr>
            </w:pPr>
            <w:r>
              <w:rPr>
                <w:rFonts w:cs="Arial"/>
                <w:color w:val="000000"/>
                <w:szCs w:val="22"/>
                <w:lang w:eastAsia="en-GB"/>
              </w:rPr>
              <w:t>Estimate of total future number of households, broken down by age and type where possible.</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4</w:t>
            </w:r>
          </w:p>
        </w:tc>
        <w:tc>
          <w:tcPr>
            <w:tcW w:w="8160" w:type="dxa"/>
          </w:tcPr>
          <w:p w:rsidR="00A70416" w:rsidRDefault="00A70416" w:rsidP="007D39E7">
            <w:pPr>
              <w:autoSpaceDE w:val="0"/>
              <w:autoSpaceDN w:val="0"/>
              <w:adjustRightInd w:val="0"/>
              <w:jc w:val="both"/>
              <w:rPr>
                <w:rFonts w:cs="Arial"/>
                <w:color w:val="FFFFFF"/>
                <w:szCs w:val="22"/>
                <w:lang w:eastAsia="en-GB"/>
              </w:rPr>
            </w:pPr>
            <w:r>
              <w:rPr>
                <w:rFonts w:cs="Arial"/>
                <w:color w:val="000000"/>
                <w:szCs w:val="22"/>
                <w:lang w:eastAsia="en-GB"/>
              </w:rPr>
              <w:t>Estimate of current number of households in housing need.</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5</w:t>
            </w:r>
          </w:p>
        </w:tc>
        <w:tc>
          <w:tcPr>
            <w:tcW w:w="8160" w:type="dxa"/>
          </w:tcPr>
          <w:p w:rsidR="00A70416" w:rsidRDefault="00A70416" w:rsidP="007D39E7">
            <w:pPr>
              <w:autoSpaceDE w:val="0"/>
              <w:autoSpaceDN w:val="0"/>
              <w:adjustRightInd w:val="0"/>
              <w:jc w:val="both"/>
              <w:rPr>
                <w:rFonts w:cs="Arial"/>
                <w:color w:val="FFFFFF"/>
                <w:szCs w:val="22"/>
                <w:lang w:eastAsia="en-GB"/>
              </w:rPr>
            </w:pPr>
            <w:r>
              <w:rPr>
                <w:rFonts w:cs="Arial"/>
                <w:color w:val="000000"/>
                <w:szCs w:val="22"/>
                <w:lang w:eastAsia="en-GB"/>
              </w:rPr>
              <w:t>Estimate of future households that will require affordable housing.</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6</w:t>
            </w:r>
          </w:p>
        </w:tc>
        <w:tc>
          <w:tcPr>
            <w:tcW w:w="8160" w:type="dxa"/>
          </w:tcPr>
          <w:p w:rsidR="00A70416" w:rsidRDefault="00A70416" w:rsidP="007D39E7">
            <w:pPr>
              <w:autoSpaceDE w:val="0"/>
              <w:autoSpaceDN w:val="0"/>
              <w:adjustRightInd w:val="0"/>
              <w:jc w:val="both"/>
              <w:rPr>
                <w:rFonts w:cs="Arial"/>
                <w:color w:val="FFFFFF"/>
                <w:szCs w:val="22"/>
                <w:lang w:eastAsia="en-GB"/>
              </w:rPr>
            </w:pPr>
            <w:r>
              <w:rPr>
                <w:rFonts w:cs="Arial"/>
                <w:color w:val="000000"/>
                <w:szCs w:val="22"/>
                <w:lang w:eastAsia="en-GB"/>
              </w:rPr>
              <w:t>Estimate of future households requiring market housing.</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7</w:t>
            </w:r>
          </w:p>
        </w:tc>
        <w:tc>
          <w:tcPr>
            <w:tcW w:w="8160" w:type="dxa"/>
          </w:tcPr>
          <w:p w:rsidR="00A70416" w:rsidRDefault="00A70416" w:rsidP="007D39E7">
            <w:pPr>
              <w:autoSpaceDE w:val="0"/>
              <w:autoSpaceDN w:val="0"/>
              <w:adjustRightInd w:val="0"/>
              <w:jc w:val="both"/>
              <w:rPr>
                <w:rFonts w:cs="Arial"/>
                <w:color w:val="FFFFFF"/>
                <w:szCs w:val="22"/>
                <w:lang w:eastAsia="en-GB"/>
              </w:rPr>
            </w:pPr>
            <w:r>
              <w:rPr>
                <w:rFonts w:cs="Arial"/>
                <w:color w:val="000000"/>
                <w:szCs w:val="22"/>
                <w:lang w:eastAsia="en-GB"/>
              </w:rPr>
              <w:t>Estimate of the size of affordable housing required.</w:t>
            </w:r>
          </w:p>
        </w:tc>
      </w:tr>
      <w:tr w:rsidR="00A70416" w:rsidTr="007D39E7">
        <w:tc>
          <w:tcPr>
            <w:tcW w:w="588" w:type="dxa"/>
          </w:tcPr>
          <w:p w:rsidR="00A70416" w:rsidRDefault="00A70416" w:rsidP="007D39E7">
            <w:pPr>
              <w:autoSpaceDE w:val="0"/>
              <w:autoSpaceDN w:val="0"/>
              <w:adjustRightInd w:val="0"/>
              <w:jc w:val="both"/>
              <w:rPr>
                <w:rFonts w:cs="Arial"/>
                <w:szCs w:val="22"/>
                <w:lang w:eastAsia="en-GB"/>
              </w:rPr>
            </w:pPr>
            <w:r>
              <w:rPr>
                <w:rFonts w:cs="Arial"/>
                <w:szCs w:val="22"/>
                <w:lang w:eastAsia="en-GB"/>
              </w:rPr>
              <w:t>8</w:t>
            </w:r>
          </w:p>
        </w:tc>
        <w:tc>
          <w:tcPr>
            <w:tcW w:w="8160" w:type="dxa"/>
          </w:tcPr>
          <w:p w:rsidR="00A70416" w:rsidRDefault="00A70416" w:rsidP="007D39E7">
            <w:pPr>
              <w:autoSpaceDE w:val="0"/>
              <w:autoSpaceDN w:val="0"/>
              <w:adjustRightInd w:val="0"/>
              <w:jc w:val="both"/>
              <w:rPr>
                <w:rFonts w:cs="Arial"/>
                <w:color w:val="FFFFFF"/>
                <w:szCs w:val="22"/>
                <w:lang w:eastAsia="en-GB"/>
              </w:rPr>
            </w:pPr>
            <w:r>
              <w:rPr>
                <w:rFonts w:cs="Arial"/>
                <w:color w:val="000000"/>
                <w:szCs w:val="22"/>
                <w:lang w:eastAsia="en-GB"/>
              </w:rPr>
              <w:t>Estimate of household groups who have particular housing requirements including: families, older people, key workers, black and minority ethnic groups, disabled people, young people, Gypsies and Travellers.</w:t>
            </w:r>
          </w:p>
        </w:tc>
      </w:tr>
    </w:tbl>
    <w:p w:rsidR="00A70416" w:rsidRDefault="00A70416" w:rsidP="00A70416"/>
    <w:p w:rsidR="00A70416" w:rsidRDefault="00A70416" w:rsidP="002C1B0D">
      <w:pPr>
        <w:ind w:firstLine="720"/>
      </w:pPr>
      <w:r>
        <w:rPr>
          <w:b/>
        </w:rPr>
        <w:t>Table 1.2</w:t>
      </w:r>
      <w:r>
        <w:tab/>
        <w:t>Strategic Housing Market Assessment process checklist</w:t>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A70416" w:rsidTr="007D39E7">
        <w:tc>
          <w:tcPr>
            <w:tcW w:w="8748" w:type="dxa"/>
            <w:gridSpan w:val="2"/>
            <w:shd w:val="clear" w:color="auto" w:fill="008080"/>
          </w:tcPr>
          <w:p w:rsidR="00A70416" w:rsidRDefault="00A70416" w:rsidP="007D39E7">
            <w:pPr>
              <w:pStyle w:val="BodyText3"/>
              <w:jc w:val="both"/>
              <w:rPr>
                <w:rFonts w:ascii="Arial" w:hAnsi="Arial" w:cs="Arial"/>
                <w:b/>
                <w:color w:val="FFFFFF"/>
                <w:sz w:val="24"/>
                <w:szCs w:val="24"/>
              </w:rPr>
            </w:pPr>
            <w:r>
              <w:rPr>
                <w:rFonts w:ascii="Arial" w:hAnsi="Arial" w:cs="Arial"/>
                <w:b/>
                <w:color w:val="FFFFFF"/>
                <w:sz w:val="24"/>
                <w:szCs w:val="24"/>
              </w:rPr>
              <w:t>Strategic Housing Market Assessment process checklist</w:t>
            </w:r>
          </w:p>
        </w:tc>
      </w:tr>
      <w:tr w:rsidR="00A70416" w:rsidTr="007D39E7">
        <w:tc>
          <w:tcPr>
            <w:tcW w:w="648" w:type="dxa"/>
          </w:tcPr>
          <w:p w:rsidR="00A70416" w:rsidRDefault="00A70416" w:rsidP="007D39E7">
            <w:pPr>
              <w:pStyle w:val="BodyText3"/>
              <w:jc w:val="both"/>
              <w:rPr>
                <w:rFonts w:ascii="Arial" w:hAnsi="Arial" w:cs="Arial"/>
                <w:sz w:val="24"/>
                <w:szCs w:val="24"/>
              </w:rPr>
            </w:pPr>
            <w:r>
              <w:rPr>
                <w:rFonts w:ascii="Arial" w:hAnsi="Arial" w:cs="Arial"/>
                <w:sz w:val="24"/>
                <w:szCs w:val="24"/>
              </w:rPr>
              <w:t>1</w:t>
            </w:r>
          </w:p>
        </w:tc>
        <w:tc>
          <w:tcPr>
            <w:tcW w:w="8100" w:type="dxa"/>
          </w:tcPr>
          <w:p w:rsidR="00A70416" w:rsidRDefault="00A70416" w:rsidP="005D7D0B">
            <w:pPr>
              <w:pStyle w:val="BodyText3"/>
              <w:jc w:val="both"/>
              <w:rPr>
                <w:rFonts w:ascii="Arial" w:hAnsi="Arial" w:cs="Arial"/>
                <w:sz w:val="24"/>
                <w:szCs w:val="24"/>
              </w:rPr>
            </w:pPr>
            <w:r>
              <w:rPr>
                <w:rFonts w:ascii="Arial" w:hAnsi="Arial" w:cs="Arial"/>
                <w:sz w:val="24"/>
                <w:szCs w:val="24"/>
              </w:rPr>
              <w:t xml:space="preserve">Approach to identifying </w:t>
            </w:r>
            <w:r w:rsidR="00B440F0">
              <w:rPr>
                <w:rFonts w:ascii="Arial" w:hAnsi="Arial" w:cs="Arial"/>
                <w:sz w:val="24"/>
                <w:szCs w:val="24"/>
              </w:rPr>
              <w:t>Market</w:t>
            </w:r>
            <w:r w:rsidR="00AE4DA1">
              <w:rPr>
                <w:rFonts w:ascii="Arial" w:hAnsi="Arial" w:cs="Arial"/>
                <w:sz w:val="24"/>
                <w:szCs w:val="24"/>
              </w:rPr>
              <w:t xml:space="preserve"> area</w:t>
            </w:r>
            <w:r>
              <w:rPr>
                <w:rFonts w:ascii="Arial" w:hAnsi="Arial" w:cs="Arial"/>
                <w:sz w:val="24"/>
                <w:szCs w:val="24"/>
              </w:rPr>
              <w:t xml:space="preserve">(s) is consistent with other approaches to identifying </w:t>
            </w:r>
            <w:r w:rsidR="005D7D0B">
              <w:rPr>
                <w:rFonts w:ascii="Arial" w:hAnsi="Arial" w:cs="Arial"/>
                <w:sz w:val="24"/>
                <w:szCs w:val="24"/>
              </w:rPr>
              <w:t>Market</w:t>
            </w:r>
            <w:r w:rsidR="00B440F0">
              <w:rPr>
                <w:rFonts w:ascii="Arial" w:hAnsi="Arial" w:cs="Arial"/>
                <w:sz w:val="24"/>
                <w:szCs w:val="24"/>
              </w:rPr>
              <w:t xml:space="preserve"> area</w:t>
            </w:r>
            <w:r>
              <w:rPr>
                <w:rFonts w:ascii="Arial" w:hAnsi="Arial" w:cs="Arial"/>
                <w:sz w:val="24"/>
                <w:szCs w:val="24"/>
              </w:rPr>
              <w:t>s within the region.</w:t>
            </w:r>
          </w:p>
        </w:tc>
      </w:tr>
      <w:tr w:rsidR="00A70416" w:rsidTr="007D39E7">
        <w:tc>
          <w:tcPr>
            <w:tcW w:w="648" w:type="dxa"/>
          </w:tcPr>
          <w:p w:rsidR="00A70416" w:rsidRDefault="00A70416" w:rsidP="007D39E7">
            <w:pPr>
              <w:pStyle w:val="BodyText3"/>
              <w:jc w:val="both"/>
              <w:rPr>
                <w:rFonts w:ascii="Arial" w:hAnsi="Arial" w:cs="Arial"/>
                <w:sz w:val="24"/>
                <w:szCs w:val="24"/>
              </w:rPr>
            </w:pPr>
            <w:r>
              <w:rPr>
                <w:rFonts w:ascii="Arial" w:hAnsi="Arial" w:cs="Arial"/>
                <w:sz w:val="24"/>
                <w:szCs w:val="24"/>
              </w:rPr>
              <w:t>2</w:t>
            </w:r>
          </w:p>
        </w:tc>
        <w:tc>
          <w:tcPr>
            <w:tcW w:w="8100" w:type="dxa"/>
          </w:tcPr>
          <w:p w:rsidR="00A70416" w:rsidRDefault="00A70416" w:rsidP="00B440F0">
            <w:pPr>
              <w:pStyle w:val="BodyText3"/>
              <w:jc w:val="both"/>
              <w:rPr>
                <w:rFonts w:ascii="Arial" w:hAnsi="Arial" w:cs="Arial"/>
                <w:sz w:val="24"/>
                <w:szCs w:val="24"/>
              </w:rPr>
            </w:pPr>
            <w:r>
              <w:rPr>
                <w:rFonts w:ascii="Arial" w:hAnsi="Arial" w:cs="Arial"/>
                <w:sz w:val="24"/>
                <w:szCs w:val="24"/>
              </w:rPr>
              <w:t xml:space="preserve">Housing market conditions are assessed within the context of the </w:t>
            </w:r>
            <w:r w:rsidR="00B440F0">
              <w:rPr>
                <w:rFonts w:ascii="Arial" w:hAnsi="Arial" w:cs="Arial"/>
                <w:sz w:val="24"/>
                <w:szCs w:val="24"/>
              </w:rPr>
              <w:t xml:space="preserve">Market </w:t>
            </w:r>
            <w:r w:rsidR="00AE4DA1">
              <w:rPr>
                <w:rFonts w:ascii="Arial" w:hAnsi="Arial" w:cs="Arial"/>
                <w:sz w:val="24"/>
                <w:szCs w:val="24"/>
              </w:rPr>
              <w:t>area</w:t>
            </w:r>
            <w:r>
              <w:rPr>
                <w:rFonts w:ascii="Arial" w:hAnsi="Arial" w:cs="Arial"/>
                <w:sz w:val="24"/>
                <w:szCs w:val="24"/>
              </w:rPr>
              <w:t>.</w:t>
            </w:r>
          </w:p>
        </w:tc>
      </w:tr>
      <w:tr w:rsidR="00A70416" w:rsidTr="007D39E7">
        <w:tc>
          <w:tcPr>
            <w:tcW w:w="648" w:type="dxa"/>
          </w:tcPr>
          <w:p w:rsidR="00A70416" w:rsidRDefault="00A70416" w:rsidP="007D39E7">
            <w:pPr>
              <w:pStyle w:val="BodyText3"/>
              <w:jc w:val="both"/>
              <w:rPr>
                <w:rFonts w:ascii="Arial" w:hAnsi="Arial" w:cs="Arial"/>
                <w:sz w:val="24"/>
                <w:szCs w:val="24"/>
              </w:rPr>
            </w:pPr>
            <w:r>
              <w:rPr>
                <w:rFonts w:ascii="Arial" w:hAnsi="Arial" w:cs="Arial"/>
                <w:sz w:val="24"/>
                <w:szCs w:val="24"/>
              </w:rPr>
              <w:t>3</w:t>
            </w:r>
          </w:p>
        </w:tc>
        <w:tc>
          <w:tcPr>
            <w:tcW w:w="8100" w:type="dxa"/>
          </w:tcPr>
          <w:p w:rsidR="00A70416" w:rsidRDefault="00A70416" w:rsidP="007D39E7">
            <w:pPr>
              <w:pStyle w:val="BodyText3"/>
              <w:jc w:val="both"/>
              <w:rPr>
                <w:rFonts w:ascii="Arial" w:hAnsi="Arial" w:cs="Arial"/>
                <w:sz w:val="24"/>
                <w:szCs w:val="24"/>
              </w:rPr>
            </w:pPr>
            <w:r>
              <w:rPr>
                <w:rFonts w:ascii="Arial" w:hAnsi="Arial" w:cs="Arial"/>
                <w:sz w:val="24"/>
                <w:szCs w:val="24"/>
              </w:rPr>
              <w:t>Involves key stakeholders, including house builders.</w:t>
            </w:r>
          </w:p>
        </w:tc>
      </w:tr>
      <w:tr w:rsidR="00A70416" w:rsidTr="007D39E7">
        <w:tc>
          <w:tcPr>
            <w:tcW w:w="648" w:type="dxa"/>
          </w:tcPr>
          <w:p w:rsidR="00A70416" w:rsidRDefault="00A70416" w:rsidP="007D39E7">
            <w:pPr>
              <w:pStyle w:val="BodyText3"/>
              <w:jc w:val="both"/>
              <w:rPr>
                <w:rFonts w:ascii="Arial" w:hAnsi="Arial" w:cs="Arial"/>
                <w:sz w:val="24"/>
                <w:szCs w:val="24"/>
              </w:rPr>
            </w:pPr>
            <w:r>
              <w:rPr>
                <w:rFonts w:ascii="Arial" w:hAnsi="Arial" w:cs="Arial"/>
                <w:sz w:val="24"/>
                <w:szCs w:val="24"/>
              </w:rPr>
              <w:t>4</w:t>
            </w:r>
          </w:p>
        </w:tc>
        <w:tc>
          <w:tcPr>
            <w:tcW w:w="8100" w:type="dxa"/>
          </w:tcPr>
          <w:p w:rsidR="00A70416" w:rsidRDefault="00A70416" w:rsidP="007D39E7">
            <w:pPr>
              <w:pStyle w:val="BodyText3"/>
              <w:jc w:val="both"/>
              <w:rPr>
                <w:rFonts w:ascii="Arial" w:hAnsi="Arial" w:cs="Arial"/>
                <w:sz w:val="24"/>
                <w:szCs w:val="24"/>
              </w:rPr>
            </w:pPr>
            <w:r>
              <w:rPr>
                <w:rFonts w:ascii="Arial" w:hAnsi="Arial" w:cs="Arial"/>
                <w:sz w:val="24"/>
                <w:szCs w:val="24"/>
              </w:rPr>
              <w:t>Contains a full technical justification of the methods employed, with any limitations noted.</w:t>
            </w:r>
          </w:p>
        </w:tc>
      </w:tr>
      <w:tr w:rsidR="00A70416" w:rsidTr="007D39E7">
        <w:tc>
          <w:tcPr>
            <w:tcW w:w="648" w:type="dxa"/>
          </w:tcPr>
          <w:p w:rsidR="00A70416" w:rsidRDefault="00A70416" w:rsidP="007D39E7">
            <w:pPr>
              <w:pStyle w:val="BodyText3"/>
              <w:jc w:val="both"/>
              <w:rPr>
                <w:rFonts w:ascii="Arial" w:hAnsi="Arial" w:cs="Arial"/>
                <w:sz w:val="24"/>
                <w:szCs w:val="24"/>
              </w:rPr>
            </w:pPr>
            <w:r>
              <w:rPr>
                <w:rFonts w:ascii="Arial" w:hAnsi="Arial" w:cs="Arial"/>
                <w:sz w:val="24"/>
                <w:szCs w:val="24"/>
              </w:rPr>
              <w:t>5</w:t>
            </w:r>
          </w:p>
        </w:tc>
        <w:tc>
          <w:tcPr>
            <w:tcW w:w="8100" w:type="dxa"/>
          </w:tcPr>
          <w:p w:rsidR="00A70416" w:rsidRDefault="00A70416" w:rsidP="007D39E7">
            <w:pPr>
              <w:pStyle w:val="BodyText3"/>
              <w:jc w:val="both"/>
              <w:rPr>
                <w:rFonts w:ascii="Arial" w:hAnsi="Arial" w:cs="Arial"/>
                <w:sz w:val="24"/>
                <w:szCs w:val="24"/>
              </w:rPr>
            </w:pPr>
            <w:r>
              <w:rPr>
                <w:rFonts w:ascii="Arial" w:hAnsi="Arial" w:cs="Arial"/>
                <w:sz w:val="24"/>
                <w:szCs w:val="24"/>
              </w:rPr>
              <w:t>Assumptions, judgements and findings are fully justified and presented in an open and transparent manner.</w:t>
            </w:r>
          </w:p>
        </w:tc>
      </w:tr>
      <w:tr w:rsidR="00A70416" w:rsidTr="007D39E7">
        <w:tc>
          <w:tcPr>
            <w:tcW w:w="648" w:type="dxa"/>
          </w:tcPr>
          <w:p w:rsidR="00A70416" w:rsidRDefault="00A70416" w:rsidP="007D39E7">
            <w:pPr>
              <w:pStyle w:val="BodyText3"/>
              <w:jc w:val="both"/>
              <w:rPr>
                <w:rFonts w:ascii="Arial" w:hAnsi="Arial" w:cs="Arial"/>
                <w:sz w:val="24"/>
                <w:szCs w:val="24"/>
              </w:rPr>
            </w:pPr>
            <w:r>
              <w:rPr>
                <w:rFonts w:ascii="Arial" w:hAnsi="Arial" w:cs="Arial"/>
                <w:sz w:val="24"/>
                <w:szCs w:val="24"/>
              </w:rPr>
              <w:t>6</w:t>
            </w:r>
          </w:p>
        </w:tc>
        <w:tc>
          <w:tcPr>
            <w:tcW w:w="8100" w:type="dxa"/>
          </w:tcPr>
          <w:p w:rsidR="00A70416" w:rsidRDefault="00A70416" w:rsidP="007D39E7">
            <w:pPr>
              <w:pStyle w:val="BodyText3"/>
              <w:jc w:val="both"/>
              <w:rPr>
                <w:rFonts w:ascii="Arial" w:hAnsi="Arial" w:cs="Arial"/>
                <w:sz w:val="24"/>
                <w:szCs w:val="24"/>
              </w:rPr>
            </w:pPr>
            <w:r>
              <w:rPr>
                <w:rFonts w:ascii="Arial" w:hAnsi="Arial" w:cs="Arial"/>
                <w:sz w:val="24"/>
                <w:szCs w:val="24"/>
              </w:rPr>
              <w:t>Uses and reports upon effective quality control mechanisms.</w:t>
            </w:r>
          </w:p>
        </w:tc>
      </w:tr>
      <w:tr w:rsidR="00A70416" w:rsidTr="007D39E7">
        <w:tc>
          <w:tcPr>
            <w:tcW w:w="648" w:type="dxa"/>
          </w:tcPr>
          <w:p w:rsidR="00A70416" w:rsidRDefault="00A70416" w:rsidP="007D39E7">
            <w:pPr>
              <w:pStyle w:val="BodyText3"/>
              <w:jc w:val="both"/>
              <w:rPr>
                <w:rFonts w:ascii="Arial" w:hAnsi="Arial" w:cs="Arial"/>
                <w:sz w:val="24"/>
                <w:szCs w:val="24"/>
              </w:rPr>
            </w:pPr>
            <w:r>
              <w:rPr>
                <w:rFonts w:ascii="Arial" w:hAnsi="Arial" w:cs="Arial"/>
                <w:sz w:val="24"/>
                <w:szCs w:val="24"/>
              </w:rPr>
              <w:t>7</w:t>
            </w:r>
          </w:p>
        </w:tc>
        <w:tc>
          <w:tcPr>
            <w:tcW w:w="8100" w:type="dxa"/>
          </w:tcPr>
          <w:p w:rsidR="00A70416" w:rsidRDefault="00A70416" w:rsidP="007D39E7">
            <w:pPr>
              <w:pStyle w:val="BodyText3"/>
              <w:jc w:val="both"/>
              <w:rPr>
                <w:rFonts w:ascii="Arial" w:hAnsi="Arial" w:cs="Arial"/>
                <w:sz w:val="24"/>
                <w:szCs w:val="24"/>
              </w:rPr>
            </w:pPr>
            <w:r>
              <w:rPr>
                <w:rFonts w:ascii="Arial" w:hAnsi="Arial" w:cs="Arial"/>
                <w:sz w:val="24"/>
                <w:szCs w:val="24"/>
              </w:rPr>
              <w:t>Explains how the assessment findings have been monitored and updated (where appropriate) since it was originally undertaken.</w:t>
            </w:r>
          </w:p>
        </w:tc>
      </w:tr>
      <w:bookmarkEnd w:id="15"/>
      <w:bookmarkEnd w:id="16"/>
    </w:tbl>
    <w:p w:rsidR="003A6F13" w:rsidRDefault="003A6F13" w:rsidP="00743AEC"/>
    <w:p w:rsidR="0069089A" w:rsidRDefault="0069089A" w:rsidP="0069089A">
      <w:pPr>
        <w:pStyle w:val="Heading2"/>
      </w:pPr>
      <w:bookmarkStart w:id="17" w:name="_Toc333507737"/>
      <w:bookmarkStart w:id="18" w:name="_Toc225941493"/>
      <w:bookmarkStart w:id="19" w:name="_Toc180919689"/>
      <w:bookmarkStart w:id="20" w:name="_Toc180982867"/>
      <w:bookmarkStart w:id="21" w:name="_Toc184198245"/>
      <w:r>
        <w:lastRenderedPageBreak/>
        <w:t>NPPF requirements</w:t>
      </w:r>
      <w:bookmarkEnd w:id="17"/>
    </w:p>
    <w:p w:rsidR="0069089A" w:rsidRDefault="0069089A" w:rsidP="0069089A">
      <w:pPr>
        <w:pStyle w:val="Maintext"/>
      </w:pPr>
      <w:r>
        <w:t>Local planning policies need to be grounded in robust and transparent evidence and key components of the evidence base include:  a Strategic Housing Market Assessment and a Strategic Housing Land Availability Assessment.</w:t>
      </w:r>
      <w:r w:rsidR="00D42388">
        <w:t xml:space="preserve"> The SHMA should assess and identify</w:t>
      </w:r>
      <w:r>
        <w:t xml:space="preserve"> the scale and mix of housing and the range of tenures the local population is likely to need over the Local Plan period which:</w:t>
      </w:r>
    </w:p>
    <w:p w:rsidR="0069089A" w:rsidRDefault="0069089A" w:rsidP="00C76826">
      <w:pPr>
        <w:pStyle w:val="Maintext"/>
        <w:numPr>
          <w:ilvl w:val="2"/>
          <w:numId w:val="10"/>
        </w:numPr>
      </w:pPr>
      <w:r>
        <w:t>Meets household and population projections, taking account of migration and demographic change;</w:t>
      </w:r>
    </w:p>
    <w:p w:rsidR="0069089A" w:rsidRDefault="0069089A" w:rsidP="00C76826">
      <w:pPr>
        <w:pStyle w:val="Maintext"/>
        <w:numPr>
          <w:ilvl w:val="2"/>
          <w:numId w:val="10"/>
        </w:numPr>
      </w:pPr>
      <w:r>
        <w:t>Addresses the need for all types of housing, including affordable housing and the needs of different groups in the community (such as families with children, older people, people with disabilities, service families and people wishing to build their own homes); and</w:t>
      </w:r>
    </w:p>
    <w:p w:rsidR="0069089A" w:rsidRDefault="0069089A" w:rsidP="00C76826">
      <w:pPr>
        <w:pStyle w:val="Maintext"/>
        <w:numPr>
          <w:ilvl w:val="2"/>
          <w:numId w:val="10"/>
        </w:numPr>
      </w:pPr>
      <w:r>
        <w:t xml:space="preserve">Caters for housing demand and the scale of housing supply necessary to meet this demand. </w:t>
      </w:r>
    </w:p>
    <w:p w:rsidR="0069089A" w:rsidRDefault="0069089A" w:rsidP="0069089A">
      <w:pPr>
        <w:pStyle w:val="Maintext"/>
      </w:pPr>
      <w:r>
        <w:t>This report provides the first key piece of evidence to underpin planning policy, namely a SHMA which delivers the core outputs required through CLG SHMA guidance.  Specifically, this research provides:</w:t>
      </w:r>
    </w:p>
    <w:p w:rsidR="0069089A" w:rsidRDefault="0069089A" w:rsidP="00C76826">
      <w:pPr>
        <w:pStyle w:val="Maintext"/>
        <w:numPr>
          <w:ilvl w:val="2"/>
          <w:numId w:val="10"/>
        </w:numPr>
      </w:pPr>
      <w:r>
        <w:t>Evidence for local authorities to help them plan for a mix of housing based on current and future demographic trends, market trends and the needs of different groups in the community (such as families with children, older people, people with disabilities, service families and people wishing to build their own homes);</w:t>
      </w:r>
    </w:p>
    <w:p w:rsidR="0069089A" w:rsidRDefault="0069089A" w:rsidP="00C76826">
      <w:pPr>
        <w:pStyle w:val="Maintext"/>
        <w:numPr>
          <w:ilvl w:val="2"/>
          <w:numId w:val="10"/>
        </w:numPr>
      </w:pPr>
      <w:r>
        <w:t>Identify the size, type, tenure and range of housing that is required in particular locations, reflecting local demand; and</w:t>
      </w:r>
    </w:p>
    <w:p w:rsidR="0069089A" w:rsidRDefault="0069089A" w:rsidP="00C76826">
      <w:pPr>
        <w:pStyle w:val="Maintext"/>
        <w:numPr>
          <w:ilvl w:val="2"/>
          <w:numId w:val="10"/>
        </w:numPr>
      </w:pPr>
      <w:r>
        <w:t xml:space="preserve">Identified affordable housing requirements. </w:t>
      </w:r>
    </w:p>
    <w:p w:rsidR="0069089A" w:rsidRDefault="0069089A" w:rsidP="00743AEC">
      <w:pPr>
        <w:pStyle w:val="Heading2"/>
      </w:pPr>
    </w:p>
    <w:p w:rsidR="0069089A" w:rsidRDefault="0069089A" w:rsidP="00743AEC">
      <w:pPr>
        <w:pStyle w:val="Heading2"/>
      </w:pPr>
    </w:p>
    <w:p w:rsidR="003A6F13" w:rsidRDefault="003A6F13" w:rsidP="00743AEC">
      <w:pPr>
        <w:pStyle w:val="Heading2"/>
      </w:pPr>
      <w:bookmarkStart w:id="22" w:name="_Toc333507738"/>
      <w:r>
        <w:t>Geography</w:t>
      </w:r>
      <w:bookmarkEnd w:id="18"/>
      <w:bookmarkEnd w:id="22"/>
    </w:p>
    <w:bookmarkEnd w:id="19"/>
    <w:bookmarkEnd w:id="20"/>
    <w:bookmarkEnd w:id="21"/>
    <w:p w:rsidR="000256BE" w:rsidRDefault="005919ED" w:rsidP="0032552F">
      <w:pPr>
        <w:pStyle w:val="Maintext"/>
      </w:pPr>
      <w:r>
        <w:t xml:space="preserve">Map 1.1 presents the geographical context </w:t>
      </w:r>
      <w:r w:rsidR="004A3F13">
        <w:t xml:space="preserve">of </w:t>
      </w:r>
      <w:r>
        <w:t>County Durham</w:t>
      </w:r>
      <w:r w:rsidR="00F3252C">
        <w:t xml:space="preserve">. </w:t>
      </w:r>
      <w:r>
        <w:t xml:space="preserve">Map 1.2 illustrates the </w:t>
      </w:r>
      <w:r w:rsidR="0083534C">
        <w:t>survey area</w:t>
      </w:r>
      <w:r>
        <w:t>s whi</w:t>
      </w:r>
      <w:r w:rsidR="00F3252C">
        <w:t xml:space="preserve">ch form the basis of this study. Map 1.3 demonstrates how the </w:t>
      </w:r>
      <w:r w:rsidR="0083534C">
        <w:t>survey area</w:t>
      </w:r>
      <w:r w:rsidR="00F3252C">
        <w:t xml:space="preserve">s relate to the five </w:t>
      </w:r>
      <w:r w:rsidR="005D7D0B">
        <w:t>d</w:t>
      </w:r>
      <w:r w:rsidR="00B440F0">
        <w:t>elivery area</w:t>
      </w:r>
      <w:r w:rsidR="00F3252C">
        <w:t>s which are being proposed in the Local Plan.</w:t>
      </w:r>
    </w:p>
    <w:p w:rsidR="001876A2" w:rsidRPr="0032552F" w:rsidRDefault="000256BE" w:rsidP="000256BE">
      <w:pPr>
        <w:pStyle w:val="Maintext"/>
        <w:numPr>
          <w:ilvl w:val="0"/>
          <w:numId w:val="0"/>
        </w:numPr>
        <w:ind w:left="709"/>
      </w:pPr>
      <w:r>
        <w:br w:type="page"/>
      </w:r>
      <w:r w:rsidRPr="000256BE">
        <w:rPr>
          <w:b/>
        </w:rPr>
        <w:lastRenderedPageBreak/>
        <w:t>Map 1.1</w:t>
      </w:r>
      <w:r w:rsidRPr="000256BE">
        <w:rPr>
          <w:b/>
        </w:rPr>
        <w:tab/>
      </w:r>
      <w:r>
        <w:t>County Durham in its geographical context</w:t>
      </w:r>
    </w:p>
    <w:p w:rsidR="004A3F13" w:rsidRDefault="003C5C8B" w:rsidP="000256BE">
      <w:pPr>
        <w:pStyle w:val="Maintext"/>
        <w:numPr>
          <w:ilvl w:val="0"/>
          <w:numId w:val="0"/>
        </w:numPr>
        <w:ind w:left="1418" w:hanging="709"/>
        <w:jc w:val="left"/>
        <w:rPr>
          <w:b/>
        </w:rPr>
      </w:pPr>
      <w:r w:rsidRPr="003C5C8B">
        <w:rPr>
          <w:b/>
          <w:noProof/>
          <w:lang w:eastAsia="en-GB"/>
        </w:rPr>
        <w:drawing>
          <wp:inline distT="0" distB="0" distL="0" distR="0">
            <wp:extent cx="5001683" cy="5855233"/>
            <wp:effectExtent l="19050" t="0" r="8467" b="0"/>
            <wp:docPr id="41" name="Picture 1" descr="county durham"/>
            <wp:cNvGraphicFramePr/>
            <a:graphic xmlns:a="http://schemas.openxmlformats.org/drawingml/2006/main">
              <a:graphicData uri="http://schemas.openxmlformats.org/drawingml/2006/picture">
                <pic:pic xmlns:pic="http://schemas.openxmlformats.org/drawingml/2006/picture">
                  <pic:nvPicPr>
                    <pic:cNvPr id="2860" name="Picture 629" descr="county durham"/>
                    <pic:cNvPicPr>
                      <a:picLocks noChangeAspect="1" noChangeArrowheads="1"/>
                    </pic:cNvPicPr>
                  </pic:nvPicPr>
                  <pic:blipFill>
                    <a:blip r:embed="rId11" cstate="print"/>
                    <a:srcRect/>
                    <a:stretch>
                      <a:fillRect/>
                    </a:stretch>
                  </pic:blipFill>
                  <pic:spPr bwMode="auto">
                    <a:xfrm>
                      <a:off x="0" y="0"/>
                      <a:ext cx="5002866" cy="5856618"/>
                    </a:xfrm>
                    <a:prstGeom prst="rect">
                      <a:avLst/>
                    </a:prstGeom>
                    <a:noFill/>
                    <a:ln w="9525">
                      <a:noFill/>
                      <a:miter lim="800000"/>
                      <a:headEnd/>
                      <a:tailEnd/>
                    </a:ln>
                  </pic:spPr>
                </pic:pic>
              </a:graphicData>
            </a:graphic>
          </wp:inline>
        </w:drawing>
      </w:r>
    </w:p>
    <w:p w:rsidR="002C1B0D" w:rsidRDefault="002C1B0D" w:rsidP="001876A2">
      <w:pPr>
        <w:pStyle w:val="Maintext"/>
        <w:numPr>
          <w:ilvl w:val="0"/>
          <w:numId w:val="0"/>
        </w:numPr>
        <w:ind w:left="709" w:hanging="709"/>
        <w:jc w:val="left"/>
        <w:rPr>
          <w:b/>
        </w:rPr>
      </w:pPr>
    </w:p>
    <w:p w:rsidR="002C1B0D" w:rsidRDefault="000256BE" w:rsidP="002C1B0D">
      <w:pPr>
        <w:pStyle w:val="Heading2"/>
        <w:ind w:left="0"/>
      </w:pPr>
      <w:r>
        <w:br w:type="page"/>
      </w:r>
      <w:r w:rsidR="002C1B0D">
        <w:lastRenderedPageBreak/>
        <w:tab/>
      </w:r>
      <w:bookmarkStart w:id="23" w:name="_Toc333507739"/>
      <w:r w:rsidR="002C1B0D">
        <w:t>Research methodology</w:t>
      </w:r>
      <w:bookmarkEnd w:id="23"/>
    </w:p>
    <w:p w:rsidR="002C1B0D" w:rsidRDefault="002C1B0D" w:rsidP="002C1B0D">
      <w:pPr>
        <w:pStyle w:val="Maintext"/>
      </w:pPr>
      <w:r>
        <w:t xml:space="preserve">The </w:t>
      </w:r>
      <w:r w:rsidR="005919ED">
        <w:t>County Durham</w:t>
      </w:r>
      <w:r>
        <w:t xml:space="preserve"> SHMA has been overseen by a Housing Market Partnership comprising Council housing and planning officers. There has been engagement with a range of stakeholders throughout the research process including developers/builders, Housing Association representatives, Estate Agents and Private Lettings Agents.</w:t>
      </w:r>
    </w:p>
    <w:p w:rsidR="002C1B0D" w:rsidRDefault="002C1B0D" w:rsidP="002C1B0D">
      <w:pPr>
        <w:pStyle w:val="Maintext"/>
        <w:rPr>
          <w:b/>
          <w:iCs/>
          <w:caps/>
        </w:rPr>
      </w:pPr>
      <w:r>
        <w:t>To deliver the SHMA, a multi-method approach was adopted, which comprised:</w:t>
      </w:r>
    </w:p>
    <w:p w:rsidR="002C1B0D" w:rsidRPr="00724296" w:rsidRDefault="002C1B0D" w:rsidP="002C1B0D">
      <w:pPr>
        <w:pStyle w:val="Maintext"/>
        <w:numPr>
          <w:ilvl w:val="2"/>
          <w:numId w:val="2"/>
        </w:numPr>
        <w:rPr>
          <w:rFonts w:cs="Arial"/>
          <w:i/>
        </w:rPr>
      </w:pPr>
      <w:r>
        <w:t xml:space="preserve">A sample survey of households across </w:t>
      </w:r>
      <w:r w:rsidR="000256BE">
        <w:t>County Durham</w:t>
      </w:r>
      <w:r>
        <w:t xml:space="preserve">. A total of </w:t>
      </w:r>
      <w:r w:rsidR="000256BE">
        <w:t xml:space="preserve">34,948 </w:t>
      </w:r>
      <w:r>
        <w:t xml:space="preserve">households were contacted and </w:t>
      </w:r>
      <w:r w:rsidR="000256BE">
        <w:t>6,216</w:t>
      </w:r>
      <w:r>
        <w:t xml:space="preserve"> questionnaires were returned and used in data analysis.  This represents a </w:t>
      </w:r>
      <w:r w:rsidR="000256BE">
        <w:t>17.8</w:t>
      </w:r>
      <w:r>
        <w:t>% response rate overall and total number of questionnaires returned was well in excess of the 1,500 for each local authority s</w:t>
      </w:r>
      <w:r w:rsidR="00D42388">
        <w:t>pecified in Government guidance. The survey was undertaken using the survey areas illustrated in Map 1.2;</w:t>
      </w:r>
    </w:p>
    <w:p w:rsidR="00724296" w:rsidRPr="00724296" w:rsidRDefault="00724296" w:rsidP="00724296">
      <w:pPr>
        <w:pStyle w:val="Maintext"/>
        <w:numPr>
          <w:ilvl w:val="2"/>
          <w:numId w:val="2"/>
        </w:numPr>
      </w:pPr>
      <w:r>
        <w:t>Two events with representatives of the Home Builders Federation.  The first event was held on the 20</w:t>
      </w:r>
      <w:r w:rsidRPr="00724296">
        <w:rPr>
          <w:vertAlign w:val="superscript"/>
        </w:rPr>
        <w:t>th</w:t>
      </w:r>
      <w:r>
        <w:t xml:space="preserve"> of May 2013, and set out an overview of the rationale for undertaking the update to the SHMA. The session set out the background to the SHMA providing information on the housing market dynamics and drivers, housing demand, housing need and affordability, and future dwelling requirements and older people. The presentation concluded by setting out for discussion a number of strategic matters for consideration including, the impact of the ageing population, the extent of current market uncertainty within the County, and the expectation for future market developments (including the demand for ‘self build’). At this session, the developers indicated that was a degree of certainty within the market and that there did not seem to be a demand within the County for self build. The second presentation was held on the 14</w:t>
      </w:r>
      <w:r w:rsidRPr="00724296">
        <w:rPr>
          <w:vertAlign w:val="superscript"/>
        </w:rPr>
        <w:t>th</w:t>
      </w:r>
      <w:r>
        <w:t xml:space="preserve"> June 2013. This session provided a means to set out for discussion the emerging findings of the SHMA including the future dwelling requirements, affordable housing requirement and meeting the needs of older people.</w:t>
      </w:r>
    </w:p>
    <w:p w:rsidR="002C1B0D" w:rsidRDefault="00196384" w:rsidP="002C1B0D">
      <w:pPr>
        <w:pStyle w:val="Maintext"/>
        <w:numPr>
          <w:ilvl w:val="2"/>
          <w:numId w:val="2"/>
        </w:numPr>
        <w:rPr>
          <w:rFonts w:cs="Arial"/>
          <w:i/>
        </w:rPr>
      </w:pPr>
      <w:r>
        <w:t>As part of the 2012 SHMA, s</w:t>
      </w:r>
      <w:r w:rsidR="00685565">
        <w:t>takeholders were invited to participate in an on-line survey to help ascertain their views on the current housing market and the key strategic housing issues for County Durham. Some telephone interviews were also undertaken. Engagement</w:t>
      </w:r>
      <w:r w:rsidR="002C1B0D">
        <w:t xml:space="preserve"> with key stakeholders including Local Housing and Planning Authority representatives, Registered Social Landlords (RSLs), Estate Agents, Lettings Agents, Developers, Supporting People representatives</w:t>
      </w:r>
      <w:r w:rsidR="00685565">
        <w:t xml:space="preserve"> has taken place</w:t>
      </w:r>
      <w:r>
        <w:t xml:space="preserve">. As part of the 2013 SHMA update, two meeting were held with developers where key findings and issues were discussed. </w:t>
      </w:r>
    </w:p>
    <w:p w:rsidR="001D4694" w:rsidRPr="00937783" w:rsidRDefault="002C1B0D" w:rsidP="00937783">
      <w:pPr>
        <w:pStyle w:val="Maintext"/>
        <w:numPr>
          <w:ilvl w:val="2"/>
          <w:numId w:val="2"/>
        </w:numPr>
        <w:rPr>
          <w:rFonts w:cs="Arial"/>
          <w:i/>
        </w:rPr>
      </w:pPr>
      <w:r>
        <w:t xml:space="preserve">A review of relevant </w:t>
      </w:r>
      <w:r w:rsidR="00937783">
        <w:t>secondary data including the 201</w:t>
      </w:r>
      <w:r>
        <w:t xml:space="preserve">1 census, house price trends, CORE </w:t>
      </w:r>
      <w:r w:rsidR="00D42388">
        <w:t>lett</w:t>
      </w:r>
      <w:r w:rsidR="00937783">
        <w:t>ings data and County Durham 2011</w:t>
      </w:r>
      <w:r w:rsidR="00D42388">
        <w:t>-based population and household projections</w:t>
      </w:r>
      <w:r>
        <w:t>.</w:t>
      </w:r>
    </w:p>
    <w:p w:rsidR="002C1B0D" w:rsidRPr="00CA38E8" w:rsidRDefault="002C1B0D" w:rsidP="002C1B0D">
      <w:pPr>
        <w:pStyle w:val="Maintext"/>
        <w:rPr>
          <w:caps/>
        </w:rPr>
      </w:pPr>
      <w:r>
        <w:t>Further information on the research methodology is presented at Appendix A</w:t>
      </w:r>
      <w:r>
        <w:rPr>
          <w:caps/>
        </w:rPr>
        <w:t>.</w:t>
      </w:r>
    </w:p>
    <w:p w:rsidR="002C1B0D" w:rsidRDefault="002C1B0D" w:rsidP="002C1B0D">
      <w:pPr>
        <w:pStyle w:val="Heading2"/>
      </w:pPr>
    </w:p>
    <w:p w:rsidR="002C1B0D" w:rsidRPr="00EC5ED9" w:rsidRDefault="002C1B0D" w:rsidP="002C1B0D">
      <w:pPr>
        <w:pStyle w:val="Heading2"/>
      </w:pPr>
      <w:bookmarkStart w:id="24" w:name="_Toc333507740"/>
      <w:r>
        <w:t>Presentation of data</w:t>
      </w:r>
      <w:bookmarkEnd w:id="24"/>
    </w:p>
    <w:p w:rsidR="002C1B0D" w:rsidRDefault="002C1B0D" w:rsidP="002C1B0D">
      <w:pPr>
        <w:pStyle w:val="Maintext"/>
      </w:pPr>
      <w:r>
        <w:t xml:space="preserve">Data presented in this report is based on the </w:t>
      </w:r>
      <w:r w:rsidR="00DD3EB7">
        <w:t>2012 Household Survey</w:t>
      </w:r>
      <w:r>
        <w:t xml:space="preserve"> carried out as part of the Strategic Housing Market Assessment </w:t>
      </w:r>
      <w:r w:rsidR="005533C6">
        <w:t xml:space="preserve">but reweighted to reflect the tenure/age profile according to the 2011 census, </w:t>
      </w:r>
      <w:r>
        <w:t xml:space="preserve">unless otherwise stated. </w:t>
      </w:r>
    </w:p>
    <w:p w:rsidR="002C1B0D" w:rsidRDefault="002C1B0D" w:rsidP="002C1B0D">
      <w:pPr>
        <w:pStyle w:val="Maintext"/>
      </w:pPr>
      <w:r>
        <w:t>It is important to note that survey responses have been weighted to correct for response bias and then grossed up to reflect the total number of households and this process is</w:t>
      </w:r>
      <w:r w:rsidR="000256BE">
        <w:t xml:space="preserve"> explained in Appendix A.  </w:t>
      </w:r>
      <w:r w:rsidR="000256BE" w:rsidRPr="00512FFE">
        <w:t xml:space="preserve">The 6,216 </w:t>
      </w:r>
      <w:r w:rsidRPr="00512FFE">
        <w:t>responses are therefor</w:t>
      </w:r>
      <w:r w:rsidR="000256BE" w:rsidRPr="00512FFE">
        <w:t>e weighted and grossed up to 2</w:t>
      </w:r>
      <w:r w:rsidR="00BB2307" w:rsidRPr="00512FFE">
        <w:t>23,081</w:t>
      </w:r>
      <w:r w:rsidRPr="00512FFE">
        <w:t xml:space="preserve"> occupied dwellings. All survey information presented in this report is for weighted and grossed responses which are rounded up to the nearest 50 where appropriate.</w:t>
      </w:r>
      <w:r>
        <w:t xml:space="preserve"> </w:t>
      </w:r>
    </w:p>
    <w:p w:rsidR="00D42388" w:rsidRPr="00EC5ED9" w:rsidRDefault="005533C6" w:rsidP="002C1B0D">
      <w:pPr>
        <w:pStyle w:val="Maintext"/>
      </w:pPr>
      <w:r>
        <w:t xml:space="preserve">Survey data is presented for the </w:t>
      </w:r>
      <w:r w:rsidR="00D42388">
        <w:t xml:space="preserve">County Durham Plan </w:t>
      </w:r>
      <w:r w:rsidR="005D7D0B">
        <w:t>d</w:t>
      </w:r>
      <w:r w:rsidR="00B440F0">
        <w:t>elivery area</w:t>
      </w:r>
      <w:r>
        <w:t>s (Map 1.2)</w:t>
      </w:r>
      <w:r w:rsidR="00D42388">
        <w:t xml:space="preserve">. </w:t>
      </w:r>
    </w:p>
    <w:p w:rsidR="002C1B0D" w:rsidRDefault="002C1B0D" w:rsidP="002C1B0D">
      <w:pPr>
        <w:pStyle w:val="Heading2"/>
        <w:ind w:left="0"/>
      </w:pPr>
    </w:p>
    <w:p w:rsidR="00B42C21" w:rsidRDefault="00B42C21" w:rsidP="00724296">
      <w:pPr>
        <w:pStyle w:val="Maintext"/>
        <w:numPr>
          <w:ilvl w:val="0"/>
          <w:numId w:val="0"/>
        </w:numPr>
        <w:jc w:val="left"/>
      </w:pPr>
      <w:r>
        <w:rPr>
          <w:b/>
        </w:rPr>
        <w:t>Map 1.2</w:t>
      </w:r>
      <w:r>
        <w:rPr>
          <w:b/>
        </w:rPr>
        <w:tab/>
      </w:r>
      <w:r w:rsidRPr="00F3252C">
        <w:t>Co</w:t>
      </w:r>
      <w:r>
        <w:t xml:space="preserve">unty Durham </w:t>
      </w:r>
      <w:r w:rsidR="005D7D0B">
        <w:t>d</w:t>
      </w:r>
      <w:r w:rsidR="00B440F0">
        <w:t>elivery area</w:t>
      </w:r>
      <w:r>
        <w:t xml:space="preserve">s </w:t>
      </w:r>
    </w:p>
    <w:p w:rsidR="00B42C21" w:rsidRDefault="003C5C8B" w:rsidP="00B42C21">
      <w:pPr>
        <w:pStyle w:val="Maintext"/>
        <w:numPr>
          <w:ilvl w:val="0"/>
          <w:numId w:val="0"/>
        </w:numPr>
        <w:ind w:left="709" w:hanging="1276"/>
        <w:jc w:val="left"/>
      </w:pPr>
      <w:r w:rsidRPr="003C5C8B">
        <w:rPr>
          <w:noProof/>
          <w:lang w:eastAsia="en-GB"/>
        </w:rPr>
        <w:drawing>
          <wp:inline distT="0" distB="0" distL="0" distR="0">
            <wp:extent cx="5904230" cy="4303329"/>
            <wp:effectExtent l="19050" t="0" r="1270" b="0"/>
            <wp:docPr id="42" name="Picture 2"/>
            <wp:cNvGraphicFramePr/>
            <a:graphic xmlns:a="http://schemas.openxmlformats.org/drawingml/2006/main">
              <a:graphicData uri="http://schemas.openxmlformats.org/drawingml/2006/picture">
                <pic:pic xmlns:pic="http://schemas.openxmlformats.org/drawingml/2006/picture">
                  <pic:nvPicPr>
                    <pic:cNvPr id="3985" name="Picture 2"/>
                    <pic:cNvPicPr>
                      <a:picLocks noChangeAspect="1"/>
                    </pic:cNvPicPr>
                  </pic:nvPicPr>
                  <pic:blipFill>
                    <a:blip r:embed="rId12" cstate="print"/>
                    <a:srcRect l="14307" t="14713" r="17500" b="13914"/>
                    <a:stretch>
                      <a:fillRect/>
                    </a:stretch>
                  </pic:blipFill>
                  <pic:spPr bwMode="auto">
                    <a:xfrm>
                      <a:off x="0" y="0"/>
                      <a:ext cx="5904230" cy="4303329"/>
                    </a:xfrm>
                    <a:prstGeom prst="rect">
                      <a:avLst/>
                    </a:prstGeom>
                    <a:noFill/>
                    <a:ln w="9525">
                      <a:noFill/>
                      <a:miter lim="800000"/>
                      <a:headEnd/>
                      <a:tailEnd/>
                    </a:ln>
                  </pic:spPr>
                </pic:pic>
              </a:graphicData>
            </a:graphic>
          </wp:inline>
        </w:drawing>
      </w:r>
    </w:p>
    <w:p w:rsidR="003C5C8B" w:rsidRDefault="003C5C8B" w:rsidP="00B42C21">
      <w:pPr>
        <w:pStyle w:val="Maintext"/>
        <w:numPr>
          <w:ilvl w:val="0"/>
          <w:numId w:val="0"/>
        </w:numPr>
        <w:jc w:val="left"/>
        <w:rPr>
          <w:b/>
        </w:rPr>
      </w:pPr>
    </w:p>
    <w:p w:rsidR="00D42388" w:rsidRPr="003C5C8B" w:rsidRDefault="00660470" w:rsidP="00B42C21">
      <w:pPr>
        <w:pStyle w:val="Maintext"/>
        <w:numPr>
          <w:ilvl w:val="0"/>
          <w:numId w:val="0"/>
        </w:numPr>
        <w:jc w:val="left"/>
        <w:rPr>
          <w:b/>
        </w:rPr>
      </w:pPr>
      <w:r>
        <w:rPr>
          <w:b/>
          <w:noProof/>
          <w:lang w:eastAsia="en-GB"/>
        </w:rPr>
        <mc:AlternateContent>
          <mc:Choice Requires="wps">
            <w:drawing>
              <wp:anchor distT="0" distB="0" distL="114300" distR="114300" simplePos="0" relativeHeight="251657216" behindDoc="0" locked="0" layoutInCell="1" allowOverlap="1">
                <wp:simplePos x="0" y="0"/>
                <wp:positionH relativeFrom="column">
                  <wp:posOffset>1850390</wp:posOffset>
                </wp:positionH>
                <wp:positionV relativeFrom="paragraph">
                  <wp:posOffset>200660</wp:posOffset>
                </wp:positionV>
                <wp:extent cx="2731770" cy="304800"/>
                <wp:effectExtent l="12065" t="10160" r="8890" b="8890"/>
                <wp:wrapNone/>
                <wp:docPr id="1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304800"/>
                        </a:xfrm>
                        <a:prstGeom prst="rect">
                          <a:avLst/>
                        </a:prstGeom>
                        <a:solidFill>
                          <a:srgbClr val="FFFFFF"/>
                        </a:solidFill>
                        <a:ln w="9525">
                          <a:solidFill>
                            <a:srgbClr val="FFFFFF"/>
                          </a:solidFill>
                          <a:miter lim="800000"/>
                          <a:headEnd/>
                          <a:tailEnd/>
                        </a:ln>
                      </wps:spPr>
                      <wps:txbx>
                        <w:txbxContent>
                          <w:p w:rsidR="007F16E0" w:rsidRDefault="007F16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5" o:spid="_x0000_s1026" type="#_x0000_t202" style="position:absolute;margin-left:145.7pt;margin-top:15.8pt;width:215.1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" strokecolor="white">
                <v:textbox>
                  <w:txbxContent>
                    <w:p w:rsidR="007F16E0" w:rsidRDefault="007F16E0"/>
                  </w:txbxContent>
                </v:textbox>
              </v:shape>
            </w:pict>
          </mc:Fallback>
        </mc:AlternateContent>
      </w:r>
      <w:bookmarkStart w:id="25" w:name="_Toc225941495"/>
    </w:p>
    <w:p w:rsidR="00724296" w:rsidRDefault="00724296" w:rsidP="00B42C21">
      <w:pPr>
        <w:pStyle w:val="Heading2"/>
        <w:ind w:left="0"/>
      </w:pPr>
      <w:bookmarkStart w:id="26" w:name="_Toc225941496"/>
      <w:bookmarkEnd w:id="25"/>
    </w:p>
    <w:p w:rsidR="003A6F13" w:rsidRDefault="00B42C21" w:rsidP="00B42C21">
      <w:pPr>
        <w:pStyle w:val="Heading2"/>
        <w:ind w:left="0"/>
      </w:pPr>
      <w:r>
        <w:tab/>
      </w:r>
      <w:bookmarkStart w:id="27" w:name="_Toc333507741"/>
      <w:r w:rsidR="003A6F13">
        <w:t>Report structure</w:t>
      </w:r>
      <w:bookmarkEnd w:id="26"/>
      <w:bookmarkEnd w:id="27"/>
    </w:p>
    <w:p w:rsidR="003A6F13" w:rsidRDefault="003A6F13">
      <w:pPr>
        <w:pStyle w:val="Maintext"/>
      </w:pPr>
      <w:r>
        <w:t xml:space="preserve">The </w:t>
      </w:r>
      <w:r w:rsidR="00BB2307">
        <w:t>County Durham</w:t>
      </w:r>
      <w:r w:rsidR="0032552F">
        <w:t xml:space="preserve"> 2012</w:t>
      </w:r>
      <w:r w:rsidR="0016579F">
        <w:t xml:space="preserve"> </w:t>
      </w:r>
      <w:r w:rsidR="00690227">
        <w:t>SHMA</w:t>
      </w:r>
      <w:r>
        <w:t xml:space="preserve"> report is structured as follows:</w:t>
      </w:r>
    </w:p>
    <w:p w:rsidR="003A6F13" w:rsidRDefault="003A6F13">
      <w:pPr>
        <w:pStyle w:val="Maintext"/>
        <w:numPr>
          <w:ilvl w:val="2"/>
          <w:numId w:val="2"/>
        </w:numPr>
      </w:pPr>
      <w:r>
        <w:t xml:space="preserve">Chapter 2 reviews the national and regional </w:t>
      </w:r>
      <w:r w:rsidRPr="00D80448">
        <w:rPr>
          <w:b/>
        </w:rPr>
        <w:t>policy context</w:t>
      </w:r>
      <w:r>
        <w:t xml:space="preserve"> within which the research needs to be positioned; </w:t>
      </w:r>
    </w:p>
    <w:p w:rsidR="003A6F13" w:rsidRDefault="003A6F13">
      <w:pPr>
        <w:pStyle w:val="Maintext"/>
        <w:numPr>
          <w:ilvl w:val="2"/>
          <w:numId w:val="2"/>
        </w:numPr>
      </w:pPr>
      <w:r>
        <w:t xml:space="preserve">Chapter 3 considers the </w:t>
      </w:r>
      <w:r w:rsidR="00BB2307">
        <w:t>County Durham</w:t>
      </w:r>
      <w:r w:rsidR="0049779C">
        <w:t xml:space="preserve"> </w:t>
      </w:r>
      <w:r w:rsidRPr="00D80448">
        <w:rPr>
          <w:b/>
        </w:rPr>
        <w:t>housing market context</w:t>
      </w:r>
      <w:r>
        <w:t>,</w:t>
      </w:r>
      <w:r w:rsidR="0049779C">
        <w:t xml:space="preserve"> in particul</w:t>
      </w:r>
      <w:r w:rsidR="0016579F">
        <w:t xml:space="preserve">ar linkages with </w:t>
      </w:r>
      <w:r w:rsidR="00BB2307">
        <w:t>Tees Valley and Tyne and Wear</w:t>
      </w:r>
      <w:r w:rsidR="00B47921">
        <w:t xml:space="preserve">. </w:t>
      </w:r>
      <w:r w:rsidR="0049779C">
        <w:t xml:space="preserve">This is achieved by </w:t>
      </w:r>
      <w:r>
        <w:t>reviewing migration and travel to work patterns and house price trends;</w:t>
      </w:r>
    </w:p>
    <w:p w:rsidR="003A6F13" w:rsidRDefault="003A6F13">
      <w:pPr>
        <w:pStyle w:val="Maintext"/>
        <w:numPr>
          <w:ilvl w:val="2"/>
          <w:numId w:val="2"/>
        </w:numPr>
      </w:pPr>
      <w:r>
        <w:t xml:space="preserve">Chapter 4 presents </w:t>
      </w:r>
      <w:r w:rsidRPr="00D80448">
        <w:rPr>
          <w:b/>
        </w:rPr>
        <w:t>SHMA core outputs</w:t>
      </w:r>
      <w:r>
        <w:t xml:space="preserve"> and summarises more detailed information presented in technical appendices accompanying this report;</w:t>
      </w:r>
    </w:p>
    <w:p w:rsidR="003A6F13" w:rsidRDefault="003A6F13">
      <w:pPr>
        <w:pStyle w:val="Maintext"/>
        <w:numPr>
          <w:ilvl w:val="2"/>
          <w:numId w:val="2"/>
        </w:numPr>
      </w:pPr>
      <w:r>
        <w:t xml:space="preserve">Chapter 5 reviews </w:t>
      </w:r>
      <w:r w:rsidRPr="00D80448">
        <w:rPr>
          <w:b/>
        </w:rPr>
        <w:t>general market demand</w:t>
      </w:r>
      <w:r>
        <w:t>; and</w:t>
      </w:r>
    </w:p>
    <w:p w:rsidR="003A6F13" w:rsidRDefault="003A6F13">
      <w:pPr>
        <w:pStyle w:val="Maintext"/>
        <w:numPr>
          <w:ilvl w:val="2"/>
          <w:numId w:val="2"/>
        </w:numPr>
      </w:pPr>
      <w:r>
        <w:t xml:space="preserve">Chapter 6 </w:t>
      </w:r>
      <w:r w:rsidRPr="00D80448">
        <w:rPr>
          <w:b/>
        </w:rPr>
        <w:t>concludes</w:t>
      </w:r>
      <w:r>
        <w:t xml:space="preserve"> the report with a view on the current and future housing market and strategic issues.</w:t>
      </w:r>
    </w:p>
    <w:p w:rsidR="003A6F13" w:rsidRDefault="00BB2307">
      <w:pPr>
        <w:pStyle w:val="Maintext"/>
      </w:pPr>
      <w:r>
        <w:t xml:space="preserve">A set of technical appendices accompanies this report which </w:t>
      </w:r>
      <w:r w:rsidR="003A6F13">
        <w:t>provides detailed material that underpins the core outputs of t</w:t>
      </w:r>
      <w:r>
        <w:t>he SHMA.  The technical appendices are:</w:t>
      </w:r>
    </w:p>
    <w:p w:rsidR="003A6F13" w:rsidRDefault="003A6F13">
      <w:pPr>
        <w:pStyle w:val="Maintext"/>
        <w:numPr>
          <w:ilvl w:val="2"/>
          <w:numId w:val="2"/>
        </w:numPr>
      </w:pPr>
      <w:r>
        <w:t>General methodology</w:t>
      </w:r>
      <w:r w:rsidR="001251F0">
        <w:t xml:space="preserve"> (Appendix A)</w:t>
      </w:r>
      <w:r>
        <w:t>;</w:t>
      </w:r>
    </w:p>
    <w:p w:rsidR="003A6F13" w:rsidRDefault="003A6F13">
      <w:pPr>
        <w:pStyle w:val="Maintext"/>
        <w:numPr>
          <w:ilvl w:val="2"/>
          <w:numId w:val="2"/>
        </w:numPr>
      </w:pPr>
      <w:r>
        <w:t>The current housing market</w:t>
      </w:r>
      <w:r w:rsidR="001251F0">
        <w:t xml:space="preserve"> (Appendix B)</w:t>
      </w:r>
      <w:r>
        <w:t>;</w:t>
      </w:r>
    </w:p>
    <w:p w:rsidR="003A6F13" w:rsidRDefault="003A6F13">
      <w:pPr>
        <w:pStyle w:val="Maintext"/>
        <w:numPr>
          <w:ilvl w:val="2"/>
          <w:numId w:val="2"/>
        </w:numPr>
      </w:pPr>
      <w:r>
        <w:t>The future housing market</w:t>
      </w:r>
      <w:r w:rsidR="001251F0">
        <w:t xml:space="preserve"> (Appendix C)</w:t>
      </w:r>
      <w:r>
        <w:t>;</w:t>
      </w:r>
    </w:p>
    <w:p w:rsidR="003A6F13" w:rsidRDefault="003A6F13" w:rsidP="00AF3215">
      <w:pPr>
        <w:pStyle w:val="Maintext"/>
        <w:numPr>
          <w:ilvl w:val="2"/>
          <w:numId w:val="2"/>
        </w:numPr>
      </w:pPr>
      <w:r>
        <w:t>Housing need</w:t>
      </w:r>
      <w:r w:rsidR="001251F0">
        <w:t xml:space="preserve"> (Appendix D)</w:t>
      </w:r>
      <w:r>
        <w:t xml:space="preserve">; </w:t>
      </w:r>
    </w:p>
    <w:p w:rsidR="003A6F13" w:rsidRDefault="003A6F13">
      <w:pPr>
        <w:pStyle w:val="Maintext"/>
        <w:numPr>
          <w:ilvl w:val="2"/>
          <w:numId w:val="2"/>
        </w:numPr>
      </w:pPr>
      <w:r>
        <w:t>Monitoring and updating</w:t>
      </w:r>
      <w:r w:rsidR="00CD1ECC">
        <w:t xml:space="preserve"> (Appendix E</w:t>
      </w:r>
      <w:r w:rsidR="001251F0">
        <w:t>)</w:t>
      </w:r>
      <w:r>
        <w:t>;</w:t>
      </w:r>
    </w:p>
    <w:p w:rsidR="003A6F13" w:rsidRDefault="003A6F13">
      <w:pPr>
        <w:pStyle w:val="Maintext"/>
        <w:numPr>
          <w:ilvl w:val="2"/>
          <w:numId w:val="2"/>
        </w:numPr>
      </w:pPr>
      <w:r>
        <w:t>Statement of conformity to SHMA guidance</w:t>
      </w:r>
      <w:r w:rsidR="00CD1ECC">
        <w:t xml:space="preserve"> (Appendix F</w:t>
      </w:r>
      <w:r w:rsidR="001251F0">
        <w:t>)</w:t>
      </w:r>
      <w:r w:rsidR="00A70416">
        <w:t>;</w:t>
      </w:r>
      <w:r w:rsidR="00644DAC">
        <w:t xml:space="preserve"> and</w:t>
      </w:r>
    </w:p>
    <w:p w:rsidR="003A6F13" w:rsidRDefault="003A6F13">
      <w:pPr>
        <w:pStyle w:val="Maintext"/>
        <w:numPr>
          <w:ilvl w:val="2"/>
          <w:numId w:val="2"/>
        </w:numPr>
      </w:pPr>
      <w:r>
        <w:t>Affordable housing policy considerations</w:t>
      </w:r>
      <w:r w:rsidR="00CD1ECC">
        <w:t xml:space="preserve"> (Appendix G</w:t>
      </w:r>
      <w:r w:rsidR="001251F0">
        <w:t>)</w:t>
      </w:r>
      <w:r w:rsidR="00644DAC">
        <w:t>.</w:t>
      </w:r>
    </w:p>
    <w:p w:rsidR="003A6F13" w:rsidRDefault="003A6F13">
      <w:pPr>
        <w:pStyle w:val="Maintext"/>
        <w:numPr>
          <w:ilvl w:val="0"/>
          <w:numId w:val="0"/>
        </w:numPr>
        <w:ind w:left="709" w:hanging="709"/>
      </w:pPr>
    </w:p>
    <w:p w:rsidR="005922DD" w:rsidRPr="008165AF" w:rsidRDefault="003A6F13" w:rsidP="00267853">
      <w:pPr>
        <w:pStyle w:val="Heading1"/>
        <w:numPr>
          <w:ilvl w:val="0"/>
          <w:numId w:val="0"/>
        </w:numPr>
      </w:pPr>
      <w:bookmarkStart w:id="28" w:name="_Toc225847840"/>
      <w:bookmarkStart w:id="29" w:name="_Toc225941497"/>
      <w:bookmarkStart w:id="30" w:name="_Toc225847841"/>
      <w:bookmarkStart w:id="31" w:name="_Toc225941498"/>
      <w:bookmarkStart w:id="32" w:name="_Toc225847851"/>
      <w:bookmarkStart w:id="33" w:name="_Toc225941508"/>
      <w:bookmarkStart w:id="34" w:name="_Toc225941509"/>
      <w:bookmarkEnd w:id="28"/>
      <w:bookmarkEnd w:id="29"/>
      <w:bookmarkEnd w:id="30"/>
      <w:bookmarkEnd w:id="31"/>
      <w:bookmarkEnd w:id="32"/>
      <w:bookmarkEnd w:id="33"/>
      <w:r>
        <w:br w:type="page"/>
      </w:r>
      <w:bookmarkStart w:id="35" w:name="_Toc177981221"/>
      <w:bookmarkStart w:id="36" w:name="_Toc179707418"/>
      <w:bookmarkStart w:id="37" w:name="_Toc179866243"/>
      <w:bookmarkStart w:id="38" w:name="_Toc179889247"/>
      <w:bookmarkStart w:id="39" w:name="_Toc179898441"/>
      <w:bookmarkStart w:id="40" w:name="_Toc180919692"/>
      <w:bookmarkStart w:id="41" w:name="_Toc180982870"/>
      <w:bookmarkStart w:id="42" w:name="_Toc184198248"/>
      <w:bookmarkStart w:id="43" w:name="_Toc211168718"/>
      <w:bookmarkStart w:id="44" w:name="_Toc212639306"/>
      <w:bookmarkStart w:id="45" w:name="_Toc214433409"/>
      <w:bookmarkStart w:id="46" w:name="_Toc122427224"/>
      <w:bookmarkStart w:id="47" w:name="_Toc171741150"/>
      <w:bookmarkStart w:id="48" w:name="_Toc171741220"/>
      <w:bookmarkEnd w:id="34"/>
    </w:p>
    <w:p w:rsidR="00267853" w:rsidRDefault="00267853" w:rsidP="00267853">
      <w:pPr>
        <w:pStyle w:val="Heading1"/>
      </w:pPr>
      <w:bookmarkStart w:id="49" w:name="_Toc333507742"/>
      <w:r>
        <w:lastRenderedPageBreak/>
        <w:t>Policy and strategic review</w:t>
      </w:r>
      <w:bookmarkEnd w:id="49"/>
    </w:p>
    <w:p w:rsidR="00267853" w:rsidRPr="008165AF" w:rsidRDefault="00267853" w:rsidP="00267853">
      <w:pPr>
        <w:pStyle w:val="Heading2"/>
        <w:ind w:left="0"/>
      </w:pPr>
      <w:r>
        <w:tab/>
      </w:r>
      <w:bookmarkStart w:id="50" w:name="_Toc333507743"/>
      <w:r>
        <w:t>Introduction</w:t>
      </w:r>
      <w:bookmarkEnd w:id="50"/>
    </w:p>
    <w:p w:rsidR="00267853" w:rsidRDefault="00267853" w:rsidP="00267853">
      <w:pPr>
        <w:pStyle w:val="Maintext"/>
        <w:numPr>
          <w:ilvl w:val="0"/>
          <w:numId w:val="0"/>
        </w:numPr>
        <w:ind w:left="709"/>
      </w:pPr>
    </w:p>
    <w:p w:rsidR="00267853" w:rsidRDefault="00267853" w:rsidP="00267853">
      <w:pPr>
        <w:pStyle w:val="Maintext"/>
      </w:pPr>
      <w:r>
        <w:t>Since May 2010 the coalition Government has embarked upon a radical and sustained programme of reform and change of both housing and planning. Set within the context of national austerity measures outlined in the Budget and Comprehensive Spending Review, at a time of significant reductions in public sector spending</w:t>
      </w:r>
      <w:r w:rsidR="001D4FE1">
        <w:t xml:space="preserve">. </w:t>
      </w:r>
    </w:p>
    <w:p w:rsidR="00267853" w:rsidRDefault="00267853" w:rsidP="00267853">
      <w:pPr>
        <w:pStyle w:val="Maintext"/>
      </w:pPr>
      <w:r>
        <w:t>Removal of the regional tier of government and its related strategies</w:t>
      </w:r>
      <w:r w:rsidR="00176832">
        <w:rPr>
          <w:rStyle w:val="FootnoteReference"/>
        </w:rPr>
        <w:footnoteReference w:id="2"/>
      </w:r>
      <w:r>
        <w:t xml:space="preserve">, structures and funding mechanisms, has created a policy vacuum which local strategists and planners need to respond to within the context of the Government’s planning and social housing reform agenda. With an ambitious programme of policy reform well underway, this is a time of significant change for local strategic housing and planning, both in terms of policy and practice. This section of the report briefly summarises some of the key changes underway within the national and regional/sub-regional policy contexts, upon which this research has a bearing.    </w:t>
      </w:r>
    </w:p>
    <w:p w:rsidR="00267853" w:rsidRDefault="00267853" w:rsidP="00267853">
      <w:pPr>
        <w:pStyle w:val="Maintext"/>
        <w:numPr>
          <w:ilvl w:val="0"/>
          <w:numId w:val="0"/>
        </w:numPr>
      </w:pPr>
    </w:p>
    <w:p w:rsidR="00267853" w:rsidRDefault="00267853" w:rsidP="00267853">
      <w:pPr>
        <w:pStyle w:val="Heading2"/>
        <w:ind w:left="0"/>
      </w:pPr>
      <w:r>
        <w:tab/>
      </w:r>
      <w:bookmarkStart w:id="51" w:name="_Toc280272404"/>
      <w:bookmarkStart w:id="52" w:name="_Toc333507744"/>
      <w:r>
        <w:t>National policy</w:t>
      </w:r>
      <w:bookmarkEnd w:id="51"/>
      <w:bookmarkEnd w:id="52"/>
    </w:p>
    <w:p w:rsidR="00267853" w:rsidRPr="00510B3C" w:rsidRDefault="00267853" w:rsidP="00267853">
      <w:pPr>
        <w:pStyle w:val="Maintext"/>
        <w:rPr>
          <w:rFonts w:cs="Arial"/>
        </w:rPr>
      </w:pPr>
      <w:r w:rsidRPr="00510B3C">
        <w:rPr>
          <w:rFonts w:cs="Arial"/>
        </w:rPr>
        <w:t xml:space="preserve">The Department for Communities and Local Government has outlined what the Government wants to achieve in </w:t>
      </w:r>
      <w:r>
        <w:rPr>
          <w:rFonts w:cs="Arial"/>
        </w:rPr>
        <w:t xml:space="preserve">terms of </w:t>
      </w:r>
      <w:r w:rsidRPr="00510B3C">
        <w:rPr>
          <w:rFonts w:cs="Arial"/>
        </w:rPr>
        <w:t>housing</w:t>
      </w:r>
      <w:r>
        <w:rPr>
          <w:rFonts w:cs="Arial"/>
        </w:rPr>
        <w:t xml:space="preserve"> as</w:t>
      </w:r>
      <w:r w:rsidRPr="00510B3C">
        <w:rPr>
          <w:rFonts w:cs="Arial"/>
        </w:rPr>
        <w:t xml:space="preserve">: </w:t>
      </w:r>
    </w:p>
    <w:p w:rsidR="00267853" w:rsidRDefault="00267853" w:rsidP="007E46FA">
      <w:pPr>
        <w:pStyle w:val="Maintext"/>
        <w:numPr>
          <w:ilvl w:val="0"/>
          <w:numId w:val="19"/>
        </w:numPr>
        <w:tabs>
          <w:tab w:val="num" w:pos="720"/>
        </w:tabs>
        <w:rPr>
          <w:rFonts w:cs="Arial"/>
        </w:rPr>
      </w:pPr>
      <w:r w:rsidRPr="00FD3E89">
        <w:rPr>
          <w:rFonts w:cs="Arial"/>
        </w:rPr>
        <w:t>Increase the number of houses available to buy and rent, including affordable housing;</w:t>
      </w:r>
      <w:r>
        <w:rPr>
          <w:rFonts w:cs="Arial"/>
        </w:rPr>
        <w:t xml:space="preserve">  </w:t>
      </w:r>
    </w:p>
    <w:p w:rsidR="00267853" w:rsidRDefault="00267853" w:rsidP="007E46FA">
      <w:pPr>
        <w:pStyle w:val="Maintext"/>
        <w:numPr>
          <w:ilvl w:val="0"/>
          <w:numId w:val="19"/>
        </w:numPr>
        <w:tabs>
          <w:tab w:val="num" w:pos="720"/>
        </w:tabs>
        <w:rPr>
          <w:rFonts w:cs="Arial"/>
        </w:rPr>
      </w:pPr>
      <w:r w:rsidRPr="00FD3E89">
        <w:rPr>
          <w:rFonts w:cs="Arial"/>
        </w:rPr>
        <w:t>Improve the  flexibility of social housing (increasing mobility and choice) and promote homeownership;</w:t>
      </w:r>
      <w:r>
        <w:rPr>
          <w:rFonts w:cs="Arial"/>
        </w:rPr>
        <w:t xml:space="preserve"> </w:t>
      </w:r>
    </w:p>
    <w:p w:rsidR="00267853" w:rsidRDefault="00267853" w:rsidP="007E46FA">
      <w:pPr>
        <w:pStyle w:val="Maintext"/>
        <w:numPr>
          <w:ilvl w:val="0"/>
          <w:numId w:val="19"/>
        </w:numPr>
        <w:tabs>
          <w:tab w:val="num" w:pos="720"/>
        </w:tabs>
        <w:rPr>
          <w:rFonts w:cs="Arial"/>
        </w:rPr>
      </w:pPr>
      <w:r w:rsidRPr="00FD3E89">
        <w:rPr>
          <w:rFonts w:cs="Arial"/>
        </w:rPr>
        <w:t>Protect the vulnerable and disadvantaged by tackling homelessness and support people to stay in their homes; and</w:t>
      </w:r>
      <w:r>
        <w:rPr>
          <w:rFonts w:cs="Arial"/>
        </w:rPr>
        <w:t xml:space="preserve"> </w:t>
      </w:r>
    </w:p>
    <w:p w:rsidR="00267853" w:rsidRPr="00FD3E89" w:rsidRDefault="00267853" w:rsidP="007E46FA">
      <w:pPr>
        <w:pStyle w:val="Maintext"/>
        <w:numPr>
          <w:ilvl w:val="0"/>
          <w:numId w:val="19"/>
        </w:numPr>
        <w:tabs>
          <w:tab w:val="num" w:pos="720"/>
          <w:tab w:val="num" w:pos="992"/>
        </w:tabs>
        <w:rPr>
          <w:rFonts w:cs="Arial"/>
        </w:rPr>
      </w:pPr>
      <w:r w:rsidRPr="00FD3E89">
        <w:rPr>
          <w:rFonts w:cs="Arial"/>
        </w:rPr>
        <w:t>Make sure that homes are of high quality and sustainable.</w:t>
      </w:r>
    </w:p>
    <w:p w:rsidR="00267853" w:rsidRDefault="00267853" w:rsidP="00267853">
      <w:pPr>
        <w:pStyle w:val="Maintext"/>
      </w:pPr>
      <w:r>
        <w:t>What follows is a brief summary of some of the key elements of the Government’s national policy agenda, including:</w:t>
      </w:r>
    </w:p>
    <w:p w:rsidR="00267853" w:rsidRDefault="00267853" w:rsidP="00C76826">
      <w:pPr>
        <w:pStyle w:val="Maintext"/>
        <w:numPr>
          <w:ilvl w:val="2"/>
          <w:numId w:val="10"/>
        </w:numPr>
      </w:pPr>
      <w:r>
        <w:t>Comprehensive Spending Review headlines;</w:t>
      </w:r>
    </w:p>
    <w:p w:rsidR="00267853" w:rsidRDefault="00267853" w:rsidP="00C76826">
      <w:pPr>
        <w:pStyle w:val="Maintext"/>
        <w:numPr>
          <w:ilvl w:val="2"/>
          <w:numId w:val="10"/>
        </w:numPr>
      </w:pPr>
      <w:r>
        <w:t xml:space="preserve">The Local Growth White Paper; </w:t>
      </w:r>
    </w:p>
    <w:p w:rsidR="00267853" w:rsidRDefault="00267853" w:rsidP="00C76826">
      <w:pPr>
        <w:pStyle w:val="Maintext"/>
        <w:numPr>
          <w:ilvl w:val="2"/>
          <w:numId w:val="10"/>
        </w:numPr>
      </w:pPr>
      <w:r>
        <w:t>The Welfare Reform Bill and housing benefit reform;</w:t>
      </w:r>
    </w:p>
    <w:p w:rsidR="00267853" w:rsidRDefault="00267853" w:rsidP="00C76826">
      <w:pPr>
        <w:pStyle w:val="Maintext"/>
        <w:numPr>
          <w:ilvl w:val="2"/>
          <w:numId w:val="10"/>
        </w:numPr>
      </w:pPr>
      <w:r>
        <w:t>Social housing reform;</w:t>
      </w:r>
    </w:p>
    <w:p w:rsidR="00267853" w:rsidRDefault="00267853" w:rsidP="00C76826">
      <w:pPr>
        <w:pStyle w:val="Maintext"/>
        <w:numPr>
          <w:ilvl w:val="2"/>
          <w:numId w:val="10"/>
        </w:numPr>
      </w:pPr>
      <w:r>
        <w:t>Reform of council housing finance;</w:t>
      </w:r>
    </w:p>
    <w:p w:rsidR="00267853" w:rsidRDefault="00267853" w:rsidP="00C76826">
      <w:pPr>
        <w:pStyle w:val="Maintext"/>
        <w:numPr>
          <w:ilvl w:val="2"/>
          <w:numId w:val="10"/>
        </w:numPr>
      </w:pPr>
      <w:r>
        <w:t xml:space="preserve">The new Affordable Rent model; </w:t>
      </w:r>
    </w:p>
    <w:p w:rsidR="00267853" w:rsidRDefault="00743AEC" w:rsidP="00C76826">
      <w:pPr>
        <w:pStyle w:val="Maintext"/>
        <w:numPr>
          <w:ilvl w:val="2"/>
          <w:numId w:val="10"/>
        </w:numPr>
      </w:pPr>
      <w:r>
        <w:t xml:space="preserve">The National </w:t>
      </w:r>
      <w:r w:rsidR="00267853">
        <w:t xml:space="preserve">Planning Policy Framework; </w:t>
      </w:r>
    </w:p>
    <w:p w:rsidR="00267853" w:rsidRDefault="00267853" w:rsidP="00C76826">
      <w:pPr>
        <w:pStyle w:val="Maintext"/>
        <w:numPr>
          <w:ilvl w:val="2"/>
          <w:numId w:val="10"/>
        </w:numPr>
      </w:pPr>
      <w:r>
        <w:lastRenderedPageBreak/>
        <w:t>The Localism Act; and</w:t>
      </w:r>
    </w:p>
    <w:p w:rsidR="00267853" w:rsidRDefault="00267853" w:rsidP="00C76826">
      <w:pPr>
        <w:pStyle w:val="Maintext"/>
        <w:numPr>
          <w:ilvl w:val="2"/>
          <w:numId w:val="10"/>
        </w:numPr>
      </w:pPr>
      <w:r>
        <w:t xml:space="preserve">The National Housing Strategy.  </w:t>
      </w:r>
    </w:p>
    <w:p w:rsidR="00267853" w:rsidRDefault="00267853" w:rsidP="00267853">
      <w:pPr>
        <w:pStyle w:val="Heading3"/>
      </w:pPr>
    </w:p>
    <w:p w:rsidR="00267853" w:rsidRPr="008D04E6" w:rsidRDefault="00267853" w:rsidP="00267853">
      <w:pPr>
        <w:pStyle w:val="Heading3"/>
      </w:pPr>
      <w:r w:rsidRPr="008D04E6">
        <w:t>Comprehensive Spending Review</w:t>
      </w:r>
    </w:p>
    <w:p w:rsidR="00267853" w:rsidRPr="00510B3C" w:rsidRDefault="00267853" w:rsidP="00267853">
      <w:pPr>
        <w:pStyle w:val="Maintext"/>
        <w:rPr>
          <w:rFonts w:cs="Arial"/>
        </w:rPr>
      </w:pPr>
      <w:r>
        <w:rPr>
          <w:rFonts w:cs="Arial"/>
        </w:rPr>
        <w:t xml:space="preserve">Investment plans for the period April 2011 to March 2015 were outlined in the </w:t>
      </w:r>
      <w:r w:rsidRPr="00FD3E89">
        <w:rPr>
          <w:rFonts w:cs="Arial"/>
        </w:rPr>
        <w:t>Comprehensive Spending Review of 20</w:t>
      </w:r>
      <w:r w:rsidRPr="00FD3E89">
        <w:rPr>
          <w:rFonts w:cs="Arial"/>
          <w:vertAlign w:val="superscript"/>
        </w:rPr>
        <w:t>th</w:t>
      </w:r>
      <w:r>
        <w:rPr>
          <w:rFonts w:cs="Arial"/>
        </w:rPr>
        <w:t xml:space="preserve"> October 2010. </w:t>
      </w:r>
    </w:p>
    <w:p w:rsidR="00267853" w:rsidRDefault="00267853" w:rsidP="00267853">
      <w:pPr>
        <w:pStyle w:val="Maintext"/>
        <w:rPr>
          <w:rFonts w:cs="Arial"/>
        </w:rPr>
      </w:pPr>
      <w:r>
        <w:rPr>
          <w:rFonts w:cs="Arial"/>
        </w:rPr>
        <w:t>I</w:t>
      </w:r>
      <w:r w:rsidRPr="00FD3E89">
        <w:rPr>
          <w:rFonts w:cs="Arial"/>
        </w:rPr>
        <w:t xml:space="preserve">nvestment in new affordable housing </w:t>
      </w:r>
      <w:r>
        <w:rPr>
          <w:rFonts w:cs="Arial"/>
        </w:rPr>
        <w:t xml:space="preserve">is to </w:t>
      </w:r>
      <w:r w:rsidRPr="00FD3E89">
        <w:rPr>
          <w:rFonts w:cs="Arial"/>
        </w:rPr>
        <w:t>be met through ca</w:t>
      </w:r>
      <w:r>
        <w:rPr>
          <w:rFonts w:cs="Arial"/>
        </w:rPr>
        <w:t>pital investment (of up to £2.5b</w:t>
      </w:r>
      <w:r w:rsidRPr="00FD3E89">
        <w:rPr>
          <w:rFonts w:cs="Arial"/>
        </w:rPr>
        <w:t xml:space="preserve">n) with the balance raised through new </w:t>
      </w:r>
      <w:r>
        <w:rPr>
          <w:rFonts w:cs="Arial"/>
        </w:rPr>
        <w:t>Affordable Rent</w:t>
      </w:r>
      <w:r w:rsidRPr="00FD3E89">
        <w:rPr>
          <w:rFonts w:cs="Arial"/>
        </w:rPr>
        <w:t xml:space="preserve"> tenancies</w:t>
      </w:r>
      <w:r>
        <w:rPr>
          <w:rFonts w:cs="Arial"/>
        </w:rPr>
        <w:t xml:space="preserve"> </w:t>
      </w:r>
      <w:r w:rsidRPr="00FD3E89">
        <w:rPr>
          <w:rFonts w:cs="Arial"/>
        </w:rPr>
        <w:t xml:space="preserve">offered to new social rented tenants at 80% of </w:t>
      </w:r>
      <w:r>
        <w:rPr>
          <w:rFonts w:cs="Arial"/>
        </w:rPr>
        <w:t xml:space="preserve">market rents. </w:t>
      </w:r>
    </w:p>
    <w:p w:rsidR="00267853" w:rsidRPr="00510B3C" w:rsidRDefault="00267853" w:rsidP="00267853">
      <w:pPr>
        <w:pStyle w:val="Maintext"/>
        <w:rPr>
          <w:rFonts w:cs="Arial"/>
        </w:rPr>
      </w:pPr>
      <w:r w:rsidRPr="00510B3C">
        <w:rPr>
          <w:rFonts w:cs="Arial"/>
        </w:rPr>
        <w:t>Where this combination of higher rent and lower grant is insufficient to make new schemes viable, Registered Providers (RPs) will be expected to convert existing social rent tenancies to affordable rent (or intermediate tenure for sale) when properties are vacated</w:t>
      </w:r>
      <w:r>
        <w:rPr>
          <w:rFonts w:cs="Arial"/>
        </w:rPr>
        <w:t xml:space="preserve"> to cross-subsidise new provision</w:t>
      </w:r>
      <w:r w:rsidRPr="00510B3C">
        <w:rPr>
          <w:rFonts w:cs="Arial"/>
        </w:rPr>
        <w:t>.</w:t>
      </w:r>
    </w:p>
    <w:p w:rsidR="00267853" w:rsidRDefault="00267853" w:rsidP="00267853">
      <w:pPr>
        <w:ind w:firstLine="709"/>
        <w:rPr>
          <w:rFonts w:cs="Arial"/>
          <w:b/>
        </w:rPr>
      </w:pPr>
    </w:p>
    <w:p w:rsidR="00267853" w:rsidRDefault="00267853" w:rsidP="00267853">
      <w:pPr>
        <w:pStyle w:val="Heading3"/>
      </w:pPr>
    </w:p>
    <w:p w:rsidR="00267853" w:rsidRPr="008D04E6" w:rsidRDefault="00267853" w:rsidP="00267853">
      <w:pPr>
        <w:pStyle w:val="Heading3"/>
      </w:pPr>
      <w:r w:rsidRPr="008D04E6">
        <w:t>Local Growth White Paper</w:t>
      </w:r>
    </w:p>
    <w:p w:rsidR="00267853" w:rsidRDefault="00267853" w:rsidP="00267853">
      <w:pPr>
        <w:pStyle w:val="Maintext"/>
        <w:rPr>
          <w:rFonts w:cs="Arial"/>
          <w:color w:val="000000"/>
          <w:lang w:eastAsia="en-GB"/>
        </w:rPr>
      </w:pPr>
      <w:r>
        <w:rPr>
          <w:rFonts w:cs="Arial"/>
          <w:color w:val="000000"/>
          <w:lang w:eastAsia="en-GB"/>
        </w:rPr>
        <w:t>The Local Growth White P</w:t>
      </w:r>
      <w:r w:rsidRPr="00AF295A">
        <w:rPr>
          <w:rFonts w:cs="Arial"/>
          <w:color w:val="000000"/>
          <w:lang w:eastAsia="en-GB"/>
        </w:rPr>
        <w:t>aper sets ou</w:t>
      </w:r>
      <w:r>
        <w:rPr>
          <w:rFonts w:cs="Arial"/>
          <w:color w:val="000000"/>
          <w:lang w:eastAsia="en-GB"/>
        </w:rPr>
        <w:t xml:space="preserve">t </w:t>
      </w:r>
      <w:r w:rsidR="001D4FE1">
        <w:rPr>
          <w:rFonts w:cs="Arial"/>
          <w:color w:val="000000"/>
          <w:lang w:eastAsia="en-GB"/>
        </w:rPr>
        <w:t xml:space="preserve">the Government’s approach </w:t>
      </w:r>
      <w:r>
        <w:rPr>
          <w:rFonts w:cs="Arial"/>
          <w:color w:val="000000"/>
          <w:lang w:eastAsia="en-GB"/>
        </w:rPr>
        <w:t xml:space="preserve">to local </w:t>
      </w:r>
      <w:r w:rsidRPr="00AF295A">
        <w:rPr>
          <w:rFonts w:cs="Arial"/>
          <w:color w:val="000000"/>
          <w:lang w:eastAsia="en-GB"/>
        </w:rPr>
        <w:t xml:space="preserve">economic growth and </w:t>
      </w:r>
      <w:r w:rsidRPr="00FD3E89">
        <w:rPr>
          <w:rFonts w:cs="Arial"/>
          <w:color w:val="000000"/>
          <w:lang w:eastAsia="en-GB"/>
        </w:rPr>
        <w:t xml:space="preserve">new ways of achieving </w:t>
      </w:r>
      <w:r>
        <w:rPr>
          <w:rFonts w:cs="Arial"/>
          <w:color w:val="000000"/>
          <w:lang w:eastAsia="en-GB"/>
        </w:rPr>
        <w:t>it</w:t>
      </w:r>
      <w:r w:rsidR="001D4FE1">
        <w:rPr>
          <w:rFonts w:cs="Arial"/>
          <w:color w:val="000000"/>
          <w:lang w:eastAsia="en-GB"/>
        </w:rPr>
        <w:t xml:space="preserve">. Housing needs should be seen within this context. </w:t>
      </w:r>
    </w:p>
    <w:p w:rsidR="00267853" w:rsidRDefault="00267853" w:rsidP="00267853">
      <w:pPr>
        <w:pStyle w:val="Maintext"/>
        <w:rPr>
          <w:rFonts w:cs="Arial"/>
          <w:color w:val="000000"/>
          <w:lang w:eastAsia="en-GB"/>
        </w:rPr>
      </w:pPr>
      <w:r w:rsidRPr="00FD3E89">
        <w:rPr>
          <w:rFonts w:cs="Arial"/>
          <w:color w:val="000000"/>
          <w:lang w:eastAsia="en-GB"/>
        </w:rPr>
        <w:t xml:space="preserve">Regional Development Agencies </w:t>
      </w:r>
      <w:r>
        <w:rPr>
          <w:rFonts w:cs="Arial"/>
          <w:color w:val="000000"/>
          <w:lang w:eastAsia="en-GB"/>
        </w:rPr>
        <w:t xml:space="preserve">have been </w:t>
      </w:r>
      <w:r w:rsidRPr="00FD3E89">
        <w:rPr>
          <w:rFonts w:cs="Arial"/>
          <w:color w:val="000000"/>
          <w:lang w:eastAsia="en-GB"/>
        </w:rPr>
        <w:t>replaced with Local Enterprise Partnerships (LEPs)</w:t>
      </w:r>
      <w:r>
        <w:rPr>
          <w:rFonts w:cs="Arial"/>
          <w:color w:val="000000"/>
          <w:lang w:eastAsia="en-GB"/>
        </w:rPr>
        <w:t>,</w:t>
      </w:r>
      <w:r w:rsidRPr="00FD3E89">
        <w:rPr>
          <w:rFonts w:cs="Arial"/>
          <w:color w:val="000000"/>
          <w:lang w:eastAsia="en-GB"/>
        </w:rPr>
        <w:t xml:space="preserve"> and a Regional Growth Fund of £1.4</w:t>
      </w:r>
      <w:r>
        <w:rPr>
          <w:rFonts w:cs="Arial"/>
          <w:color w:val="000000"/>
          <w:lang w:eastAsia="en-GB"/>
        </w:rPr>
        <w:t>b</w:t>
      </w:r>
      <w:r w:rsidRPr="00FD3E89">
        <w:rPr>
          <w:rFonts w:cs="Arial"/>
          <w:color w:val="000000"/>
          <w:lang w:eastAsia="en-GB"/>
        </w:rPr>
        <w:t>n has been introduced to create jobs and growth in places currently heavily dep</w:t>
      </w:r>
      <w:r>
        <w:rPr>
          <w:rFonts w:cs="Arial"/>
          <w:color w:val="000000"/>
          <w:lang w:eastAsia="en-GB"/>
        </w:rPr>
        <w:t>endent on the public sector</w:t>
      </w:r>
      <w:r w:rsidRPr="00FD3E89">
        <w:rPr>
          <w:rFonts w:cs="Arial"/>
          <w:color w:val="000000"/>
          <w:lang w:eastAsia="en-GB"/>
        </w:rPr>
        <w:t xml:space="preserve">. </w:t>
      </w:r>
    </w:p>
    <w:p w:rsidR="00267853" w:rsidRDefault="00267853" w:rsidP="00267853">
      <w:pPr>
        <w:pStyle w:val="Maintext"/>
        <w:rPr>
          <w:rFonts w:cs="Arial"/>
          <w:color w:val="000000"/>
          <w:lang w:eastAsia="en-GB"/>
        </w:rPr>
      </w:pPr>
      <w:r>
        <w:rPr>
          <w:rFonts w:cs="Arial"/>
          <w:color w:val="000000"/>
          <w:lang w:eastAsia="en-GB"/>
        </w:rPr>
        <w:t>T</w:t>
      </w:r>
      <w:r w:rsidRPr="00AF295A">
        <w:rPr>
          <w:rFonts w:cs="Arial"/>
          <w:color w:val="000000"/>
          <w:lang w:eastAsia="en-GB"/>
        </w:rPr>
        <w:t xml:space="preserve">he role of </w:t>
      </w:r>
      <w:r>
        <w:rPr>
          <w:rFonts w:cs="Arial"/>
          <w:color w:val="000000"/>
          <w:lang w:eastAsia="en-GB"/>
        </w:rPr>
        <w:t xml:space="preserve">councils </w:t>
      </w:r>
      <w:r w:rsidRPr="00AF295A">
        <w:rPr>
          <w:rFonts w:cs="Arial"/>
          <w:color w:val="000000"/>
          <w:lang w:eastAsia="en-GB"/>
        </w:rPr>
        <w:t>in</w:t>
      </w:r>
      <w:r w:rsidRPr="00FD3E89">
        <w:rPr>
          <w:rFonts w:cs="Arial"/>
          <w:color w:val="000000"/>
          <w:lang w:eastAsia="en-GB"/>
        </w:rPr>
        <w:t xml:space="preserve"> supporting growth is specified, with the</w:t>
      </w:r>
      <w:r w:rsidRPr="00AF295A">
        <w:rPr>
          <w:rFonts w:cs="Arial"/>
          <w:color w:val="000000"/>
          <w:lang w:eastAsia="en-GB"/>
        </w:rPr>
        <w:t xml:space="preserve"> need to support growth through a responsive supply of land, use of land a</w:t>
      </w:r>
      <w:r>
        <w:rPr>
          <w:rFonts w:cs="Arial"/>
          <w:color w:val="000000"/>
          <w:lang w:eastAsia="en-GB"/>
        </w:rPr>
        <w:t xml:space="preserve">ssets to lever in private investment, and </w:t>
      </w:r>
      <w:r w:rsidRPr="00AF295A">
        <w:rPr>
          <w:rFonts w:cs="Arial"/>
          <w:color w:val="000000"/>
          <w:lang w:eastAsia="en-GB"/>
        </w:rPr>
        <w:t>the need to support local people and businesses, includ</w:t>
      </w:r>
      <w:r w:rsidRPr="00FD3E89">
        <w:rPr>
          <w:rFonts w:cs="Arial"/>
          <w:color w:val="000000"/>
          <w:lang w:eastAsia="en-GB"/>
        </w:rPr>
        <w:t xml:space="preserve">ing regeneration. The Paper also makes reference to </w:t>
      </w:r>
      <w:r>
        <w:rPr>
          <w:rFonts w:cs="Arial"/>
          <w:color w:val="000000"/>
          <w:lang w:eastAsia="en-GB"/>
        </w:rPr>
        <w:t>councils</w:t>
      </w:r>
      <w:r w:rsidRPr="00AF295A">
        <w:rPr>
          <w:rFonts w:cs="Arial"/>
          <w:color w:val="000000"/>
          <w:lang w:eastAsia="en-GB"/>
        </w:rPr>
        <w:t xml:space="preserve"> leading efforts to support </w:t>
      </w:r>
      <w:r>
        <w:rPr>
          <w:rFonts w:cs="Arial"/>
          <w:color w:val="000000"/>
          <w:lang w:eastAsia="en-GB"/>
        </w:rPr>
        <w:t xml:space="preserve">and improve the health and well </w:t>
      </w:r>
      <w:r w:rsidRPr="00AF295A">
        <w:rPr>
          <w:rFonts w:cs="Arial"/>
          <w:color w:val="000000"/>
          <w:lang w:eastAsia="en-GB"/>
        </w:rPr>
        <w:t>being of the</w:t>
      </w:r>
      <w:r>
        <w:rPr>
          <w:rFonts w:cs="Arial"/>
          <w:color w:val="000000"/>
          <w:lang w:eastAsia="en-GB"/>
        </w:rPr>
        <w:t>ir</w:t>
      </w:r>
      <w:r w:rsidRPr="00AF295A">
        <w:rPr>
          <w:rFonts w:cs="Arial"/>
          <w:color w:val="000000"/>
          <w:lang w:eastAsia="en-GB"/>
        </w:rPr>
        <w:t xml:space="preserve"> local population</w:t>
      </w:r>
      <w:r>
        <w:rPr>
          <w:rFonts w:cs="Arial"/>
          <w:color w:val="000000"/>
          <w:lang w:eastAsia="en-GB"/>
        </w:rPr>
        <w:t>s</w:t>
      </w:r>
      <w:r w:rsidRPr="00AF295A">
        <w:rPr>
          <w:rFonts w:cs="Arial"/>
          <w:color w:val="000000"/>
          <w:lang w:eastAsia="en-GB"/>
        </w:rPr>
        <w:t>.</w:t>
      </w:r>
    </w:p>
    <w:p w:rsidR="00267853" w:rsidRPr="00510B3C" w:rsidRDefault="00267853" w:rsidP="00267853">
      <w:pPr>
        <w:pStyle w:val="Maintext"/>
        <w:rPr>
          <w:rFonts w:cs="Arial"/>
          <w:color w:val="000000"/>
          <w:lang w:eastAsia="en-GB"/>
        </w:rPr>
      </w:pPr>
      <w:r w:rsidRPr="00510B3C">
        <w:rPr>
          <w:lang w:eastAsia="en-GB"/>
        </w:rPr>
        <w:t xml:space="preserve">In terms of </w:t>
      </w:r>
      <w:r>
        <w:rPr>
          <w:lang w:eastAsia="en-GB"/>
        </w:rPr>
        <w:t>‘</w:t>
      </w:r>
      <w:r w:rsidRPr="00510B3C">
        <w:rPr>
          <w:lang w:eastAsia="en-GB"/>
        </w:rPr>
        <w:t>increasing conf</w:t>
      </w:r>
      <w:r>
        <w:rPr>
          <w:lang w:eastAsia="en-GB"/>
        </w:rPr>
        <w:t>idence to invest’, the agenda centres on r</w:t>
      </w:r>
      <w:r w:rsidRPr="008D04E6">
        <w:rPr>
          <w:lang w:eastAsia="en-GB"/>
        </w:rPr>
        <w:t>eform</w:t>
      </w:r>
      <w:r>
        <w:rPr>
          <w:lang w:eastAsia="en-GB"/>
        </w:rPr>
        <w:t xml:space="preserve"> of</w:t>
      </w:r>
      <w:r w:rsidRPr="008D04E6">
        <w:rPr>
          <w:lang w:eastAsia="en-GB"/>
        </w:rPr>
        <w:t xml:space="preserve"> the planning system</w:t>
      </w:r>
      <w:r>
        <w:rPr>
          <w:lang w:eastAsia="en-GB"/>
        </w:rPr>
        <w:t xml:space="preserve">, </w:t>
      </w:r>
      <w:r w:rsidRPr="008D04E6">
        <w:rPr>
          <w:lang w:eastAsia="en-GB"/>
        </w:rPr>
        <w:t>and</w:t>
      </w:r>
      <w:r>
        <w:rPr>
          <w:lang w:eastAsia="en-GB"/>
        </w:rPr>
        <w:t xml:space="preserve"> i</w:t>
      </w:r>
      <w:r w:rsidRPr="008D04E6">
        <w:rPr>
          <w:rFonts w:cs="Arial"/>
          <w:color w:val="000000"/>
          <w:lang w:eastAsia="en-GB"/>
        </w:rPr>
        <w:t xml:space="preserve">ncentivising </w:t>
      </w:r>
      <w:r>
        <w:rPr>
          <w:rFonts w:cs="Arial"/>
          <w:color w:val="000000"/>
          <w:lang w:eastAsia="en-GB"/>
        </w:rPr>
        <w:t>councils</w:t>
      </w:r>
      <w:r w:rsidRPr="008D04E6">
        <w:rPr>
          <w:rFonts w:cs="Arial"/>
          <w:color w:val="000000"/>
          <w:lang w:eastAsia="en-GB"/>
        </w:rPr>
        <w:t xml:space="preserve"> to deliver sustainable economic development.</w:t>
      </w:r>
      <w:r>
        <w:rPr>
          <w:rFonts w:cs="Arial"/>
          <w:color w:val="000000"/>
          <w:lang w:eastAsia="en-GB"/>
        </w:rPr>
        <w:t xml:space="preserve"> </w:t>
      </w:r>
    </w:p>
    <w:p w:rsidR="00267853" w:rsidRPr="00FD3E89" w:rsidRDefault="00267853" w:rsidP="00267853">
      <w:pPr>
        <w:pStyle w:val="ListParagraph"/>
        <w:rPr>
          <w:rFonts w:cs="Arial"/>
        </w:rPr>
      </w:pPr>
    </w:p>
    <w:p w:rsidR="00267853" w:rsidRPr="008D04E6" w:rsidRDefault="00267853" w:rsidP="00267853">
      <w:pPr>
        <w:pStyle w:val="Heading3"/>
      </w:pPr>
      <w:r>
        <w:t xml:space="preserve">The Welfare Reform Bill and housing benefit reform </w:t>
      </w:r>
    </w:p>
    <w:p w:rsidR="00267853" w:rsidRDefault="00267853" w:rsidP="00267853">
      <w:pPr>
        <w:pStyle w:val="Maintext"/>
        <w:rPr>
          <w:rFonts w:cs="Arial"/>
        </w:rPr>
      </w:pPr>
      <w:r>
        <w:rPr>
          <w:rFonts w:cs="Arial"/>
        </w:rPr>
        <w:t>The Welfare Reform Bill introduces Universal Credit as well as changes to housing benefit and other welfare benefits. The Bill also introduces a new ‘personal independence payment’ to replace the existing disability living allowance.</w:t>
      </w:r>
    </w:p>
    <w:p w:rsidR="00267853" w:rsidRDefault="00267853" w:rsidP="00267853">
      <w:pPr>
        <w:pStyle w:val="Maintext"/>
        <w:rPr>
          <w:rFonts w:cs="Arial"/>
        </w:rPr>
      </w:pPr>
      <w:r>
        <w:rPr>
          <w:rFonts w:cs="Arial"/>
        </w:rPr>
        <w:t>In addition, the Bill gives the Government powers to implement housing benefit reforms outlined in the June 2010 Budget and the October 2010 Comprehensive Spending Review, these include:</w:t>
      </w:r>
    </w:p>
    <w:p w:rsidR="00267853" w:rsidRPr="00636FCB" w:rsidRDefault="00267853" w:rsidP="00C76826">
      <w:pPr>
        <w:pStyle w:val="Maintext"/>
        <w:numPr>
          <w:ilvl w:val="2"/>
          <w:numId w:val="10"/>
        </w:numPr>
        <w:rPr>
          <w:lang w:eastAsia="en-GB"/>
        </w:rPr>
      </w:pPr>
      <w:r w:rsidRPr="00636FCB">
        <w:rPr>
          <w:lang w:eastAsia="en-GB"/>
        </w:rPr>
        <w:t>Introducing a size criteria to the calculation of housing benefit for social sector tenants;</w:t>
      </w:r>
    </w:p>
    <w:p w:rsidR="00267853" w:rsidRPr="00636FCB" w:rsidRDefault="00267853" w:rsidP="00C76826">
      <w:pPr>
        <w:pStyle w:val="Maintext"/>
        <w:numPr>
          <w:ilvl w:val="2"/>
          <w:numId w:val="10"/>
        </w:numPr>
        <w:rPr>
          <w:lang w:eastAsia="en-GB"/>
        </w:rPr>
      </w:pPr>
      <w:r w:rsidRPr="00636FCB">
        <w:rPr>
          <w:lang w:eastAsia="en-GB"/>
        </w:rPr>
        <w:t>Up-rating future Local Housing Allowance rates in line with Consumer Price Index rather than actual rents (from April 2013); and</w:t>
      </w:r>
    </w:p>
    <w:p w:rsidR="00267853" w:rsidRPr="00636FCB" w:rsidRDefault="00267853" w:rsidP="00C76826">
      <w:pPr>
        <w:pStyle w:val="Maintext"/>
        <w:numPr>
          <w:ilvl w:val="2"/>
          <w:numId w:val="10"/>
        </w:numPr>
        <w:rPr>
          <w:lang w:eastAsia="en-GB"/>
        </w:rPr>
      </w:pPr>
      <w:r w:rsidRPr="00636FCB">
        <w:rPr>
          <w:lang w:eastAsia="en-GB"/>
        </w:rPr>
        <w:t xml:space="preserve">Introducing household benefit caps of £500 per week for couples and £350 per week for single claimants. </w:t>
      </w:r>
    </w:p>
    <w:p w:rsidR="00267853" w:rsidRDefault="00267853" w:rsidP="00267853">
      <w:pPr>
        <w:pStyle w:val="Maintext"/>
      </w:pPr>
      <w:r>
        <w:t xml:space="preserve">Changes already introduced to housing benefit following the June 2010 Budget include: </w:t>
      </w:r>
    </w:p>
    <w:p w:rsidR="00267853" w:rsidRPr="00636FCB" w:rsidRDefault="00267853" w:rsidP="00C76826">
      <w:pPr>
        <w:pStyle w:val="Maintext"/>
        <w:numPr>
          <w:ilvl w:val="2"/>
          <w:numId w:val="10"/>
        </w:numPr>
        <w:rPr>
          <w:lang w:eastAsia="en-GB"/>
        </w:rPr>
      </w:pPr>
      <w:r w:rsidRPr="00636FCB">
        <w:rPr>
          <w:lang w:eastAsia="en-GB"/>
        </w:rPr>
        <w:t xml:space="preserve">Capping the maximum Local Housing Allowance payable for each property size and applying a four-bed limit. This mainly affects households living in </w:t>
      </w:r>
      <w:smartTag w:uri="urn:schemas-microsoft-com:office:smarttags" w:element="place">
        <w:smartTag w:uri="urn:schemas-microsoft-com:office:smarttags" w:element="City">
          <w:r w:rsidRPr="00636FCB">
            <w:rPr>
              <w:lang w:eastAsia="en-GB"/>
            </w:rPr>
            <w:t>London</w:t>
          </w:r>
        </w:smartTag>
      </w:smartTag>
      <w:r w:rsidRPr="00636FCB">
        <w:rPr>
          <w:lang w:eastAsia="en-GB"/>
        </w:rPr>
        <w:t xml:space="preserve"> (from April 2011);</w:t>
      </w:r>
    </w:p>
    <w:p w:rsidR="00267853" w:rsidRPr="00636FCB" w:rsidRDefault="00267853" w:rsidP="00C76826">
      <w:pPr>
        <w:pStyle w:val="Maintext"/>
        <w:numPr>
          <w:ilvl w:val="2"/>
          <w:numId w:val="10"/>
        </w:numPr>
        <w:rPr>
          <w:lang w:eastAsia="en-GB"/>
        </w:rPr>
      </w:pPr>
      <w:r w:rsidRPr="00636FCB">
        <w:rPr>
          <w:lang w:eastAsia="en-GB"/>
        </w:rPr>
        <w:t>Calculating Local Housing Allowance rates using the 30th percentile of market rents rather than the 50th percentile (from October 2011);</w:t>
      </w:r>
    </w:p>
    <w:p w:rsidR="00267853" w:rsidRPr="00636FCB" w:rsidRDefault="00267853" w:rsidP="00C76826">
      <w:pPr>
        <w:pStyle w:val="Maintext"/>
        <w:numPr>
          <w:ilvl w:val="2"/>
          <w:numId w:val="10"/>
        </w:numPr>
        <w:rPr>
          <w:lang w:eastAsia="en-GB"/>
        </w:rPr>
      </w:pPr>
      <w:r w:rsidRPr="00636FCB">
        <w:rPr>
          <w:lang w:eastAsia="en-GB"/>
        </w:rPr>
        <w:t>Limiting housing benefit for working age tenants so that it only covers the size of property they are judged to need (from April 2013);</w:t>
      </w:r>
    </w:p>
    <w:p w:rsidR="00267853" w:rsidRPr="00636FCB" w:rsidRDefault="00267853" w:rsidP="00C76826">
      <w:pPr>
        <w:pStyle w:val="Maintext"/>
        <w:numPr>
          <w:ilvl w:val="2"/>
          <w:numId w:val="10"/>
        </w:numPr>
        <w:rPr>
          <w:lang w:eastAsia="en-GB"/>
        </w:rPr>
      </w:pPr>
      <w:r w:rsidRPr="00636FCB">
        <w:rPr>
          <w:lang w:eastAsia="en-GB"/>
        </w:rPr>
        <w:t>Increasing deductions for non-dependents (no longer frozen at £7.40 per week for non-earners and linked to prices since April 2011);</w:t>
      </w:r>
    </w:p>
    <w:p w:rsidR="00267853" w:rsidRPr="00636FCB" w:rsidRDefault="00267853" w:rsidP="00C76826">
      <w:pPr>
        <w:pStyle w:val="Maintext"/>
        <w:numPr>
          <w:ilvl w:val="2"/>
          <w:numId w:val="10"/>
        </w:numPr>
        <w:rPr>
          <w:lang w:eastAsia="en-GB"/>
        </w:rPr>
      </w:pPr>
      <w:r w:rsidRPr="00636FCB">
        <w:rPr>
          <w:lang w:eastAsia="en-GB"/>
        </w:rPr>
        <w:t>Time  limiting full housing benefit and Local Housing Allowance payable to people on Job Seekers’ Allowance so that after 12 months housing benefit is reduced by 10% (from April 2013);</w:t>
      </w:r>
    </w:p>
    <w:p w:rsidR="00267853" w:rsidRPr="00636FCB" w:rsidRDefault="00267853" w:rsidP="00C76826">
      <w:pPr>
        <w:pStyle w:val="Maintext"/>
        <w:numPr>
          <w:ilvl w:val="2"/>
          <w:numId w:val="10"/>
        </w:numPr>
        <w:rPr>
          <w:lang w:eastAsia="en-GB"/>
        </w:rPr>
      </w:pPr>
      <w:r w:rsidRPr="00636FCB">
        <w:rPr>
          <w:lang w:eastAsia="en-GB"/>
        </w:rPr>
        <w:t>Increasing discretionary housing payments (from October 2010); and</w:t>
      </w:r>
    </w:p>
    <w:p w:rsidR="00267853" w:rsidRPr="00636FCB" w:rsidRDefault="00267853" w:rsidP="00C76826">
      <w:pPr>
        <w:pStyle w:val="Maintext"/>
        <w:numPr>
          <w:ilvl w:val="2"/>
          <w:numId w:val="10"/>
        </w:numPr>
        <w:rPr>
          <w:lang w:eastAsia="en-GB"/>
        </w:rPr>
      </w:pPr>
      <w:r w:rsidRPr="00636FCB">
        <w:rPr>
          <w:lang w:eastAsia="en-GB"/>
        </w:rPr>
        <w:t xml:space="preserve">Resourcing </w:t>
      </w:r>
      <w:r w:rsidR="00636FCB">
        <w:rPr>
          <w:lang w:eastAsia="en-GB"/>
        </w:rPr>
        <w:t xml:space="preserve">an </w:t>
      </w:r>
      <w:r w:rsidRPr="00636FCB">
        <w:rPr>
          <w:lang w:eastAsia="en-GB"/>
        </w:rPr>
        <w:t>additional bedroom for carers (from April 2011).</w:t>
      </w:r>
    </w:p>
    <w:p w:rsidR="00267853" w:rsidRDefault="0009011B" w:rsidP="00267853">
      <w:pPr>
        <w:pStyle w:val="Maintext"/>
        <w:rPr>
          <w:rFonts w:cs="Arial"/>
        </w:rPr>
      </w:pPr>
      <w:r>
        <w:rPr>
          <w:rFonts w:cs="Arial"/>
        </w:rPr>
        <w:t>Additionally</w:t>
      </w:r>
      <w:r w:rsidR="00267853" w:rsidRPr="008469FC">
        <w:rPr>
          <w:rFonts w:cs="Arial"/>
        </w:rPr>
        <w:t xml:space="preserve"> the age at which the s</w:t>
      </w:r>
      <w:r>
        <w:rPr>
          <w:rFonts w:cs="Arial"/>
        </w:rPr>
        <w:t xml:space="preserve">ingle room rate is applied </w:t>
      </w:r>
      <w:r w:rsidR="00267853" w:rsidRPr="008469FC">
        <w:rPr>
          <w:rFonts w:cs="Arial"/>
        </w:rPr>
        <w:t>increase</w:t>
      </w:r>
      <w:r>
        <w:rPr>
          <w:rFonts w:cs="Arial"/>
        </w:rPr>
        <w:t>d</w:t>
      </w:r>
      <w:r w:rsidR="00267853" w:rsidRPr="008469FC">
        <w:rPr>
          <w:rFonts w:cs="Arial"/>
        </w:rPr>
        <w:t xml:space="preserve"> from 25 to 35</w:t>
      </w:r>
      <w:r>
        <w:rPr>
          <w:rFonts w:cs="Arial"/>
        </w:rPr>
        <w:t xml:space="preserve"> from January 2012</w:t>
      </w:r>
      <w:r w:rsidR="00267853" w:rsidRPr="008469FC">
        <w:rPr>
          <w:rFonts w:cs="Arial"/>
        </w:rPr>
        <w:t>. This increases the age that single people can qualify</w:t>
      </w:r>
      <w:r w:rsidR="00267853">
        <w:rPr>
          <w:rFonts w:cs="Arial"/>
        </w:rPr>
        <w:t xml:space="preserve"> for housing benefit for a self-</w:t>
      </w:r>
      <w:r w:rsidR="00267853" w:rsidRPr="008469FC">
        <w:rPr>
          <w:rFonts w:cs="Arial"/>
        </w:rPr>
        <w:t>contained property</w:t>
      </w:r>
      <w:r w:rsidR="00267853">
        <w:rPr>
          <w:rFonts w:cs="Arial"/>
        </w:rPr>
        <w:t>.</w:t>
      </w:r>
    </w:p>
    <w:p w:rsidR="00267853" w:rsidRDefault="00267853" w:rsidP="00267853">
      <w:pPr>
        <w:pStyle w:val="Heading3"/>
      </w:pPr>
    </w:p>
    <w:p w:rsidR="00267853" w:rsidRPr="0092407C" w:rsidRDefault="00267853" w:rsidP="00267853">
      <w:pPr>
        <w:pStyle w:val="Heading3"/>
      </w:pPr>
      <w:r>
        <w:t>Social Housing reform</w:t>
      </w:r>
      <w:r w:rsidRPr="0092407C">
        <w:t xml:space="preserve"> </w:t>
      </w:r>
    </w:p>
    <w:p w:rsidR="00267853" w:rsidRPr="001D4FE1" w:rsidRDefault="00267853" w:rsidP="001D4FE1">
      <w:pPr>
        <w:pStyle w:val="Maintext"/>
        <w:rPr>
          <w:rFonts w:cs="Arial"/>
        </w:rPr>
      </w:pPr>
      <w:r>
        <w:rPr>
          <w:rFonts w:cs="Arial"/>
        </w:rPr>
        <w:t xml:space="preserve">The Government set out its key objectives for social housing reform, and its proposals to achieve them, in a consultation paper </w:t>
      </w:r>
      <w:r>
        <w:rPr>
          <w:rFonts w:cs="Arial"/>
          <w:i/>
        </w:rPr>
        <w:t>Local Decisions: a fairer future for social housing</w:t>
      </w:r>
      <w:r w:rsidR="001D4FE1">
        <w:rPr>
          <w:rFonts w:cs="Arial"/>
        </w:rPr>
        <w:t xml:space="preserve">. </w:t>
      </w:r>
      <w:r w:rsidRPr="001D4FE1">
        <w:rPr>
          <w:rFonts w:cs="Arial"/>
        </w:rPr>
        <w:t>Proposals include:</w:t>
      </w:r>
    </w:p>
    <w:p w:rsidR="00267853" w:rsidRDefault="00267853" w:rsidP="00C76826">
      <w:pPr>
        <w:pStyle w:val="ListParagraph"/>
        <w:numPr>
          <w:ilvl w:val="0"/>
          <w:numId w:val="17"/>
        </w:numPr>
        <w:spacing w:before="0" w:after="200" w:line="276" w:lineRule="auto"/>
        <w:contextualSpacing/>
        <w:rPr>
          <w:rFonts w:cs="Arial"/>
        </w:rPr>
      </w:pPr>
      <w:r>
        <w:rPr>
          <w:rFonts w:cs="Arial"/>
        </w:rPr>
        <w:t>The introduction of</w:t>
      </w:r>
      <w:r w:rsidRPr="003D12A1">
        <w:rPr>
          <w:rFonts w:cs="Arial"/>
        </w:rPr>
        <w:t xml:space="preserve"> a new</w:t>
      </w:r>
      <w:r>
        <w:rPr>
          <w:rFonts w:cs="Arial"/>
        </w:rPr>
        <w:t>,</w:t>
      </w:r>
      <w:r w:rsidRPr="003D12A1">
        <w:rPr>
          <w:rFonts w:cs="Arial"/>
        </w:rPr>
        <w:t xml:space="preserve"> more flexible</w:t>
      </w:r>
      <w:r w:rsidR="00636FCB">
        <w:rPr>
          <w:rFonts w:cs="Arial"/>
        </w:rPr>
        <w:t>,</w:t>
      </w:r>
      <w:r w:rsidRPr="003D12A1">
        <w:rPr>
          <w:rFonts w:cs="Arial"/>
        </w:rPr>
        <w:t xml:space="preserve"> local authority affordable rent tenancy with a minimum fixed term of </w:t>
      </w:r>
      <w:r>
        <w:rPr>
          <w:rFonts w:cs="Arial"/>
        </w:rPr>
        <w:t>five</w:t>
      </w:r>
      <w:r w:rsidRPr="003D12A1">
        <w:rPr>
          <w:rFonts w:cs="Arial"/>
        </w:rPr>
        <w:t xml:space="preserve"> years</w:t>
      </w:r>
      <w:r>
        <w:rPr>
          <w:rFonts w:cs="Arial"/>
        </w:rPr>
        <w:t xml:space="preserve"> (this will be in addition to secure and introductory tenancies)</w:t>
      </w:r>
      <w:r w:rsidRPr="003D12A1">
        <w:rPr>
          <w:rFonts w:cs="Arial"/>
        </w:rPr>
        <w:t>;</w:t>
      </w:r>
    </w:p>
    <w:p w:rsidR="00267853" w:rsidRPr="003D12A1" w:rsidRDefault="00267853" w:rsidP="00C76826">
      <w:pPr>
        <w:pStyle w:val="ListParagraph"/>
        <w:numPr>
          <w:ilvl w:val="0"/>
          <w:numId w:val="17"/>
        </w:numPr>
        <w:spacing w:before="0" w:after="200" w:line="276" w:lineRule="auto"/>
        <w:contextualSpacing/>
        <w:rPr>
          <w:rFonts w:cs="Arial"/>
        </w:rPr>
      </w:pPr>
      <w:r>
        <w:rPr>
          <w:rFonts w:cs="Arial"/>
        </w:rPr>
        <w:t>Investment of £100m to bring empty properties in to use as affordable housing;</w:t>
      </w:r>
    </w:p>
    <w:p w:rsidR="00267853" w:rsidRDefault="00267853" w:rsidP="00C76826">
      <w:pPr>
        <w:pStyle w:val="ListParagraph"/>
        <w:numPr>
          <w:ilvl w:val="0"/>
          <w:numId w:val="17"/>
        </w:numPr>
        <w:spacing w:before="0" w:after="200" w:line="276" w:lineRule="auto"/>
        <w:contextualSpacing/>
        <w:rPr>
          <w:rFonts w:cs="Arial"/>
        </w:rPr>
      </w:pPr>
      <w:r>
        <w:rPr>
          <w:rFonts w:cs="Arial"/>
        </w:rPr>
        <w:t>Reforming the social housing allocations system by giving Local Authorities the powers to manage their housing waiting lists</w:t>
      </w:r>
      <w:r w:rsidRPr="003D12A1">
        <w:rPr>
          <w:rFonts w:cs="Arial"/>
        </w:rPr>
        <w:t xml:space="preserve">; </w:t>
      </w:r>
    </w:p>
    <w:p w:rsidR="00267853" w:rsidRDefault="00267853" w:rsidP="00C76826">
      <w:pPr>
        <w:pStyle w:val="ListParagraph"/>
        <w:numPr>
          <w:ilvl w:val="0"/>
          <w:numId w:val="17"/>
        </w:numPr>
        <w:spacing w:before="0" w:after="200" w:line="276" w:lineRule="auto"/>
        <w:contextualSpacing/>
        <w:rPr>
          <w:rFonts w:cs="Arial"/>
        </w:rPr>
      </w:pPr>
      <w:r>
        <w:rPr>
          <w:rFonts w:cs="Arial"/>
        </w:rPr>
        <w:t>Introduction of</w:t>
      </w:r>
      <w:r w:rsidRPr="003D12A1">
        <w:rPr>
          <w:rFonts w:cs="Arial"/>
        </w:rPr>
        <w:t xml:space="preserve"> a nation</w:t>
      </w:r>
      <w:r>
        <w:rPr>
          <w:rFonts w:cs="Arial"/>
        </w:rPr>
        <w:t>wide social home swap programme for social tenants;</w:t>
      </w:r>
    </w:p>
    <w:p w:rsidR="00267853" w:rsidRDefault="00267853" w:rsidP="00C76826">
      <w:pPr>
        <w:pStyle w:val="ListParagraph"/>
        <w:numPr>
          <w:ilvl w:val="0"/>
          <w:numId w:val="17"/>
        </w:numPr>
        <w:spacing w:before="0" w:after="200" w:line="276" w:lineRule="auto"/>
        <w:contextualSpacing/>
        <w:rPr>
          <w:rFonts w:cs="Arial"/>
        </w:rPr>
      </w:pPr>
      <w:r>
        <w:rPr>
          <w:rFonts w:cs="Arial"/>
        </w:rPr>
        <w:t>E</w:t>
      </w:r>
      <w:r w:rsidRPr="003D12A1">
        <w:rPr>
          <w:rFonts w:cs="Arial"/>
        </w:rPr>
        <w:t>nablin</w:t>
      </w:r>
      <w:r>
        <w:rPr>
          <w:rFonts w:cs="Arial"/>
        </w:rPr>
        <w:t>g local authorities</w:t>
      </w:r>
      <w:r w:rsidRPr="003D12A1">
        <w:rPr>
          <w:rFonts w:cs="Arial"/>
        </w:rPr>
        <w:t xml:space="preserve"> to fully discharge </w:t>
      </w:r>
      <w:r>
        <w:rPr>
          <w:rFonts w:cs="Arial"/>
        </w:rPr>
        <w:t>a homelessness duty to secure accommodation by arranging an offer of suitable accommodation in the private rented sector without requiring the applicant’s agreement;</w:t>
      </w:r>
    </w:p>
    <w:p w:rsidR="00267853" w:rsidRDefault="00267853" w:rsidP="00C76826">
      <w:pPr>
        <w:pStyle w:val="ListParagraph"/>
        <w:numPr>
          <w:ilvl w:val="0"/>
          <w:numId w:val="17"/>
        </w:numPr>
        <w:spacing w:before="0" w:after="200" w:line="276" w:lineRule="auto"/>
        <w:contextualSpacing/>
        <w:rPr>
          <w:rFonts w:cs="Arial"/>
        </w:rPr>
      </w:pPr>
      <w:r>
        <w:rPr>
          <w:rFonts w:cs="Arial"/>
        </w:rPr>
        <w:t xml:space="preserve">Introducing reforms to tackle overcrowding; and </w:t>
      </w:r>
    </w:p>
    <w:p w:rsidR="00267853" w:rsidRDefault="00267853" w:rsidP="00C76826">
      <w:pPr>
        <w:pStyle w:val="ListParagraph"/>
        <w:numPr>
          <w:ilvl w:val="0"/>
          <w:numId w:val="17"/>
        </w:numPr>
        <w:spacing w:before="0" w:after="200" w:line="276" w:lineRule="auto"/>
        <w:contextualSpacing/>
        <w:rPr>
          <w:rFonts w:cs="Arial"/>
        </w:rPr>
      </w:pPr>
      <w:r>
        <w:rPr>
          <w:rFonts w:cs="Arial"/>
        </w:rPr>
        <w:t xml:space="preserve">Replacing the Housing Revenue Account subsidy system with transparent self-financing arrangements. </w:t>
      </w:r>
    </w:p>
    <w:p w:rsidR="000077CF" w:rsidRDefault="000077CF" w:rsidP="000077CF">
      <w:pPr>
        <w:pStyle w:val="ListParagraph"/>
        <w:spacing w:before="0" w:after="200" w:line="276" w:lineRule="auto"/>
        <w:ind w:left="1069"/>
        <w:contextualSpacing/>
        <w:rPr>
          <w:rFonts w:cs="Arial"/>
        </w:rPr>
      </w:pPr>
    </w:p>
    <w:p w:rsidR="00267853" w:rsidRDefault="00267853" w:rsidP="00267853">
      <w:pPr>
        <w:pStyle w:val="Heading3"/>
      </w:pPr>
      <w:r>
        <w:t>Reform of council housing finance</w:t>
      </w:r>
    </w:p>
    <w:p w:rsidR="00267853" w:rsidRDefault="00267853" w:rsidP="00267853">
      <w:pPr>
        <w:pStyle w:val="Maintext"/>
      </w:pPr>
      <w:r>
        <w:t>The Government’s detailed plans for reforming council housing finance were published in January 2011 (</w:t>
      </w:r>
      <w:r>
        <w:rPr>
          <w:i/>
        </w:rPr>
        <w:t>Implementing Self-Financing for Council Housing).</w:t>
      </w:r>
      <w:r>
        <w:t xml:space="preserve"> The key features of the proposals include:</w:t>
      </w:r>
    </w:p>
    <w:p w:rsidR="00267853" w:rsidRDefault="00267853" w:rsidP="00C76826">
      <w:pPr>
        <w:pStyle w:val="Maintext"/>
        <w:numPr>
          <w:ilvl w:val="2"/>
          <w:numId w:val="10"/>
        </w:numPr>
      </w:pPr>
      <w:r>
        <w:t>Replacing the current Housing Revenue Account subsidy system with one in which local authorities retain rents following a one-off, mandatory settlement;</w:t>
      </w:r>
    </w:p>
    <w:p w:rsidR="00267853" w:rsidRPr="00C01F3A" w:rsidRDefault="00267853" w:rsidP="00C76826">
      <w:pPr>
        <w:pStyle w:val="Maintext"/>
        <w:numPr>
          <w:ilvl w:val="2"/>
          <w:numId w:val="10"/>
        </w:numPr>
      </w:pPr>
      <w:r>
        <w:t xml:space="preserve">A national debt figure of </w:t>
      </w:r>
      <w:r>
        <w:rPr>
          <w:rFonts w:cs="Arial"/>
        </w:rPr>
        <w:t xml:space="preserve">£28.4m is to be allocated across approximately 160 stock retaining local authorities as at April 2012. </w:t>
      </w:r>
      <w:r>
        <w:t xml:space="preserve">This would generate a cash receipt for the Government in the region of </w:t>
      </w:r>
      <w:r>
        <w:rPr>
          <w:rFonts w:cs="Arial"/>
        </w:rPr>
        <w:t>£6.5bn;</w:t>
      </w:r>
    </w:p>
    <w:p w:rsidR="00267853" w:rsidRPr="00C01F3A" w:rsidRDefault="00267853" w:rsidP="00C76826">
      <w:pPr>
        <w:pStyle w:val="Maintext"/>
        <w:numPr>
          <w:ilvl w:val="2"/>
          <w:numId w:val="10"/>
        </w:numPr>
      </w:pPr>
      <w:r>
        <w:rPr>
          <w:rFonts w:cs="Arial"/>
        </w:rPr>
        <w:t xml:space="preserve">The continued national pooling of 75% of Right to Buy receipts; </w:t>
      </w:r>
    </w:p>
    <w:p w:rsidR="00267853" w:rsidRPr="00C01F3A" w:rsidRDefault="00267853" w:rsidP="00C76826">
      <w:pPr>
        <w:pStyle w:val="Maintext"/>
        <w:numPr>
          <w:ilvl w:val="2"/>
          <w:numId w:val="10"/>
        </w:numPr>
      </w:pPr>
      <w:r>
        <w:rPr>
          <w:rFonts w:cs="Arial"/>
        </w:rPr>
        <w:t xml:space="preserve">A cap on debt in each authority at the starting level of the settlement; </w:t>
      </w:r>
    </w:p>
    <w:p w:rsidR="00267853" w:rsidRPr="00C01F3A" w:rsidRDefault="00267853" w:rsidP="00C76826">
      <w:pPr>
        <w:pStyle w:val="Maintext"/>
        <w:numPr>
          <w:ilvl w:val="2"/>
          <w:numId w:val="10"/>
        </w:numPr>
      </w:pPr>
      <w:r>
        <w:rPr>
          <w:rFonts w:cs="Arial"/>
        </w:rPr>
        <w:t>Assumed national rent convergence by 2016; and</w:t>
      </w:r>
    </w:p>
    <w:p w:rsidR="00267853" w:rsidRDefault="00267853" w:rsidP="00C76826">
      <w:pPr>
        <w:pStyle w:val="Maintext"/>
        <w:numPr>
          <w:ilvl w:val="2"/>
          <w:numId w:val="10"/>
        </w:numPr>
      </w:pPr>
      <w:r>
        <w:rPr>
          <w:rFonts w:cs="Arial"/>
        </w:rPr>
        <w:t xml:space="preserve">Uplifts in expenditure allowances of approximately 14% including an allocation for aids and adaptations. </w:t>
      </w:r>
    </w:p>
    <w:p w:rsidR="00267853" w:rsidRPr="008469FC" w:rsidRDefault="00267853" w:rsidP="00267853">
      <w:pPr>
        <w:pStyle w:val="Maintext"/>
        <w:numPr>
          <w:ilvl w:val="0"/>
          <w:numId w:val="0"/>
        </w:numPr>
        <w:rPr>
          <w:rFonts w:cs="Arial"/>
        </w:rPr>
      </w:pPr>
    </w:p>
    <w:p w:rsidR="00267853" w:rsidRDefault="00267853" w:rsidP="00267853">
      <w:pPr>
        <w:pStyle w:val="Heading3"/>
      </w:pPr>
      <w:r>
        <w:t>The Affordable Rent model</w:t>
      </w:r>
    </w:p>
    <w:p w:rsidR="00267853" w:rsidRDefault="00267853" w:rsidP="00267853">
      <w:pPr>
        <w:pStyle w:val="Maintext"/>
      </w:pPr>
      <w:r>
        <w:t xml:space="preserve">In February 2011 the Homes and Communities Agency published its </w:t>
      </w:r>
      <w:r>
        <w:rPr>
          <w:i/>
        </w:rPr>
        <w:t>Framework for Affordable Rent,</w:t>
      </w:r>
      <w:r>
        <w:t xml:space="preserve"> and invited providers to bid for funding to develop new homes on Affordable Rent tenancies from April 2012 to March 2015. Under the programme providers had to supplement grant funding by converting vacant social homes into other tenures, therefore generating cross-subsidy, and using Section 106 and public sector land opportunities to deliver affordable housing. Key elements of the programme include:</w:t>
      </w:r>
    </w:p>
    <w:p w:rsidR="00267853" w:rsidRDefault="00267853" w:rsidP="00C76826">
      <w:pPr>
        <w:pStyle w:val="Maintext"/>
        <w:numPr>
          <w:ilvl w:val="2"/>
          <w:numId w:val="10"/>
        </w:numPr>
      </w:pPr>
      <w:r>
        <w:t>Homes are developed at 80% of the gross market rent, including service charges;</w:t>
      </w:r>
    </w:p>
    <w:p w:rsidR="00267853" w:rsidRDefault="00267853" w:rsidP="00C76826">
      <w:pPr>
        <w:pStyle w:val="Maintext"/>
        <w:numPr>
          <w:ilvl w:val="2"/>
          <w:numId w:val="10"/>
        </w:numPr>
      </w:pPr>
      <w:r>
        <w:t>Providers retain the option to offer lifetime tenancies should they wish to;</w:t>
      </w:r>
    </w:p>
    <w:p w:rsidR="00267853" w:rsidRDefault="00267853" w:rsidP="00C76826">
      <w:pPr>
        <w:pStyle w:val="Maintext"/>
        <w:numPr>
          <w:ilvl w:val="2"/>
          <w:numId w:val="10"/>
        </w:numPr>
      </w:pPr>
      <w:r>
        <w:t>At the end of an Affordable Rent tenancy, providers and their tenant may covert to shared ownership should they wish to;</w:t>
      </w:r>
    </w:p>
    <w:p w:rsidR="00267853" w:rsidRDefault="00267853" w:rsidP="00C76826">
      <w:pPr>
        <w:pStyle w:val="Maintext"/>
        <w:numPr>
          <w:ilvl w:val="2"/>
          <w:numId w:val="10"/>
        </w:numPr>
      </w:pPr>
      <w:r>
        <w:t>Providers decide the proportion of their re-lets to convert to Affordable Rent to fund new supply; and</w:t>
      </w:r>
    </w:p>
    <w:p w:rsidR="00267853" w:rsidRDefault="00267853" w:rsidP="00C76826">
      <w:pPr>
        <w:pStyle w:val="Maintext"/>
        <w:numPr>
          <w:ilvl w:val="2"/>
          <w:numId w:val="10"/>
        </w:numPr>
      </w:pPr>
      <w:r>
        <w:t>Providers converting existing social rented homes are encouraged to reinvest the funds raised in new supply within the same locality (</w:t>
      </w:r>
      <w:r w:rsidR="005D7D0B">
        <w:t>d</w:t>
      </w:r>
      <w:r w:rsidR="00B440F0">
        <w:t>elivery area</w:t>
      </w:r>
      <w:r>
        <w:t>); however, funding is not ring-fenced to a particular geographical area.</w:t>
      </w:r>
    </w:p>
    <w:p w:rsidR="00267853" w:rsidRDefault="00267853" w:rsidP="00267853">
      <w:pPr>
        <w:pStyle w:val="Maintext"/>
      </w:pPr>
      <w:r>
        <w:t xml:space="preserve">In July 2011 the Homes and Communities Agency announced the successful bidders for the </w:t>
      </w:r>
      <w:r>
        <w:rPr>
          <w:rFonts w:cs="Arial"/>
        </w:rPr>
        <w:t>£</w:t>
      </w:r>
      <w:r>
        <w:t xml:space="preserve">1.8bn affordable homes programme. The programme will deliver 80,000 new affordable homes nationally, helping meet the Government’s target of 150,000 new affordable homes between 2011 and 2015. </w:t>
      </w:r>
    </w:p>
    <w:p w:rsidR="00267853" w:rsidRDefault="00267853" w:rsidP="00267853">
      <w:pPr>
        <w:pStyle w:val="Maintext"/>
      </w:pPr>
      <w:r>
        <w:t xml:space="preserve">The North East, Yorkshire and The Humber operating area was allocated </w:t>
      </w:r>
      <w:r>
        <w:rPr>
          <w:rFonts w:cs="Arial"/>
        </w:rPr>
        <w:t>£181,600,184 (10.35% of the programme) to deliver 8,135 homes (10.17% of output achieved); broken down, this equates to 7,286 homes for Affordable Rent and 849 affordable home ownership homes</w:t>
      </w:r>
      <w:r>
        <w:rPr>
          <w:rStyle w:val="FootnoteReference"/>
          <w:rFonts w:cs="Arial"/>
        </w:rPr>
        <w:footnoteReference w:id="3"/>
      </w:r>
      <w:r>
        <w:rPr>
          <w:rFonts w:cs="Arial"/>
        </w:rPr>
        <w:t>.</w:t>
      </w:r>
      <w:r>
        <w:t xml:space="preserve">   </w:t>
      </w:r>
      <w:r w:rsidR="001D4FE1">
        <w:t>For County Durham the HCA programme is seeking to deliver 235 affordable dwellings annually over the next three years.</w:t>
      </w:r>
    </w:p>
    <w:p w:rsidR="00267853" w:rsidRDefault="00267853" w:rsidP="00267853">
      <w:pPr>
        <w:pStyle w:val="Maintext"/>
      </w:pPr>
      <w:r>
        <w:t xml:space="preserve">There are concerns about the capacity of the programme both to fund future developments for supported housing, and deliver homes for larger families.  </w:t>
      </w:r>
    </w:p>
    <w:p w:rsidR="00267853" w:rsidRDefault="00267853" w:rsidP="00267853">
      <w:pPr>
        <w:pStyle w:val="Maintext"/>
        <w:numPr>
          <w:ilvl w:val="0"/>
          <w:numId w:val="0"/>
        </w:numPr>
        <w:rPr>
          <w:rFonts w:cs="Arial"/>
        </w:rPr>
      </w:pPr>
    </w:p>
    <w:p w:rsidR="00D42FF8" w:rsidRPr="005A4664" w:rsidRDefault="00D42FF8" w:rsidP="00D42FF8">
      <w:pPr>
        <w:pStyle w:val="Heading3"/>
      </w:pPr>
      <w:r w:rsidRPr="005A4664">
        <w:tab/>
        <w:t xml:space="preserve">National </w:t>
      </w:r>
      <w:r>
        <w:t>P</w:t>
      </w:r>
      <w:r w:rsidRPr="005A4664">
        <w:t xml:space="preserve">lanning </w:t>
      </w:r>
      <w:r>
        <w:t>P</w:t>
      </w:r>
      <w:r w:rsidRPr="005A4664">
        <w:t>olicy</w:t>
      </w:r>
      <w:r>
        <w:t xml:space="preserve"> Framework</w:t>
      </w:r>
    </w:p>
    <w:p w:rsidR="00D42FF8" w:rsidRDefault="00D42FF8" w:rsidP="00D42FF8">
      <w:pPr>
        <w:pStyle w:val="Maintext"/>
        <w:rPr>
          <w:rFonts w:cs="Arial"/>
        </w:rPr>
      </w:pPr>
      <w:r>
        <w:t>The National Planning Policy Framework was published on 27</w:t>
      </w:r>
      <w:r w:rsidRPr="0045728D">
        <w:rPr>
          <w:vertAlign w:val="superscript"/>
        </w:rPr>
        <w:t>th</w:t>
      </w:r>
      <w:r>
        <w:t xml:space="preserve"> March 2012 and came into effect on the same day, revoking </w:t>
      </w:r>
      <w:r w:rsidRPr="005A4664">
        <w:t xml:space="preserve">Planning Policy Statement 3 </w:t>
      </w:r>
      <w:r>
        <w:t xml:space="preserve">Housing, which had previously formed the basis for housing planning policy. </w:t>
      </w:r>
      <w:r w:rsidR="00737AA6">
        <w:rPr>
          <w:rFonts w:cs="Arial"/>
        </w:rPr>
        <w:t>T</w:t>
      </w:r>
      <w:r>
        <w:rPr>
          <w:rFonts w:cs="Arial"/>
        </w:rPr>
        <w:t>he Government has used the Framework to streamline all</w:t>
      </w:r>
      <w:r w:rsidRPr="00DD094B">
        <w:rPr>
          <w:rFonts w:cs="Arial"/>
        </w:rPr>
        <w:t xml:space="preserve"> </w:t>
      </w:r>
      <w:r>
        <w:rPr>
          <w:rFonts w:cs="Arial"/>
        </w:rPr>
        <w:t xml:space="preserve">existing </w:t>
      </w:r>
      <w:r w:rsidRPr="00DD094B">
        <w:rPr>
          <w:rFonts w:cs="Arial"/>
        </w:rPr>
        <w:t xml:space="preserve">national policy </w:t>
      </w:r>
      <w:r>
        <w:rPr>
          <w:rFonts w:cs="Arial"/>
        </w:rPr>
        <w:t xml:space="preserve">documents into one short Policy Framework. </w:t>
      </w:r>
    </w:p>
    <w:p w:rsidR="00D42FF8" w:rsidRPr="000077CF" w:rsidRDefault="00D42FF8" w:rsidP="00D42FF8">
      <w:pPr>
        <w:pStyle w:val="Maintext"/>
        <w:rPr>
          <w:rFonts w:cs="Arial"/>
        </w:rPr>
      </w:pPr>
      <w:r>
        <w:t xml:space="preserve">The Framework stresses </w:t>
      </w:r>
      <w:r w:rsidRPr="00DD094B">
        <w:t xml:space="preserve">the need for councils to work with communities and businesses </w:t>
      </w:r>
      <w:r>
        <w:t>to</w:t>
      </w:r>
      <w:r w:rsidRPr="00DD094B">
        <w:t xml:space="preserve"> seek opportunities for sustainable growth to rebuild the economy; helping to deliver the homes, jobs, and infrastructure needed for a growing population whilst protecting the environment. A presumption in favour of sustainable development means that proposals should be approved promptly unless they</w:t>
      </w:r>
      <w:r>
        <w:t xml:space="preserve"> </w:t>
      </w:r>
      <w:r w:rsidRPr="00DD094B">
        <w:t xml:space="preserve">compromise </w:t>
      </w:r>
      <w:r>
        <w:t xml:space="preserve">the twelve </w:t>
      </w:r>
      <w:r w:rsidRPr="00DD094B">
        <w:t>sustainable development principles set out in the Framework</w:t>
      </w:r>
      <w:r>
        <w:t>.</w:t>
      </w:r>
    </w:p>
    <w:p w:rsidR="00D42FF8" w:rsidRPr="00E90DC6" w:rsidRDefault="00D42FF8" w:rsidP="00D42FF8">
      <w:pPr>
        <w:pStyle w:val="Maintext"/>
        <w:rPr>
          <w:rFonts w:cs="Arial"/>
        </w:rPr>
      </w:pPr>
      <w:r>
        <w:t xml:space="preserve">The Framework identifies three dimensions to sustainable development: economic, social and environmental. The social role is defined as: </w:t>
      </w:r>
      <w:r>
        <w:rPr>
          <w:i/>
        </w:rPr>
        <w:t>‘supporting strong, vibrant and healthy communities, by providing the supply of housing required to meet the needs of present and future generations….’</w:t>
      </w:r>
      <w:r>
        <w:rPr>
          <w:rStyle w:val="FootnoteReference"/>
          <w:i/>
        </w:rPr>
        <w:footnoteReference w:id="4"/>
      </w:r>
      <w:r>
        <w:rPr>
          <w:i/>
        </w:rPr>
        <w:t xml:space="preserve"> </w:t>
      </w:r>
      <w:r>
        <w:t xml:space="preserve">These three dimensions (or roles) are seen as mutually dependent. </w:t>
      </w:r>
    </w:p>
    <w:p w:rsidR="00D42FF8" w:rsidRPr="00E90DC6" w:rsidRDefault="00D42FF8" w:rsidP="00D42FF8">
      <w:pPr>
        <w:pStyle w:val="Maintext"/>
        <w:rPr>
          <w:rFonts w:cs="Arial"/>
        </w:rPr>
      </w:pPr>
      <w:r>
        <w:rPr>
          <w:rFonts w:cs="Arial"/>
        </w:rPr>
        <w:t xml:space="preserve">The Framework must be taken into account in the preparation of local and neighbourhood plans, and it is a material consideration in decision making. Up to date local plans are seen as a prerequisite and the following </w:t>
      </w:r>
      <w:r>
        <w:t>guidance is given:</w:t>
      </w:r>
    </w:p>
    <w:p w:rsidR="00D42FF8" w:rsidRPr="00E90DC6" w:rsidRDefault="00D42FF8" w:rsidP="00D42FF8">
      <w:pPr>
        <w:pStyle w:val="Maintext"/>
        <w:numPr>
          <w:ilvl w:val="0"/>
          <w:numId w:val="0"/>
        </w:numPr>
        <w:ind w:left="709"/>
        <w:rPr>
          <w:rFonts w:cs="Arial"/>
          <w:i/>
        </w:rPr>
      </w:pPr>
      <w:r>
        <w:rPr>
          <w:i/>
        </w:rPr>
        <w:t>‘The National Planning Policy Framework does not change the statutory status of the development plan as the starting point for decision making. Proposed development that accords with an up-to-date Local Plan should be approved, and proposed development that conflicts should be refused unless other material considerations indicate otherwise. … The National Planning Policy Framework constitutes guidance for local planning authorities and decision-takers both in drawing up plans and as a material consideration in determining applications.’</w:t>
      </w:r>
      <w:r>
        <w:rPr>
          <w:rStyle w:val="FootnoteReference"/>
          <w:i/>
        </w:rPr>
        <w:footnoteReference w:id="5"/>
      </w:r>
    </w:p>
    <w:p w:rsidR="00D42FF8" w:rsidRPr="009975F5" w:rsidRDefault="00D42FF8" w:rsidP="00D42FF8">
      <w:pPr>
        <w:pStyle w:val="Maintext"/>
        <w:rPr>
          <w:rFonts w:cs="Arial"/>
        </w:rPr>
      </w:pPr>
      <w:r>
        <w:t>Robust and comprehensive evidence bases (in particular Strategic Housing Market Assessments and Strategic Housing Land Availability Assessments) are seen as essential to ‘delivering a wide choice of high quality homes’; the Framework states that local planning authorities should ‘</w:t>
      </w:r>
      <w:r>
        <w:rPr>
          <w:i/>
        </w:rPr>
        <w:t xml:space="preserve">use their evidence base to ensure that their Local Plan meets the full, objectively assessed needs for market and affordable housing in the </w:t>
      </w:r>
      <w:r w:rsidR="005D7D0B">
        <w:rPr>
          <w:i/>
        </w:rPr>
        <w:t>d</w:t>
      </w:r>
      <w:r w:rsidR="00B440F0">
        <w:rPr>
          <w:i/>
        </w:rPr>
        <w:t>elivery area</w:t>
      </w:r>
      <w:r>
        <w:rPr>
          <w:i/>
        </w:rPr>
        <w:t>, as far as is consistent with policies set out within the Framework, including identifying key sites which are critical to the delivery of the housing strategy over the plan period.’</w:t>
      </w:r>
      <w:r>
        <w:rPr>
          <w:rStyle w:val="FootnoteReference"/>
          <w:i/>
        </w:rPr>
        <w:footnoteReference w:id="6"/>
      </w:r>
      <w:r>
        <w:rPr>
          <w:i/>
        </w:rPr>
        <w:t xml:space="preserve"> </w:t>
      </w:r>
    </w:p>
    <w:p w:rsidR="00D42FF8" w:rsidRPr="0057594D" w:rsidRDefault="00D42FF8" w:rsidP="00D42FF8">
      <w:pPr>
        <w:pStyle w:val="Maintext"/>
        <w:rPr>
          <w:rFonts w:cs="Arial"/>
        </w:rPr>
      </w:pPr>
      <w:r>
        <w:t xml:space="preserve">The need to </w:t>
      </w:r>
      <w:r>
        <w:rPr>
          <w:i/>
        </w:rPr>
        <w:t xml:space="preserve">‘plan for a mix of housing based on current need and future demographic trends, market trends and the needs of different groups in the community’ </w:t>
      </w:r>
      <w:r>
        <w:t xml:space="preserve"> is emphasised. The Frameworks also states that local planning authorities should:</w:t>
      </w:r>
    </w:p>
    <w:p w:rsidR="00D42FF8" w:rsidRDefault="00D42FF8" w:rsidP="007E46FA">
      <w:pPr>
        <w:pStyle w:val="Maintext"/>
        <w:numPr>
          <w:ilvl w:val="0"/>
          <w:numId w:val="18"/>
        </w:numPr>
        <w:rPr>
          <w:i/>
        </w:rPr>
      </w:pPr>
      <w:r>
        <w:rPr>
          <w:i/>
        </w:rPr>
        <w:t>‘identify the size, type, tenure and range of housing that is required in particular locations, reflecting local demand; and</w:t>
      </w:r>
    </w:p>
    <w:p w:rsidR="00D42FF8" w:rsidRPr="0057594D" w:rsidRDefault="00D42FF8" w:rsidP="007E46FA">
      <w:pPr>
        <w:pStyle w:val="Maintext"/>
        <w:numPr>
          <w:ilvl w:val="0"/>
          <w:numId w:val="18"/>
        </w:numPr>
        <w:rPr>
          <w:rFonts w:cs="Arial"/>
          <w:i/>
        </w:rPr>
      </w:pPr>
      <w:r>
        <w:rPr>
          <w:i/>
        </w:rPr>
        <w:t>‘where they have identified that affordable housing is needed set policies for meeting this need on site…’</w:t>
      </w:r>
      <w:r>
        <w:rPr>
          <w:rStyle w:val="FootnoteReference"/>
          <w:i/>
        </w:rPr>
        <w:footnoteReference w:id="7"/>
      </w:r>
    </w:p>
    <w:p w:rsidR="00D42FF8" w:rsidRDefault="00D42FF8" w:rsidP="00D42FF8">
      <w:pPr>
        <w:pStyle w:val="Maintext"/>
        <w:rPr>
          <w:rFonts w:cs="Arial"/>
        </w:rPr>
      </w:pPr>
      <w:r>
        <w:rPr>
          <w:rFonts w:cs="Arial"/>
        </w:rPr>
        <w:t xml:space="preserve">Authorities will need to illustrate the expected rate of housing delivery through a housing trajectory for the plan period and a Housing Implementation Strategy for the full range of housing. </w:t>
      </w:r>
    </w:p>
    <w:p w:rsidR="00D42FF8" w:rsidRPr="00D42FF8" w:rsidRDefault="00D42FF8" w:rsidP="00D42FF8">
      <w:pPr>
        <w:pStyle w:val="Maintext"/>
        <w:rPr>
          <w:rFonts w:cs="Arial"/>
        </w:rPr>
      </w:pPr>
      <w:r>
        <w:t>New definitions of affordable housing are also included at Annex 2 covering social rented housing, affordable rented housing and intermediate housing.</w:t>
      </w:r>
    </w:p>
    <w:p w:rsidR="00D42FF8" w:rsidRDefault="00D42FF8" w:rsidP="00267853">
      <w:pPr>
        <w:pStyle w:val="Heading3"/>
      </w:pPr>
    </w:p>
    <w:p w:rsidR="00267853" w:rsidRPr="00627F23" w:rsidRDefault="00267853" w:rsidP="00267853">
      <w:pPr>
        <w:pStyle w:val="Heading3"/>
      </w:pPr>
      <w:r>
        <w:t>Localism Act</w:t>
      </w:r>
    </w:p>
    <w:p w:rsidR="00267853" w:rsidRDefault="00267853" w:rsidP="00267853">
      <w:pPr>
        <w:pStyle w:val="Maintext"/>
        <w:rPr>
          <w:rFonts w:cs="Arial"/>
        </w:rPr>
      </w:pPr>
      <w:r>
        <w:rPr>
          <w:rFonts w:cs="Arial"/>
        </w:rPr>
        <w:t>The Act includes measures to reform:</w:t>
      </w:r>
    </w:p>
    <w:p w:rsidR="00267853" w:rsidRDefault="00267853" w:rsidP="00C76826">
      <w:pPr>
        <w:pStyle w:val="Maintext"/>
        <w:numPr>
          <w:ilvl w:val="2"/>
          <w:numId w:val="10"/>
        </w:numPr>
        <w:rPr>
          <w:rFonts w:cs="Arial"/>
        </w:rPr>
      </w:pPr>
      <w:r>
        <w:rPr>
          <w:rFonts w:cs="Arial"/>
        </w:rPr>
        <w:t>The planning system;</w:t>
      </w:r>
    </w:p>
    <w:p w:rsidR="00267853" w:rsidRDefault="00267853" w:rsidP="00C76826">
      <w:pPr>
        <w:pStyle w:val="Maintext"/>
        <w:numPr>
          <w:ilvl w:val="2"/>
          <w:numId w:val="10"/>
        </w:numPr>
        <w:rPr>
          <w:rFonts w:cs="Arial"/>
        </w:rPr>
      </w:pPr>
      <w:r>
        <w:rPr>
          <w:rFonts w:cs="Arial"/>
        </w:rPr>
        <w:t>Social housing; and</w:t>
      </w:r>
    </w:p>
    <w:p w:rsidR="00267853" w:rsidRDefault="00267853" w:rsidP="00C76826">
      <w:pPr>
        <w:pStyle w:val="Maintext"/>
        <w:numPr>
          <w:ilvl w:val="2"/>
          <w:numId w:val="10"/>
        </w:numPr>
        <w:rPr>
          <w:rFonts w:cs="Arial"/>
        </w:rPr>
      </w:pPr>
      <w:r>
        <w:rPr>
          <w:rFonts w:cs="Arial"/>
        </w:rPr>
        <w:t xml:space="preserve">The council house finance system. </w:t>
      </w:r>
    </w:p>
    <w:p w:rsidR="00267853" w:rsidRDefault="00267853" w:rsidP="00267853">
      <w:pPr>
        <w:pStyle w:val="Maintext"/>
        <w:rPr>
          <w:rFonts w:cs="Arial"/>
        </w:rPr>
      </w:pPr>
      <w:r>
        <w:rPr>
          <w:rFonts w:cs="Arial"/>
        </w:rPr>
        <w:t xml:space="preserve">The Act introduces most elements of the Government’s housing reform programme, including changes to homelessness, social housing tenancies (introduction of five year minimum tenancy), mobility, regulation, and access to the Ombudsman. The Act also reforms council housing finance. </w:t>
      </w:r>
    </w:p>
    <w:p w:rsidR="00267853" w:rsidRDefault="00267853" w:rsidP="00267853">
      <w:pPr>
        <w:pStyle w:val="Maintext"/>
        <w:rPr>
          <w:rFonts w:cs="Arial"/>
        </w:rPr>
      </w:pPr>
      <w:r>
        <w:rPr>
          <w:rFonts w:cs="Arial"/>
        </w:rPr>
        <w:t xml:space="preserve">In keeping with the Government’s localism ethos, much of the legislation within the Act is permissive, meaning that it is open to interpretation locally in terms of how members, professionals and communities decide to use its powers.  Much of the Act </w:t>
      </w:r>
      <w:r w:rsidR="00737AA6">
        <w:rPr>
          <w:rFonts w:cs="Arial"/>
        </w:rPr>
        <w:t xml:space="preserve">came into effect in </w:t>
      </w:r>
      <w:r>
        <w:rPr>
          <w:rFonts w:cs="Arial"/>
        </w:rPr>
        <w:t xml:space="preserve">April 2012. </w:t>
      </w:r>
    </w:p>
    <w:p w:rsidR="00267853" w:rsidRDefault="00267853" w:rsidP="00267853">
      <w:pPr>
        <w:rPr>
          <w:rFonts w:cs="Arial"/>
          <w:b/>
          <w:bCs/>
          <w:iCs/>
          <w:color w:val="008080"/>
          <w:sz w:val="28"/>
          <w:szCs w:val="28"/>
        </w:rPr>
      </w:pPr>
    </w:p>
    <w:p w:rsidR="00D77A3C" w:rsidRDefault="00D77A3C" w:rsidP="00267853"/>
    <w:p w:rsidR="00267853" w:rsidRPr="00C53A42" w:rsidRDefault="00267853" w:rsidP="00267853">
      <w:pPr>
        <w:pStyle w:val="Heading3"/>
        <w:rPr>
          <w:i/>
        </w:rPr>
      </w:pPr>
      <w:r w:rsidRPr="00C53A42">
        <w:rPr>
          <w:i/>
        </w:rPr>
        <w:t xml:space="preserve">Laying the Foundations: A Housing Strategy for </w:t>
      </w:r>
      <w:smartTag w:uri="urn:schemas-microsoft-com:office:smarttags" w:element="country-region">
        <w:smartTag w:uri="urn:schemas-microsoft-com:office:smarttags" w:element="place">
          <w:r w:rsidRPr="00C53A42">
            <w:rPr>
              <w:i/>
            </w:rPr>
            <w:t>England</w:t>
          </w:r>
        </w:smartTag>
      </w:smartTag>
    </w:p>
    <w:p w:rsidR="00267853" w:rsidRDefault="00267853" w:rsidP="00267853">
      <w:pPr>
        <w:pStyle w:val="Maintext"/>
        <w:rPr>
          <w:rFonts w:cs="Arial"/>
        </w:rPr>
      </w:pPr>
      <w:r>
        <w:rPr>
          <w:rFonts w:cs="Arial"/>
        </w:rPr>
        <w:t xml:space="preserve">Last year the Government published its Housing Strategy for </w:t>
      </w:r>
      <w:smartTag w:uri="urn:schemas-microsoft-com:office:smarttags" w:element="country-region">
        <w:smartTag w:uri="urn:schemas-microsoft-com:office:smarttags" w:element="place">
          <w:r>
            <w:rPr>
              <w:rFonts w:cs="Arial"/>
            </w:rPr>
            <w:t>England</w:t>
          </w:r>
        </w:smartTag>
      </w:smartTag>
      <w:r>
        <w:rPr>
          <w:rFonts w:cs="Arial"/>
        </w:rPr>
        <w:t xml:space="preserve">, which sets out its </w:t>
      </w:r>
      <w:r w:rsidRPr="00C17151">
        <w:rPr>
          <w:rFonts w:cs="Arial"/>
          <w:i/>
        </w:rPr>
        <w:t>‘intended direction of travel for housing, its role in the wider economy and its contribution to social mobility. It sets out ideas on the shape of housing provision that the government wants to see, which involve the primacy of home ownership; social housing as welfare; and an increasing role for the private rented sector.</w:t>
      </w:r>
      <w:r>
        <w:rPr>
          <w:rFonts w:cs="Arial"/>
        </w:rPr>
        <w:t>’</w:t>
      </w:r>
      <w:r>
        <w:rPr>
          <w:rStyle w:val="FootnoteReference"/>
          <w:rFonts w:cs="Arial"/>
        </w:rPr>
        <w:footnoteReference w:id="8"/>
      </w:r>
      <w:r>
        <w:rPr>
          <w:rFonts w:cs="Arial"/>
        </w:rPr>
        <w:t xml:space="preserve"> </w:t>
      </w:r>
    </w:p>
    <w:p w:rsidR="00267853" w:rsidRDefault="00267853" w:rsidP="00267853">
      <w:pPr>
        <w:pStyle w:val="Maintext"/>
        <w:rPr>
          <w:rFonts w:cs="Arial"/>
        </w:rPr>
      </w:pPr>
      <w:r>
        <w:rPr>
          <w:rFonts w:cs="Arial"/>
        </w:rPr>
        <w:t>The Strategy presents both existing initiatives and policies (as outlined above) and introduces a series of new interventions and approaches, which are set out under the following headings:</w:t>
      </w:r>
    </w:p>
    <w:p w:rsidR="00267853" w:rsidRDefault="00267853" w:rsidP="00C76826">
      <w:pPr>
        <w:pStyle w:val="Maintext"/>
        <w:numPr>
          <w:ilvl w:val="2"/>
          <w:numId w:val="10"/>
        </w:numPr>
        <w:rPr>
          <w:rFonts w:cs="Arial"/>
        </w:rPr>
      </w:pPr>
      <w:r w:rsidRPr="00F13719">
        <w:rPr>
          <w:rFonts w:cs="Arial"/>
          <w:b/>
        </w:rPr>
        <w:t>Increasing supply, more homes, stable growth</w:t>
      </w:r>
      <w:r w:rsidR="00F13719">
        <w:rPr>
          <w:rFonts w:cs="Arial"/>
        </w:rPr>
        <w:t xml:space="preserve"> which includes a newbuild indemnity scheme led by the Home Builders Federation and Council for Mortgage Lenders to provide up to 95% loan to value mortgages for newbu</w:t>
      </w:r>
      <w:r w:rsidR="000D2719">
        <w:rPr>
          <w:rFonts w:cs="Arial"/>
        </w:rPr>
        <w:t>i</w:t>
      </w:r>
      <w:r w:rsidR="00F13719">
        <w:rPr>
          <w:rFonts w:cs="Arial"/>
        </w:rPr>
        <w:t>ld properties in England, backed by a housebuilder indemnity find; and a £400m ‘Get Britain Building investment fund</w:t>
      </w:r>
      <w:r>
        <w:rPr>
          <w:rFonts w:cs="Arial"/>
        </w:rPr>
        <w:t>;</w:t>
      </w:r>
    </w:p>
    <w:p w:rsidR="00267853" w:rsidRDefault="00267853" w:rsidP="00C76826">
      <w:pPr>
        <w:pStyle w:val="Maintext"/>
        <w:numPr>
          <w:ilvl w:val="2"/>
          <w:numId w:val="10"/>
        </w:numPr>
        <w:rPr>
          <w:rFonts w:cs="Arial"/>
        </w:rPr>
      </w:pPr>
      <w:r w:rsidRPr="00F13719">
        <w:rPr>
          <w:rFonts w:cs="Arial"/>
          <w:b/>
        </w:rPr>
        <w:t>Social and affordable housing reform</w:t>
      </w:r>
      <w:r w:rsidR="00F13719" w:rsidRPr="00F13719">
        <w:rPr>
          <w:rFonts w:cs="Arial"/>
          <w:b/>
        </w:rPr>
        <w:t xml:space="preserve"> </w:t>
      </w:r>
      <w:r w:rsidR="00F13719">
        <w:rPr>
          <w:rFonts w:cs="Arial"/>
        </w:rPr>
        <w:t>which includes implementing a radical programme of reform to make better use of social housing to support those who need it most; and re-invigorating Right to Buy with the one for one replacement of homes sold;</w:t>
      </w:r>
    </w:p>
    <w:p w:rsidR="00267853" w:rsidRDefault="00267853" w:rsidP="00C76826">
      <w:pPr>
        <w:pStyle w:val="Maintext"/>
        <w:numPr>
          <w:ilvl w:val="2"/>
          <w:numId w:val="10"/>
        </w:numPr>
        <w:rPr>
          <w:rFonts w:cs="Arial"/>
        </w:rPr>
      </w:pPr>
      <w:r w:rsidRPr="00F13719">
        <w:rPr>
          <w:rFonts w:cs="Arial"/>
          <w:b/>
        </w:rPr>
        <w:t xml:space="preserve">A thriving </w:t>
      </w:r>
      <w:r w:rsidR="00F13719" w:rsidRPr="00F13719">
        <w:rPr>
          <w:rFonts w:cs="Arial"/>
          <w:b/>
        </w:rPr>
        <w:t xml:space="preserve">private </w:t>
      </w:r>
      <w:r w:rsidRPr="00F13719">
        <w:rPr>
          <w:rFonts w:cs="Arial"/>
          <w:b/>
        </w:rPr>
        <w:t>rented sector</w:t>
      </w:r>
      <w:r w:rsidR="00F13719">
        <w:rPr>
          <w:rFonts w:cs="Arial"/>
        </w:rPr>
        <w:t>, through supporting investment in homes to rent, marketing new Built to Rent pilot sites and encouraging local authorities to make full use of powers to tackle dangerous and poorly-maintained homes</w:t>
      </w:r>
      <w:r>
        <w:rPr>
          <w:rFonts w:cs="Arial"/>
        </w:rPr>
        <w:t xml:space="preserve">; </w:t>
      </w:r>
    </w:p>
    <w:p w:rsidR="00F13719" w:rsidRDefault="00F13719" w:rsidP="00C76826">
      <w:pPr>
        <w:pStyle w:val="Maintext"/>
        <w:numPr>
          <w:ilvl w:val="2"/>
          <w:numId w:val="10"/>
        </w:numPr>
        <w:rPr>
          <w:rFonts w:cs="Arial"/>
        </w:rPr>
      </w:pPr>
      <w:r>
        <w:rPr>
          <w:rFonts w:cs="Arial"/>
          <w:b/>
        </w:rPr>
        <w:t xml:space="preserve">A strategy for empty homes, </w:t>
      </w:r>
      <w:r w:rsidRPr="00F13719">
        <w:rPr>
          <w:rFonts w:cs="Arial"/>
        </w:rPr>
        <w:t>with a commitment to bring empty homes back into use through awarding the New Homes Bonus to empty properties broug</w:t>
      </w:r>
      <w:r>
        <w:rPr>
          <w:rFonts w:cs="Arial"/>
        </w:rPr>
        <w:t>ht back into use, providing info</w:t>
      </w:r>
      <w:r w:rsidRPr="00F13719">
        <w:rPr>
          <w:rFonts w:cs="Arial"/>
        </w:rPr>
        <w:t>r</w:t>
      </w:r>
      <w:r>
        <w:rPr>
          <w:rFonts w:cs="Arial"/>
        </w:rPr>
        <w:t>m</w:t>
      </w:r>
      <w:r w:rsidRPr="00F13719">
        <w:rPr>
          <w:rFonts w:cs="Arial"/>
        </w:rPr>
        <w:t>ation and practical advice to local authorities and communit</w:t>
      </w:r>
      <w:r>
        <w:rPr>
          <w:rFonts w:cs="Arial"/>
        </w:rPr>
        <w:t>i</w:t>
      </w:r>
      <w:r w:rsidRPr="00F13719">
        <w:rPr>
          <w:rFonts w:cs="Arial"/>
        </w:rPr>
        <w:t>es and proposing changes to Empty Dwelling Management Orders to tackle the worst long-term empty homes</w:t>
      </w:r>
      <w:r>
        <w:rPr>
          <w:rFonts w:cs="Arial"/>
        </w:rPr>
        <w:t>;</w:t>
      </w:r>
    </w:p>
    <w:p w:rsidR="00267853" w:rsidRDefault="00267853" w:rsidP="00C76826">
      <w:pPr>
        <w:pStyle w:val="Maintext"/>
        <w:numPr>
          <w:ilvl w:val="2"/>
          <w:numId w:val="10"/>
        </w:numPr>
        <w:rPr>
          <w:rFonts w:cs="Arial"/>
        </w:rPr>
      </w:pPr>
      <w:r w:rsidRPr="00423A1B">
        <w:rPr>
          <w:rFonts w:cs="Arial"/>
          <w:b/>
        </w:rPr>
        <w:t>Quality of housing experience and support</w:t>
      </w:r>
      <w:r w:rsidR="00F13719">
        <w:rPr>
          <w:rFonts w:cs="Arial"/>
        </w:rPr>
        <w:t>, through supporting the most vulnerable households to prevent and tackle homelessness</w:t>
      </w:r>
      <w:r w:rsidR="00423A1B">
        <w:rPr>
          <w:rFonts w:cs="Arial"/>
        </w:rPr>
        <w:t xml:space="preserve"> and providing a better deal for older people, with greater choice and support to live independently; </w:t>
      </w:r>
      <w:r>
        <w:rPr>
          <w:rFonts w:cs="Arial"/>
        </w:rPr>
        <w:t xml:space="preserve">and </w:t>
      </w:r>
    </w:p>
    <w:p w:rsidR="00267853" w:rsidRPr="00D34AC1" w:rsidRDefault="00267853" w:rsidP="00C76826">
      <w:pPr>
        <w:pStyle w:val="Maintext"/>
        <w:numPr>
          <w:ilvl w:val="2"/>
          <w:numId w:val="10"/>
        </w:numPr>
        <w:rPr>
          <w:rFonts w:cs="Arial"/>
        </w:rPr>
      </w:pPr>
      <w:r w:rsidRPr="00423A1B">
        <w:rPr>
          <w:b/>
        </w:rPr>
        <w:t>Quality, sustainability and design</w:t>
      </w:r>
      <w:r w:rsidR="00423A1B">
        <w:t>, by encouraging the promotion of imaginative, innovative, locally distinctive, well designed new homes and neighbourhoods; a commitment to Zero Carbon homes by 2016; reviewing building regulations to further improve energy efficiency and carbon emission standards of new buildings.</w:t>
      </w:r>
    </w:p>
    <w:p w:rsidR="00267853" w:rsidRDefault="00267853" w:rsidP="00267853"/>
    <w:p w:rsidR="00423A1B" w:rsidRDefault="00423A1B" w:rsidP="00267853"/>
    <w:p w:rsidR="00423A1B" w:rsidRPr="00C53A42" w:rsidRDefault="00423A1B" w:rsidP="00267853"/>
    <w:p w:rsidR="00267853" w:rsidRPr="005A4664" w:rsidRDefault="00267853" w:rsidP="00267853">
      <w:pPr>
        <w:pStyle w:val="Heading2"/>
        <w:ind w:left="0"/>
      </w:pPr>
      <w:r w:rsidRPr="005A4664">
        <w:tab/>
      </w:r>
      <w:bookmarkStart w:id="53" w:name="_Toc267412619"/>
      <w:bookmarkStart w:id="54" w:name="_Toc280272407"/>
      <w:bookmarkStart w:id="55" w:name="_Toc333507745"/>
      <w:r w:rsidRPr="005A4664">
        <w:t>Regional</w:t>
      </w:r>
      <w:r>
        <w:t xml:space="preserve"> and Sub Regional </w:t>
      </w:r>
      <w:r w:rsidRPr="005A4664">
        <w:t>Strategic Context</w:t>
      </w:r>
      <w:bookmarkEnd w:id="53"/>
      <w:bookmarkEnd w:id="54"/>
      <w:bookmarkEnd w:id="55"/>
      <w:r w:rsidRPr="005A4664">
        <w:t xml:space="preserve"> </w:t>
      </w:r>
    </w:p>
    <w:p w:rsidR="00267853" w:rsidRDefault="00267853" w:rsidP="00267853">
      <w:pPr>
        <w:pStyle w:val="Maintext"/>
        <w:numPr>
          <w:ilvl w:val="0"/>
          <w:numId w:val="0"/>
        </w:numPr>
        <w:ind w:left="709" w:hanging="709"/>
      </w:pPr>
    </w:p>
    <w:p w:rsidR="002E1D85" w:rsidRDefault="00267853" w:rsidP="002E1D85">
      <w:pPr>
        <w:pStyle w:val="Maintext"/>
      </w:pPr>
      <w:r>
        <w:t xml:space="preserve">The </w:t>
      </w:r>
      <w:r w:rsidR="00BB2307">
        <w:t>County Durham</w:t>
      </w:r>
      <w:r>
        <w:t xml:space="preserve"> strategic context has undergone significant change over the past eighteen months, reflecting the changes that have been taking place at a national level under the coalition Government. The revocation of the Regional Spatial Strategy, ending of the Housing Market Renewal programme and realignment of housing investment priorities have all had </w:t>
      </w:r>
      <w:r w:rsidR="00BB2307">
        <w:t>a significant impact across the County</w:t>
      </w:r>
      <w:r>
        <w:t xml:space="preserve">. </w:t>
      </w:r>
    </w:p>
    <w:p w:rsidR="002E1D85" w:rsidRDefault="002E1D85" w:rsidP="002E1D85">
      <w:pPr>
        <w:pStyle w:val="Maintext"/>
        <w:numPr>
          <w:ilvl w:val="0"/>
          <w:numId w:val="0"/>
        </w:numPr>
        <w:ind w:left="709"/>
        <w:rPr>
          <w:rFonts w:cs="Arial"/>
        </w:rPr>
      </w:pPr>
    </w:p>
    <w:p w:rsidR="0029556F" w:rsidRPr="009A0FB2" w:rsidRDefault="0029556F" w:rsidP="0029556F">
      <w:pPr>
        <w:pStyle w:val="Heading4"/>
        <w:rPr>
          <w:rFonts w:ascii="Arial Bold" w:hAnsi="Arial Bold"/>
          <w:b/>
          <w:i w:val="0"/>
        </w:rPr>
      </w:pPr>
      <w:r>
        <w:rPr>
          <w:rFonts w:ascii="Arial Bold" w:hAnsi="Arial Bold"/>
          <w:b/>
          <w:i w:val="0"/>
        </w:rPr>
        <w:t>County Durham Regeneration Statement 2012</w:t>
      </w:r>
    </w:p>
    <w:p w:rsidR="0029556F" w:rsidRDefault="0029556F" w:rsidP="0029556F">
      <w:pPr>
        <w:pStyle w:val="Maintext"/>
        <w:rPr>
          <w:rFonts w:cs="Arial"/>
        </w:rPr>
      </w:pPr>
      <w:r w:rsidRPr="00B52FE2">
        <w:rPr>
          <w:rFonts w:cs="Arial"/>
        </w:rPr>
        <w:t xml:space="preserve">The refreshed County Durham Regeneration Statement outlines the approach to make County Durham a better place to live, work, invest and visit, specifying the spatial, social and economic priorities over the coming years whilst recognising the tough economic climate that still exists.  It underpins the Altogether Wealthier theme for the refreshed Sustainable Communities Strategy for County Durham and sets the framework for an integrated policy framework and targeted delivery, building on opportunities and assets. </w:t>
      </w:r>
    </w:p>
    <w:p w:rsidR="0029556F" w:rsidRDefault="0029556F" w:rsidP="0029556F">
      <w:pPr>
        <w:pStyle w:val="Maintext"/>
        <w:rPr>
          <w:rFonts w:cs="Arial"/>
        </w:rPr>
      </w:pPr>
      <w:r w:rsidRPr="0029556F">
        <w:rPr>
          <w:rFonts w:cs="Arial"/>
        </w:rPr>
        <w:t xml:space="preserve">The ambition of the Regeneration Statement is to </w:t>
      </w:r>
      <w:r w:rsidRPr="0029556F">
        <w:rPr>
          <w:rFonts w:cs="Arial"/>
          <w:i/>
          <w:iCs/>
        </w:rPr>
        <w:t>shape a County Durham where people want to live, work, invest and visit whilst enabling our residents and businesses to achieve their potential</w:t>
      </w:r>
      <w:r w:rsidRPr="0029556F">
        <w:rPr>
          <w:rFonts w:cs="Arial"/>
        </w:rPr>
        <w:t>. The objectives shaping partnership activity are a Thriving Durham City; Vibrant and Successful Towns; Sustainable Neighbourhoods and Rural Communities; Competitive and Successful People; and A Top Location for Business.</w:t>
      </w:r>
    </w:p>
    <w:p w:rsidR="0029556F" w:rsidRPr="0029556F" w:rsidRDefault="0029556F" w:rsidP="0029556F">
      <w:pPr>
        <w:pStyle w:val="Maintext"/>
        <w:rPr>
          <w:rFonts w:cs="Arial"/>
        </w:rPr>
      </w:pPr>
      <w:r w:rsidRPr="0029556F">
        <w:rPr>
          <w:rFonts w:cs="Arial"/>
        </w:rPr>
        <w:t>By continuing to invest in opportunities across the County and capitalising on strengths such as Durham City and Hitac</w:t>
      </w:r>
      <w:r>
        <w:rPr>
          <w:rFonts w:cs="Arial"/>
        </w:rPr>
        <w:t>hi coming to Newton Aycliffe, the Council</w:t>
      </w:r>
      <w:r w:rsidRPr="0029556F">
        <w:rPr>
          <w:rFonts w:cs="Arial"/>
        </w:rPr>
        <w:t xml:space="preserve"> are aligning activity and leveraging private sector investment, to deliver the aims and objectives outlined in this Statement, to tackle the key issues facing the County.  </w:t>
      </w:r>
      <w:r>
        <w:rPr>
          <w:rFonts w:cs="Arial"/>
        </w:rPr>
        <w:t>The Council are recognising their</w:t>
      </w:r>
      <w:r w:rsidR="00142BDA">
        <w:rPr>
          <w:rFonts w:cs="Arial"/>
        </w:rPr>
        <w:t xml:space="preserve"> major assets</w:t>
      </w:r>
      <w:r w:rsidRPr="0029556F">
        <w:rPr>
          <w:rFonts w:cs="Arial"/>
        </w:rPr>
        <w:t xml:space="preserve"> as those that have the potential to deliver the greatest impact. Building on and investing in these assets, alongside complementary interventions will release the County's potential for growth and connect areas of growth with deprived areas in need of regeneration.  By following a phased approach across the County, utilising these opportunities we will be able to deliver the greatest impact for each locality and the whole of the County, using the resources available to </w:t>
      </w:r>
      <w:r w:rsidR="00142BDA">
        <w:rPr>
          <w:rFonts w:cs="Arial"/>
        </w:rPr>
        <w:t>the Council</w:t>
      </w:r>
      <w:r w:rsidRPr="0029556F">
        <w:rPr>
          <w:rFonts w:cs="Arial"/>
        </w:rPr>
        <w:t xml:space="preserve"> to best effect. As outlined in the draft refreshed Statement t</w:t>
      </w:r>
      <w:r>
        <w:rPr>
          <w:rFonts w:cs="Arial"/>
        </w:rPr>
        <w:t>hrough a partnership approach the Council</w:t>
      </w:r>
      <w:r w:rsidRPr="0029556F">
        <w:rPr>
          <w:rFonts w:cs="Arial"/>
        </w:rPr>
        <w:t xml:space="preserve"> will:</w:t>
      </w:r>
    </w:p>
    <w:p w:rsidR="0029556F" w:rsidRPr="00B52FE2" w:rsidRDefault="0029556F" w:rsidP="007E46FA">
      <w:pPr>
        <w:numPr>
          <w:ilvl w:val="0"/>
          <w:numId w:val="32"/>
        </w:numPr>
        <w:spacing w:before="0" w:after="0"/>
        <w:jc w:val="both"/>
        <w:rPr>
          <w:rFonts w:cs="Arial"/>
        </w:rPr>
      </w:pPr>
      <w:r w:rsidRPr="00B52FE2">
        <w:rPr>
          <w:rFonts w:cs="Arial"/>
        </w:rPr>
        <w:t>Lift constraints on development and stimulate investment in the economic infrastructure needed to increase economic activity and wealth</w:t>
      </w:r>
      <w:r w:rsidR="00142BDA">
        <w:rPr>
          <w:rFonts w:cs="Arial"/>
        </w:rPr>
        <w:t>;</w:t>
      </w:r>
      <w:r w:rsidRPr="00B52FE2">
        <w:rPr>
          <w:rFonts w:cs="Arial"/>
        </w:rPr>
        <w:t xml:space="preserve"> </w:t>
      </w:r>
    </w:p>
    <w:p w:rsidR="0029556F" w:rsidRPr="00B52FE2" w:rsidRDefault="0029556F" w:rsidP="007E46FA">
      <w:pPr>
        <w:numPr>
          <w:ilvl w:val="0"/>
          <w:numId w:val="32"/>
        </w:numPr>
        <w:spacing w:before="0" w:after="0"/>
        <w:jc w:val="both"/>
        <w:rPr>
          <w:rFonts w:cs="Arial"/>
        </w:rPr>
      </w:pPr>
      <w:r w:rsidRPr="00B52FE2">
        <w:rPr>
          <w:rFonts w:cs="Arial"/>
        </w:rPr>
        <w:t>Capitalise on Durham City’s business and tourism potential to drive forward economic growth for County Durham</w:t>
      </w:r>
      <w:r w:rsidR="00142BDA">
        <w:rPr>
          <w:rFonts w:cs="Arial"/>
        </w:rPr>
        <w:t>;</w:t>
      </w:r>
    </w:p>
    <w:p w:rsidR="0029556F" w:rsidRPr="00B52FE2" w:rsidRDefault="0029556F" w:rsidP="007E46FA">
      <w:pPr>
        <w:numPr>
          <w:ilvl w:val="0"/>
          <w:numId w:val="32"/>
        </w:numPr>
        <w:spacing w:before="0" w:after="0"/>
        <w:jc w:val="both"/>
        <w:rPr>
          <w:rFonts w:cs="Arial"/>
        </w:rPr>
      </w:pPr>
      <w:r w:rsidRPr="00B52FE2">
        <w:rPr>
          <w:rFonts w:cs="Arial"/>
        </w:rPr>
        <w:t>Invest in our major towns, continuing with our ‘Whole Town” approach</w:t>
      </w:r>
      <w:r w:rsidR="00142BDA">
        <w:rPr>
          <w:rFonts w:cs="Arial"/>
        </w:rPr>
        <w:t>;</w:t>
      </w:r>
    </w:p>
    <w:p w:rsidR="0029556F" w:rsidRPr="00B52FE2" w:rsidRDefault="0029556F" w:rsidP="007E46FA">
      <w:pPr>
        <w:numPr>
          <w:ilvl w:val="0"/>
          <w:numId w:val="32"/>
        </w:numPr>
        <w:spacing w:before="0" w:after="0"/>
        <w:jc w:val="both"/>
        <w:rPr>
          <w:rFonts w:cs="Arial"/>
        </w:rPr>
      </w:pPr>
      <w:r w:rsidRPr="00B52FE2">
        <w:rPr>
          <w:rFonts w:cs="Arial"/>
        </w:rPr>
        <w:t>Drive forward the delivery of new homes with the right mix of services to</w:t>
      </w:r>
      <w:r w:rsidR="00142BDA">
        <w:rPr>
          <w:rFonts w:cs="Arial"/>
        </w:rPr>
        <w:t xml:space="preserve"> support our growth aspirations;</w:t>
      </w:r>
    </w:p>
    <w:p w:rsidR="0029556F" w:rsidRPr="00B52FE2" w:rsidRDefault="0029556F" w:rsidP="007E46FA">
      <w:pPr>
        <w:numPr>
          <w:ilvl w:val="0"/>
          <w:numId w:val="32"/>
        </w:numPr>
        <w:spacing w:before="0" w:after="0"/>
        <w:jc w:val="both"/>
        <w:rPr>
          <w:rFonts w:cs="Arial"/>
        </w:rPr>
      </w:pPr>
      <w:r w:rsidRPr="00B52FE2">
        <w:rPr>
          <w:rFonts w:cs="Arial"/>
        </w:rPr>
        <w:t>Improve  the  range  of  choice  and  standard  of  exis</w:t>
      </w:r>
      <w:r w:rsidR="00142BDA">
        <w:rPr>
          <w:rFonts w:cs="Arial"/>
        </w:rPr>
        <w:t>ting public and private housing;</w:t>
      </w:r>
    </w:p>
    <w:p w:rsidR="0029556F" w:rsidRPr="00B52FE2" w:rsidRDefault="0029556F" w:rsidP="007E46FA">
      <w:pPr>
        <w:numPr>
          <w:ilvl w:val="0"/>
          <w:numId w:val="32"/>
        </w:numPr>
        <w:spacing w:before="0" w:after="0"/>
        <w:jc w:val="both"/>
        <w:rPr>
          <w:rFonts w:cs="Arial"/>
        </w:rPr>
      </w:pPr>
      <w:r w:rsidRPr="00B52FE2">
        <w:rPr>
          <w:rFonts w:cs="Arial"/>
        </w:rPr>
        <w:t>Invest in our human capital as a direct contributor to growth</w:t>
      </w:r>
      <w:r w:rsidR="00142BDA">
        <w:rPr>
          <w:rFonts w:cs="Arial"/>
        </w:rPr>
        <w:t>;</w:t>
      </w:r>
    </w:p>
    <w:p w:rsidR="0029556F" w:rsidRPr="00B52FE2" w:rsidRDefault="0029556F" w:rsidP="007E46FA">
      <w:pPr>
        <w:numPr>
          <w:ilvl w:val="0"/>
          <w:numId w:val="32"/>
        </w:numPr>
        <w:spacing w:before="0" w:after="0"/>
        <w:jc w:val="both"/>
        <w:rPr>
          <w:rFonts w:cs="Arial"/>
        </w:rPr>
      </w:pPr>
      <w:r w:rsidRPr="00B52FE2">
        <w:rPr>
          <w:rFonts w:cs="Arial"/>
        </w:rPr>
        <w:t>Address the needs of our most vulnerable residents, mitigating the impact of welfare reform</w:t>
      </w:r>
      <w:r w:rsidR="00142BDA">
        <w:rPr>
          <w:rFonts w:cs="Arial"/>
        </w:rPr>
        <w:t>.</w:t>
      </w:r>
    </w:p>
    <w:p w:rsidR="0029556F" w:rsidRDefault="0029556F" w:rsidP="002E1D85">
      <w:pPr>
        <w:pStyle w:val="Maintext"/>
        <w:numPr>
          <w:ilvl w:val="0"/>
          <w:numId w:val="0"/>
        </w:numPr>
        <w:ind w:left="709"/>
        <w:rPr>
          <w:rFonts w:cs="Arial"/>
        </w:rPr>
      </w:pPr>
    </w:p>
    <w:p w:rsidR="001A68A7" w:rsidRPr="009A0FB2" w:rsidRDefault="001A68A7" w:rsidP="001A68A7">
      <w:pPr>
        <w:pStyle w:val="Heading4"/>
        <w:rPr>
          <w:rFonts w:ascii="Arial Bold" w:hAnsi="Arial Bold"/>
          <w:b/>
          <w:i w:val="0"/>
        </w:rPr>
      </w:pPr>
      <w:r>
        <w:rPr>
          <w:rFonts w:ascii="Arial Bold" w:hAnsi="Arial Bold"/>
          <w:b/>
          <w:i w:val="0"/>
        </w:rPr>
        <w:t>Housing Strategy</w:t>
      </w:r>
    </w:p>
    <w:p w:rsidR="00F2305C" w:rsidRDefault="001A68A7" w:rsidP="001A68A7">
      <w:pPr>
        <w:pStyle w:val="Maintext"/>
        <w:rPr>
          <w:rFonts w:cs="Arial"/>
        </w:rPr>
      </w:pPr>
      <w:r w:rsidRPr="001A68A7">
        <w:rPr>
          <w:rFonts w:cs="Arial"/>
        </w:rPr>
        <w:t xml:space="preserve">The Council has in place a Housing Strategy Delivery Plan, </w:t>
      </w:r>
      <w:r w:rsidRPr="001A68A7">
        <w:rPr>
          <w:rFonts w:cs="Arial"/>
          <w:i/>
        </w:rPr>
        <w:t xml:space="preserve">Building Altogether Better Lives, a Housing Strategy Delivery Plan for County Durham 2010 to 2015.  </w:t>
      </w:r>
      <w:r w:rsidRPr="001A68A7">
        <w:rPr>
          <w:rFonts w:cs="Arial"/>
        </w:rPr>
        <w:t xml:space="preserve">The Delivery Plan sets out the Council’s strategic housing priorities for action and investment from 2010 to 2015. The Plan was developed around the Council’s vision for </w:t>
      </w:r>
      <w:r w:rsidRPr="001A68A7">
        <w:rPr>
          <w:rFonts w:cs="Arial"/>
          <w:i/>
        </w:rPr>
        <w:t xml:space="preserve">‘an altogether better Durham’, </w:t>
      </w:r>
      <w:r w:rsidRPr="001A68A7">
        <w:rPr>
          <w:rFonts w:cs="Arial"/>
        </w:rPr>
        <w:t xml:space="preserve">established in its Community Strategy 2010-2030. </w:t>
      </w:r>
    </w:p>
    <w:p w:rsidR="001A68A7" w:rsidRPr="001A68A7" w:rsidRDefault="00F2305C" w:rsidP="001A68A7">
      <w:pPr>
        <w:pStyle w:val="Maintext"/>
        <w:rPr>
          <w:rFonts w:cs="Arial"/>
        </w:rPr>
      </w:pPr>
      <w:r>
        <w:rPr>
          <w:rFonts w:cs="Arial"/>
          <w:color w:val="272627"/>
        </w:rPr>
        <w:t xml:space="preserve">Regeneration, economic development and housing </w:t>
      </w:r>
      <w:r w:rsidR="001A68A7" w:rsidRPr="001A68A7">
        <w:rPr>
          <w:rFonts w:cs="Arial"/>
          <w:color w:val="272627"/>
        </w:rPr>
        <w:t>are at the forefront of the Council’s corporate approach to deliver a better Durham. To this end the Housing Strategy has three objectives, to deliver:</w:t>
      </w:r>
    </w:p>
    <w:p w:rsidR="001A68A7" w:rsidRPr="001A68A7" w:rsidRDefault="001A68A7" w:rsidP="00C76826">
      <w:pPr>
        <w:pStyle w:val="Maintext"/>
        <w:numPr>
          <w:ilvl w:val="2"/>
          <w:numId w:val="10"/>
        </w:numPr>
        <w:rPr>
          <w:rFonts w:cs="Arial"/>
        </w:rPr>
      </w:pPr>
      <w:r w:rsidRPr="001A68A7">
        <w:rPr>
          <w:rFonts w:cs="Arial"/>
          <w:color w:val="272627"/>
        </w:rPr>
        <w:t>Altogether better housing markets;</w:t>
      </w:r>
    </w:p>
    <w:p w:rsidR="001A68A7" w:rsidRPr="001A68A7" w:rsidRDefault="001A68A7" w:rsidP="00C76826">
      <w:pPr>
        <w:pStyle w:val="Maintext"/>
        <w:numPr>
          <w:ilvl w:val="2"/>
          <w:numId w:val="10"/>
        </w:numPr>
        <w:rPr>
          <w:rFonts w:cs="Arial"/>
        </w:rPr>
      </w:pPr>
      <w:r w:rsidRPr="001A68A7">
        <w:rPr>
          <w:rFonts w:cs="Arial"/>
          <w:color w:val="272627"/>
        </w:rPr>
        <w:t xml:space="preserve">Altogether better housing standards; and </w:t>
      </w:r>
    </w:p>
    <w:p w:rsidR="001A68A7" w:rsidRPr="001A68A7" w:rsidRDefault="001A68A7" w:rsidP="00C76826">
      <w:pPr>
        <w:pStyle w:val="Maintext"/>
        <w:numPr>
          <w:ilvl w:val="2"/>
          <w:numId w:val="10"/>
        </w:numPr>
        <w:rPr>
          <w:rFonts w:cs="Arial"/>
        </w:rPr>
      </w:pPr>
      <w:r w:rsidRPr="001A68A7">
        <w:rPr>
          <w:rFonts w:cs="Arial"/>
          <w:color w:val="272627"/>
        </w:rPr>
        <w:t xml:space="preserve">Altogether better at housing people. </w:t>
      </w:r>
    </w:p>
    <w:p w:rsidR="001A68A7" w:rsidRPr="001A68A7" w:rsidRDefault="001A68A7" w:rsidP="001A68A7">
      <w:pPr>
        <w:pStyle w:val="Maintext"/>
        <w:rPr>
          <w:rFonts w:cs="Arial"/>
        </w:rPr>
      </w:pPr>
      <w:r w:rsidRPr="001A68A7">
        <w:rPr>
          <w:rFonts w:cs="Arial"/>
        </w:rPr>
        <w:t xml:space="preserve">Supplementing these objectives is the additional objective of delivering an </w:t>
      </w:r>
      <w:r w:rsidRPr="001A68A7">
        <w:rPr>
          <w:rFonts w:cs="Arial"/>
          <w:i/>
        </w:rPr>
        <w:t>‘altogether better housing service’.</w:t>
      </w:r>
      <w:r w:rsidRPr="001A68A7">
        <w:rPr>
          <w:rFonts w:cs="Arial"/>
        </w:rPr>
        <w:t xml:space="preserve"> Linked to these objectives are a series of ten issues that have been identified as priorities by the Council and its stakeholders:</w:t>
      </w:r>
    </w:p>
    <w:p w:rsidR="001A68A7" w:rsidRPr="001A68A7" w:rsidRDefault="001A68A7" w:rsidP="00C76826">
      <w:pPr>
        <w:pStyle w:val="Maintext"/>
        <w:numPr>
          <w:ilvl w:val="2"/>
          <w:numId w:val="10"/>
        </w:numPr>
        <w:rPr>
          <w:rFonts w:cs="Arial"/>
        </w:rPr>
      </w:pPr>
      <w:r w:rsidRPr="001A68A7">
        <w:rPr>
          <w:rFonts w:cs="Arial"/>
        </w:rPr>
        <w:t>Better housing markets covering:</w:t>
      </w:r>
    </w:p>
    <w:p w:rsidR="001A68A7" w:rsidRPr="001A68A7" w:rsidRDefault="001A68A7" w:rsidP="00C76826">
      <w:pPr>
        <w:pStyle w:val="Maintext"/>
        <w:numPr>
          <w:ilvl w:val="3"/>
          <w:numId w:val="10"/>
        </w:numPr>
        <w:rPr>
          <w:rFonts w:cs="Arial"/>
        </w:rPr>
      </w:pPr>
      <w:r w:rsidRPr="001A68A7">
        <w:rPr>
          <w:rFonts w:cs="Arial"/>
        </w:rPr>
        <w:t>Housing growth;</w:t>
      </w:r>
    </w:p>
    <w:p w:rsidR="001A68A7" w:rsidRPr="001A68A7" w:rsidRDefault="001A68A7" w:rsidP="00C76826">
      <w:pPr>
        <w:pStyle w:val="Maintext"/>
        <w:numPr>
          <w:ilvl w:val="3"/>
          <w:numId w:val="10"/>
        </w:numPr>
        <w:rPr>
          <w:rFonts w:cs="Arial"/>
        </w:rPr>
      </w:pPr>
      <w:r w:rsidRPr="001A68A7">
        <w:rPr>
          <w:rFonts w:cs="Arial"/>
        </w:rPr>
        <w:t>New affordable housing to tackle affordable ‘hot spots’;</w:t>
      </w:r>
    </w:p>
    <w:p w:rsidR="001A68A7" w:rsidRPr="001A68A7" w:rsidRDefault="001A68A7" w:rsidP="00C76826">
      <w:pPr>
        <w:pStyle w:val="Maintext"/>
        <w:numPr>
          <w:ilvl w:val="3"/>
          <w:numId w:val="10"/>
        </w:numPr>
        <w:rPr>
          <w:rFonts w:cs="Arial"/>
        </w:rPr>
      </w:pPr>
      <w:r w:rsidRPr="001A68A7">
        <w:rPr>
          <w:rFonts w:cs="Arial"/>
        </w:rPr>
        <w:t>Rural affordable housing;</w:t>
      </w:r>
    </w:p>
    <w:p w:rsidR="001A68A7" w:rsidRPr="001A68A7" w:rsidRDefault="001A68A7" w:rsidP="00C76826">
      <w:pPr>
        <w:pStyle w:val="Maintext"/>
        <w:numPr>
          <w:ilvl w:val="3"/>
          <w:numId w:val="10"/>
        </w:numPr>
        <w:rPr>
          <w:rFonts w:cs="Arial"/>
        </w:rPr>
      </w:pPr>
      <w:r w:rsidRPr="001A68A7">
        <w:rPr>
          <w:rFonts w:cs="Arial"/>
        </w:rPr>
        <w:t>Executive housing; and</w:t>
      </w:r>
    </w:p>
    <w:p w:rsidR="001A68A7" w:rsidRPr="001A68A7" w:rsidRDefault="001A68A7" w:rsidP="00C76826">
      <w:pPr>
        <w:pStyle w:val="Maintext"/>
        <w:numPr>
          <w:ilvl w:val="3"/>
          <w:numId w:val="10"/>
        </w:numPr>
        <w:rPr>
          <w:rFonts w:cs="Arial"/>
        </w:rPr>
      </w:pPr>
      <w:r w:rsidRPr="001A68A7">
        <w:rPr>
          <w:rFonts w:cs="Arial"/>
        </w:rPr>
        <w:t>Better balanced housing markets;</w:t>
      </w:r>
    </w:p>
    <w:p w:rsidR="001A68A7" w:rsidRPr="001A68A7" w:rsidRDefault="001A68A7" w:rsidP="00C76826">
      <w:pPr>
        <w:pStyle w:val="Maintext"/>
        <w:numPr>
          <w:ilvl w:val="2"/>
          <w:numId w:val="10"/>
        </w:numPr>
        <w:rPr>
          <w:rFonts w:cs="Arial"/>
        </w:rPr>
      </w:pPr>
      <w:r w:rsidRPr="001A68A7">
        <w:rPr>
          <w:rFonts w:cs="Arial"/>
        </w:rPr>
        <w:t>Better housing standards concentrating on delivering:</w:t>
      </w:r>
    </w:p>
    <w:p w:rsidR="001A68A7" w:rsidRPr="001A68A7" w:rsidRDefault="001A68A7" w:rsidP="00C76826">
      <w:pPr>
        <w:pStyle w:val="Maintext"/>
        <w:numPr>
          <w:ilvl w:val="3"/>
          <w:numId w:val="10"/>
        </w:numPr>
        <w:rPr>
          <w:rFonts w:cs="Arial"/>
        </w:rPr>
      </w:pPr>
      <w:r w:rsidRPr="001A68A7">
        <w:rPr>
          <w:rFonts w:cs="Arial"/>
        </w:rPr>
        <w:t xml:space="preserve">Better existing homes; and </w:t>
      </w:r>
    </w:p>
    <w:p w:rsidR="001A68A7" w:rsidRPr="001A68A7" w:rsidRDefault="001A68A7" w:rsidP="00C76826">
      <w:pPr>
        <w:pStyle w:val="Maintext"/>
        <w:numPr>
          <w:ilvl w:val="3"/>
          <w:numId w:val="10"/>
        </w:numPr>
        <w:rPr>
          <w:rFonts w:cs="Arial"/>
        </w:rPr>
      </w:pPr>
      <w:r w:rsidRPr="001A68A7">
        <w:rPr>
          <w:rFonts w:cs="Arial"/>
        </w:rPr>
        <w:t xml:space="preserve">Better new homes. </w:t>
      </w:r>
    </w:p>
    <w:p w:rsidR="001A68A7" w:rsidRPr="001A68A7" w:rsidRDefault="001A68A7" w:rsidP="00C76826">
      <w:pPr>
        <w:pStyle w:val="Maintext"/>
        <w:numPr>
          <w:ilvl w:val="2"/>
          <w:numId w:val="10"/>
        </w:numPr>
        <w:rPr>
          <w:rFonts w:cs="Arial"/>
        </w:rPr>
      </w:pPr>
      <w:r w:rsidRPr="001A68A7">
        <w:rPr>
          <w:rFonts w:cs="Arial"/>
        </w:rPr>
        <w:t>Better at housing people focusing on ensuring:</w:t>
      </w:r>
    </w:p>
    <w:p w:rsidR="001A68A7" w:rsidRPr="001A68A7" w:rsidRDefault="001A68A7" w:rsidP="00C76826">
      <w:pPr>
        <w:pStyle w:val="Maintext"/>
        <w:numPr>
          <w:ilvl w:val="3"/>
          <w:numId w:val="10"/>
        </w:numPr>
        <w:rPr>
          <w:rFonts w:cs="Arial"/>
        </w:rPr>
      </w:pPr>
      <w:r w:rsidRPr="001A68A7">
        <w:rPr>
          <w:rFonts w:cs="Arial"/>
        </w:rPr>
        <w:t xml:space="preserve"> Better housing management; </w:t>
      </w:r>
    </w:p>
    <w:p w:rsidR="001A68A7" w:rsidRPr="001A68A7" w:rsidRDefault="001A68A7" w:rsidP="00C76826">
      <w:pPr>
        <w:pStyle w:val="Maintext"/>
        <w:numPr>
          <w:ilvl w:val="3"/>
          <w:numId w:val="10"/>
        </w:numPr>
        <w:rPr>
          <w:rFonts w:cs="Arial"/>
        </w:rPr>
      </w:pPr>
      <w:r w:rsidRPr="001A68A7">
        <w:rPr>
          <w:rFonts w:cs="Arial"/>
        </w:rPr>
        <w:t>Better at housing vulnerable groups; and</w:t>
      </w:r>
    </w:p>
    <w:p w:rsidR="001A68A7" w:rsidRPr="001A68A7" w:rsidRDefault="001A68A7" w:rsidP="00C76826">
      <w:pPr>
        <w:pStyle w:val="Maintext"/>
        <w:numPr>
          <w:ilvl w:val="3"/>
          <w:numId w:val="10"/>
        </w:numPr>
        <w:rPr>
          <w:rFonts w:cs="Arial"/>
        </w:rPr>
      </w:pPr>
      <w:r w:rsidRPr="001A68A7">
        <w:rPr>
          <w:rFonts w:cs="Arial"/>
        </w:rPr>
        <w:t xml:space="preserve">Better access to affordable housing. . </w:t>
      </w:r>
    </w:p>
    <w:p w:rsidR="001A68A7" w:rsidRPr="001A68A7" w:rsidRDefault="001A68A7" w:rsidP="001A68A7">
      <w:pPr>
        <w:pStyle w:val="Maintext"/>
        <w:rPr>
          <w:rFonts w:cs="Arial"/>
        </w:rPr>
      </w:pPr>
      <w:r w:rsidRPr="001A68A7">
        <w:rPr>
          <w:rFonts w:cs="Arial"/>
        </w:rPr>
        <w:t>A series of cross cutting issues were also identified:</w:t>
      </w:r>
    </w:p>
    <w:p w:rsidR="001A68A7" w:rsidRPr="001A68A7" w:rsidRDefault="001A68A7" w:rsidP="00C76826">
      <w:pPr>
        <w:pStyle w:val="Maintext"/>
        <w:numPr>
          <w:ilvl w:val="2"/>
          <w:numId w:val="10"/>
        </w:numPr>
        <w:rPr>
          <w:rFonts w:cs="Arial"/>
        </w:rPr>
      </w:pPr>
      <w:r w:rsidRPr="001A68A7">
        <w:rPr>
          <w:rFonts w:cs="Arial"/>
        </w:rPr>
        <w:t>Health impact;</w:t>
      </w:r>
    </w:p>
    <w:p w:rsidR="001A68A7" w:rsidRPr="001A68A7" w:rsidRDefault="001A68A7" w:rsidP="00C76826">
      <w:pPr>
        <w:pStyle w:val="Maintext"/>
        <w:numPr>
          <w:ilvl w:val="2"/>
          <w:numId w:val="10"/>
        </w:numPr>
        <w:rPr>
          <w:rFonts w:cs="Arial"/>
        </w:rPr>
      </w:pPr>
      <w:r w:rsidRPr="001A68A7">
        <w:rPr>
          <w:rFonts w:cs="Arial"/>
        </w:rPr>
        <w:t xml:space="preserve">Equality and diversity; </w:t>
      </w:r>
    </w:p>
    <w:p w:rsidR="001A68A7" w:rsidRPr="001A68A7" w:rsidRDefault="001A68A7" w:rsidP="00C76826">
      <w:pPr>
        <w:pStyle w:val="Maintext"/>
        <w:numPr>
          <w:ilvl w:val="2"/>
          <w:numId w:val="10"/>
        </w:numPr>
        <w:rPr>
          <w:rFonts w:cs="Arial"/>
        </w:rPr>
      </w:pPr>
      <w:r w:rsidRPr="001A68A7">
        <w:rPr>
          <w:rFonts w:cs="Arial"/>
        </w:rPr>
        <w:t xml:space="preserve">Social inclusion; and </w:t>
      </w:r>
    </w:p>
    <w:p w:rsidR="001A68A7" w:rsidRPr="001A68A7" w:rsidRDefault="001A68A7" w:rsidP="00C76826">
      <w:pPr>
        <w:pStyle w:val="Maintext"/>
        <w:numPr>
          <w:ilvl w:val="2"/>
          <w:numId w:val="10"/>
        </w:numPr>
        <w:rPr>
          <w:rFonts w:cs="Arial"/>
        </w:rPr>
      </w:pPr>
      <w:r w:rsidRPr="001A68A7">
        <w:rPr>
          <w:rFonts w:cs="Arial"/>
        </w:rPr>
        <w:t xml:space="preserve">Value for money. </w:t>
      </w:r>
    </w:p>
    <w:p w:rsidR="001A68A7" w:rsidRPr="001A68A7" w:rsidRDefault="001A68A7" w:rsidP="001A68A7">
      <w:pPr>
        <w:pStyle w:val="Maintext"/>
        <w:rPr>
          <w:rFonts w:cs="Arial"/>
        </w:rPr>
      </w:pPr>
      <w:r w:rsidRPr="001A68A7">
        <w:rPr>
          <w:rFonts w:cs="Arial"/>
        </w:rPr>
        <w:t>The Housing Strategy has within it a series of Locality Delivery Plans covering the following areas:</w:t>
      </w:r>
    </w:p>
    <w:p w:rsidR="001A68A7" w:rsidRPr="001A68A7" w:rsidRDefault="001A68A7" w:rsidP="00C76826">
      <w:pPr>
        <w:pStyle w:val="Maintext"/>
        <w:numPr>
          <w:ilvl w:val="2"/>
          <w:numId w:val="10"/>
        </w:numPr>
        <w:rPr>
          <w:rFonts w:cs="Arial"/>
        </w:rPr>
      </w:pPr>
      <w:r w:rsidRPr="001A68A7">
        <w:rPr>
          <w:rFonts w:cs="Arial"/>
        </w:rPr>
        <w:t>Central Durham;</w:t>
      </w:r>
    </w:p>
    <w:p w:rsidR="001A68A7" w:rsidRPr="001A68A7" w:rsidRDefault="00142BDA" w:rsidP="00C76826">
      <w:pPr>
        <w:pStyle w:val="Maintext"/>
        <w:numPr>
          <w:ilvl w:val="2"/>
          <w:numId w:val="10"/>
        </w:numPr>
        <w:rPr>
          <w:rFonts w:cs="Arial"/>
        </w:rPr>
      </w:pPr>
      <w:r>
        <w:rPr>
          <w:rFonts w:cs="Arial"/>
        </w:rPr>
        <w:t>N</w:t>
      </w:r>
      <w:r w:rsidR="001A68A7" w:rsidRPr="001A68A7">
        <w:rPr>
          <w:rFonts w:cs="Arial"/>
        </w:rPr>
        <w:t>orth and East Durham;</w:t>
      </w:r>
    </w:p>
    <w:p w:rsidR="001A68A7" w:rsidRPr="001A68A7" w:rsidRDefault="001A68A7" w:rsidP="00C76826">
      <w:pPr>
        <w:pStyle w:val="Maintext"/>
        <w:numPr>
          <w:ilvl w:val="2"/>
          <w:numId w:val="10"/>
        </w:numPr>
        <w:rPr>
          <w:rFonts w:cs="Arial"/>
        </w:rPr>
      </w:pPr>
      <w:r w:rsidRPr="001A68A7">
        <w:rPr>
          <w:rFonts w:cs="Arial"/>
        </w:rPr>
        <w:t xml:space="preserve">West Durham; and </w:t>
      </w:r>
    </w:p>
    <w:p w:rsidR="001A68A7" w:rsidRPr="001A68A7" w:rsidRDefault="001A68A7" w:rsidP="00C76826">
      <w:pPr>
        <w:pStyle w:val="Maintext"/>
        <w:numPr>
          <w:ilvl w:val="2"/>
          <w:numId w:val="10"/>
        </w:numPr>
        <w:rPr>
          <w:rFonts w:cs="Arial"/>
        </w:rPr>
      </w:pPr>
      <w:r w:rsidRPr="001A68A7">
        <w:rPr>
          <w:rFonts w:cs="Arial"/>
        </w:rPr>
        <w:t xml:space="preserve">South Durham. </w:t>
      </w:r>
    </w:p>
    <w:p w:rsidR="001A68A7" w:rsidRPr="001A68A7" w:rsidRDefault="001A68A7" w:rsidP="001A68A7">
      <w:pPr>
        <w:pStyle w:val="Maintext"/>
        <w:rPr>
          <w:rFonts w:cs="Arial"/>
        </w:rPr>
      </w:pPr>
      <w:r w:rsidRPr="001A68A7">
        <w:rPr>
          <w:rFonts w:cs="Arial"/>
          <w:color w:val="272627"/>
        </w:rPr>
        <w:t xml:space="preserve">Each of these areas has its own housing and regeneration context and Locality Action Plan to address key issues specific to each locality, but framed within the wider County Durham context. Evidence from this research will provide important new evidence to help further shape and develop these Locality Action Plans. </w:t>
      </w:r>
    </w:p>
    <w:p w:rsidR="001A68A7" w:rsidRDefault="001A68A7" w:rsidP="001A68A7">
      <w:pPr>
        <w:pStyle w:val="Maintext"/>
        <w:numPr>
          <w:ilvl w:val="0"/>
          <w:numId w:val="0"/>
        </w:numPr>
        <w:ind w:left="709"/>
        <w:rPr>
          <w:rFonts w:ascii="Helvetica" w:hAnsi="Helvetica" w:cs="Helvetica"/>
          <w:color w:val="272627"/>
        </w:rPr>
      </w:pPr>
    </w:p>
    <w:p w:rsidR="001A68A7" w:rsidRPr="009A0FB2" w:rsidRDefault="001A68A7" w:rsidP="001A68A7">
      <w:pPr>
        <w:pStyle w:val="Heading4"/>
        <w:rPr>
          <w:rFonts w:ascii="Arial Bold" w:hAnsi="Arial Bold"/>
          <w:b/>
          <w:i w:val="0"/>
        </w:rPr>
      </w:pPr>
      <w:r>
        <w:rPr>
          <w:rFonts w:ascii="Arial Bold" w:hAnsi="Arial Bold"/>
          <w:b/>
          <w:i w:val="0"/>
        </w:rPr>
        <w:t xml:space="preserve">Local Enterprise Partnership </w:t>
      </w:r>
    </w:p>
    <w:p w:rsidR="001A68A7" w:rsidRDefault="00F2305C" w:rsidP="001A68A7">
      <w:pPr>
        <w:pStyle w:val="Maintext"/>
      </w:pPr>
      <w:r>
        <w:t>The North East</w:t>
      </w:r>
      <w:r w:rsidR="001A68A7">
        <w:t xml:space="preserve"> Local Enterprise Partnership (LEP) is a partnership between local authorities and businesses in Durham, Gateshead, Newcastle, North Tyneside, Northumberland, South Tyneside, and Sunderland. The Partnership was formed with a view to enhancing economic growth across these areas. The vision for the North Eastern LEP is to </w:t>
      </w:r>
      <w:r w:rsidR="001A68A7">
        <w:rPr>
          <w:i/>
        </w:rPr>
        <w:t>deliver smart, enterprising leadership between the private sector, local government, Higher Education and Further Education to rebalance the economy, and create Europe’s premiere location for low carbon, sustainable, knowledge-based, private sector-led growth and jobs.’</w:t>
      </w:r>
      <w:r w:rsidR="001A68A7">
        <w:rPr>
          <w:rStyle w:val="FootnoteReference"/>
          <w:i/>
        </w:rPr>
        <w:footnoteReference w:id="9"/>
      </w:r>
      <w:r w:rsidR="001A68A7">
        <w:rPr>
          <w:i/>
        </w:rPr>
        <w:t>’</w:t>
      </w:r>
    </w:p>
    <w:p w:rsidR="001A68A7" w:rsidRDefault="001A68A7" w:rsidP="001A68A7">
      <w:pPr>
        <w:pStyle w:val="Maintext"/>
      </w:pPr>
      <w:r>
        <w:t>The LEP aims to:</w:t>
      </w:r>
    </w:p>
    <w:p w:rsidR="001A68A7" w:rsidRDefault="001A68A7" w:rsidP="00C76826">
      <w:pPr>
        <w:pStyle w:val="Maintext"/>
        <w:numPr>
          <w:ilvl w:val="2"/>
          <w:numId w:val="10"/>
        </w:numPr>
      </w:pPr>
      <w:r>
        <w:t>Ensure that the North East maximises its contribution to national economic growth and rebalancing the national economy;</w:t>
      </w:r>
    </w:p>
    <w:p w:rsidR="001A68A7" w:rsidRDefault="001A68A7" w:rsidP="00C76826">
      <w:pPr>
        <w:pStyle w:val="Maintext"/>
        <w:numPr>
          <w:ilvl w:val="2"/>
          <w:numId w:val="10"/>
        </w:numPr>
      </w:pPr>
      <w:r>
        <w:t>Ensure delivery of functions where they can be most effective;</w:t>
      </w:r>
    </w:p>
    <w:p w:rsidR="001A68A7" w:rsidRDefault="001A68A7" w:rsidP="00C76826">
      <w:pPr>
        <w:pStyle w:val="Maintext"/>
        <w:numPr>
          <w:ilvl w:val="2"/>
          <w:numId w:val="10"/>
        </w:numPr>
      </w:pPr>
      <w:r>
        <w:t>Recognise the distinctive economic circumstances and potential of the area;</w:t>
      </w:r>
    </w:p>
    <w:p w:rsidR="001A68A7" w:rsidRDefault="001A68A7" w:rsidP="00C76826">
      <w:pPr>
        <w:pStyle w:val="Maintext"/>
        <w:numPr>
          <w:ilvl w:val="2"/>
          <w:numId w:val="10"/>
        </w:numPr>
      </w:pPr>
      <w:r>
        <w:t xml:space="preserve">Build on and sustain the strong leadership and partnership working between the business and public sector, underpinned by strong governance and democratic accountability to Local Authority Leaders and Elected Mayors working together. </w:t>
      </w:r>
    </w:p>
    <w:p w:rsidR="00267853" w:rsidRPr="0049779C" w:rsidRDefault="00267853" w:rsidP="00267853">
      <w:pPr>
        <w:pStyle w:val="Maintext"/>
        <w:numPr>
          <w:ilvl w:val="0"/>
          <w:numId w:val="0"/>
        </w:numPr>
        <w:rPr>
          <w:i/>
        </w:rPr>
      </w:pPr>
    </w:p>
    <w:p w:rsidR="00267853" w:rsidRDefault="00267853" w:rsidP="00267853">
      <w:pPr>
        <w:pStyle w:val="Maintext"/>
        <w:numPr>
          <w:ilvl w:val="0"/>
          <w:numId w:val="0"/>
        </w:numPr>
      </w:pPr>
    </w:p>
    <w:p w:rsidR="00267853" w:rsidRDefault="00267853" w:rsidP="00267853">
      <w:pPr>
        <w:pStyle w:val="Heading2"/>
        <w:ind w:left="0"/>
      </w:pPr>
      <w:r w:rsidRPr="005A4664">
        <w:tab/>
      </w:r>
      <w:bookmarkStart w:id="56" w:name="_Toc267412621"/>
      <w:bookmarkStart w:id="57" w:name="_Toc280272410"/>
      <w:bookmarkStart w:id="58" w:name="_Toc333507746"/>
      <w:r w:rsidRPr="005A4664">
        <w:t>Concluding comments</w:t>
      </w:r>
      <w:bookmarkEnd w:id="56"/>
      <w:bookmarkEnd w:id="57"/>
      <w:bookmarkEnd w:id="58"/>
    </w:p>
    <w:p w:rsidR="00267853" w:rsidRDefault="00267853" w:rsidP="00267853">
      <w:pPr>
        <w:pStyle w:val="Maintext"/>
      </w:pPr>
      <w:r w:rsidRPr="005A4664">
        <w:t xml:space="preserve">The main purpose of this chapter has been to consider the general policy and strategic context within which this research needs to be positioned. </w:t>
      </w:r>
      <w:r>
        <w:rPr>
          <w:rFonts w:cs="Arial"/>
        </w:rPr>
        <w:t xml:space="preserve">A new policy framework for housing and planning is emerging. The Government’s housing priorities have been established and set within the context of local decision making and accountability, reduced capital expenditure on housing, fundamental changes to the benefit system, a changing role for social rented housing, and a need for future housing investment to support economic growth. </w:t>
      </w:r>
      <w:r w:rsidRPr="00510B3C">
        <w:rPr>
          <w:rFonts w:cs="Arial"/>
        </w:rPr>
        <w:t>Economic uncertainty, job security</w:t>
      </w:r>
      <w:r w:rsidR="001D4FE1">
        <w:rPr>
          <w:rFonts w:cs="Arial"/>
        </w:rPr>
        <w:t>, reduction in the level of housebuilding</w:t>
      </w:r>
      <w:r w:rsidRPr="00510B3C">
        <w:rPr>
          <w:rFonts w:cs="Arial"/>
        </w:rPr>
        <w:t xml:space="preserve"> and restricted mortgage lending exacerbate the challenges faced</w:t>
      </w:r>
      <w:r>
        <w:rPr>
          <w:rFonts w:cs="Arial"/>
        </w:rPr>
        <w:t xml:space="preserve">. </w:t>
      </w:r>
      <w:r w:rsidRPr="00510B3C">
        <w:rPr>
          <w:rFonts w:cs="Arial"/>
        </w:rPr>
        <w:t xml:space="preserve">  </w:t>
      </w:r>
    </w:p>
    <w:p w:rsidR="00267853" w:rsidRDefault="00267853" w:rsidP="00267853">
      <w:pPr>
        <w:pStyle w:val="Maintext"/>
      </w:pPr>
      <w:r w:rsidRPr="005A4664">
        <w:t>The importance of having robust and up-to-date information to hel</w:t>
      </w:r>
      <w:r>
        <w:t xml:space="preserve">p inform decision making at </w:t>
      </w:r>
      <w:r w:rsidRPr="005A4664">
        <w:t xml:space="preserve">local authority level is </w:t>
      </w:r>
      <w:r>
        <w:t>evermore</w:t>
      </w:r>
      <w:r w:rsidRPr="005A4664">
        <w:t xml:space="preserve"> essential</w:t>
      </w:r>
      <w:r>
        <w:t>.</w:t>
      </w:r>
      <w:r w:rsidRPr="005A4664">
        <w:t xml:space="preserve"> </w:t>
      </w:r>
      <w:r>
        <w:t>In a challenging economic climate, t</w:t>
      </w:r>
      <w:r w:rsidRPr="005A4664">
        <w:t xml:space="preserve">his SHMA provides the </w:t>
      </w:r>
      <w:r>
        <w:t xml:space="preserve">LEP </w:t>
      </w:r>
      <w:r w:rsidRPr="005A4664">
        <w:t xml:space="preserve">and its </w:t>
      </w:r>
      <w:r>
        <w:t xml:space="preserve">local authority </w:t>
      </w:r>
      <w:r w:rsidRPr="005A4664">
        <w:t>partners with an excellent range of material to inform policy debate</w:t>
      </w:r>
      <w:r>
        <w:t>, contribute to the delivery of the Local Investment Plan,</w:t>
      </w:r>
      <w:r w:rsidRPr="005A4664">
        <w:t xml:space="preserve"> help </w:t>
      </w:r>
      <w:r>
        <w:t xml:space="preserve">inform and influence strategic responses, and shape local and sub regional strategic housing priorities to inform future investment plans. </w:t>
      </w:r>
    </w:p>
    <w:p w:rsidR="009E4178" w:rsidRDefault="009E4178"/>
    <w:p w:rsidR="009E4178" w:rsidRDefault="00FB26B6" w:rsidP="00FB26B6">
      <w:pPr>
        <w:pStyle w:val="Heading2"/>
        <w:ind w:left="0"/>
      </w:pPr>
      <w:bookmarkStart w:id="59" w:name="_Toc225941510"/>
      <w:r>
        <w:tab/>
      </w:r>
      <w:bookmarkStart w:id="60" w:name="_Toc279661973"/>
    </w:p>
    <w:p w:rsidR="003A6F13" w:rsidRDefault="001A68A7">
      <w:pPr>
        <w:pStyle w:val="Heading1"/>
      </w:pPr>
      <w:bookmarkStart w:id="61" w:name="_Toc225941524"/>
      <w:bookmarkEnd w:id="35"/>
      <w:bookmarkEnd w:id="36"/>
      <w:bookmarkEnd w:id="37"/>
      <w:bookmarkEnd w:id="38"/>
      <w:bookmarkEnd w:id="39"/>
      <w:bookmarkEnd w:id="40"/>
      <w:bookmarkEnd w:id="41"/>
      <w:bookmarkEnd w:id="42"/>
      <w:bookmarkEnd w:id="43"/>
      <w:bookmarkEnd w:id="44"/>
      <w:bookmarkEnd w:id="45"/>
      <w:bookmarkEnd w:id="59"/>
      <w:bookmarkEnd w:id="60"/>
      <w:r>
        <w:br w:type="page"/>
      </w:r>
      <w:bookmarkStart w:id="62" w:name="_Toc333507747"/>
      <w:r w:rsidR="00BB2307">
        <w:rPr>
          <w:rFonts w:hint="eastAsia"/>
        </w:rPr>
        <w:t>County Durham</w:t>
      </w:r>
      <w:r w:rsidR="00FE53D9">
        <w:t xml:space="preserve"> </w:t>
      </w:r>
      <w:r w:rsidR="003A6F13">
        <w:t>Housing Market Context</w:t>
      </w:r>
      <w:bookmarkEnd w:id="61"/>
      <w:bookmarkEnd w:id="62"/>
    </w:p>
    <w:p w:rsidR="003A6F13" w:rsidRDefault="003A6F13"/>
    <w:p w:rsidR="003A6F13" w:rsidRDefault="003A6F13">
      <w:pPr>
        <w:pStyle w:val="Heading2"/>
      </w:pPr>
      <w:bookmarkStart w:id="63" w:name="_Toc225941525"/>
      <w:bookmarkStart w:id="64" w:name="_Toc333507748"/>
      <w:r>
        <w:t>Introduction</w:t>
      </w:r>
      <w:bookmarkEnd w:id="63"/>
      <w:bookmarkEnd w:id="64"/>
    </w:p>
    <w:p w:rsidR="003A6F13" w:rsidRDefault="003A6F13"/>
    <w:p w:rsidR="003A6F13" w:rsidRDefault="00BB2307" w:rsidP="00BC7E94">
      <w:pPr>
        <w:pStyle w:val="Maintext"/>
      </w:pPr>
      <w:r>
        <w:t>County Durham</w:t>
      </w:r>
      <w:r w:rsidR="00FE53D9">
        <w:t xml:space="preserve"> is located in the North East of England </w:t>
      </w:r>
      <w:r w:rsidR="00CC01B9">
        <w:t>and</w:t>
      </w:r>
      <w:r w:rsidR="00FE53D9">
        <w:t xml:space="preserve"> </w:t>
      </w:r>
      <w:r w:rsidR="00CC01B9">
        <w:t>its resident population</w:t>
      </w:r>
      <w:r w:rsidR="003E6273">
        <w:t xml:space="preserve"> in 2011</w:t>
      </w:r>
      <w:r w:rsidR="0029556F">
        <w:t xml:space="preserve"> was</w:t>
      </w:r>
      <w:r w:rsidR="00FE53D9">
        <w:t xml:space="preserve"> </w:t>
      </w:r>
      <w:r w:rsidR="003E6273">
        <w:t>512,994, which is projected to have increased to 518,330 in 2013</w:t>
      </w:r>
      <w:r w:rsidR="00FE53D9">
        <w:rPr>
          <w:rStyle w:val="FootnoteReference"/>
        </w:rPr>
        <w:footnoteReference w:id="10"/>
      </w:r>
      <w:r w:rsidR="00BC7E94">
        <w:t xml:space="preserve">. </w:t>
      </w:r>
      <w:r w:rsidR="006B50E3">
        <w:t xml:space="preserve">This study provides an opportunity to review the </w:t>
      </w:r>
      <w:r w:rsidR="00A70416">
        <w:t xml:space="preserve">housing market dynamics of the </w:t>
      </w:r>
      <w:r w:rsidR="00BC7E94">
        <w:t>County Durham</w:t>
      </w:r>
      <w:r w:rsidR="00667143">
        <w:t xml:space="preserve"> area</w:t>
      </w:r>
      <w:r w:rsidR="00BC7E94">
        <w:t xml:space="preserve"> and its interactions with other areas</w:t>
      </w:r>
      <w:r w:rsidR="00667143">
        <w:t xml:space="preserve">. </w:t>
      </w:r>
      <w:r w:rsidR="005D7D0B">
        <w:t>Housing market a</w:t>
      </w:r>
      <w:r w:rsidR="00B440F0">
        <w:t>rea</w:t>
      </w:r>
      <w:r w:rsidR="003A6F13">
        <w:t>s are:</w:t>
      </w:r>
    </w:p>
    <w:p w:rsidR="003A6F13" w:rsidRDefault="003A6F13">
      <w:pPr>
        <w:pStyle w:val="Maintext"/>
        <w:numPr>
          <w:ilvl w:val="0"/>
          <w:numId w:val="0"/>
        </w:numPr>
        <w:ind w:left="1418" w:right="1418"/>
      </w:pPr>
      <w:r>
        <w:t xml:space="preserve">“defined by household demand and preferences for housing.  They reflect the key functional linkages between places where people live and work.” </w:t>
      </w:r>
      <w:r>
        <w:rPr>
          <w:rStyle w:val="FootnoteReference"/>
        </w:rPr>
        <w:footnoteReference w:id="11"/>
      </w:r>
    </w:p>
    <w:p w:rsidR="003A6F13" w:rsidRDefault="003A6F13">
      <w:pPr>
        <w:pStyle w:val="Maintext"/>
      </w:pPr>
      <w:r>
        <w:t>CLG guidance on assessing market areas suggests three core sources of information:</w:t>
      </w:r>
    </w:p>
    <w:p w:rsidR="003A6F13" w:rsidRDefault="003A6F13">
      <w:pPr>
        <w:pStyle w:val="Maintext"/>
        <w:numPr>
          <w:ilvl w:val="2"/>
          <w:numId w:val="2"/>
        </w:numPr>
      </w:pPr>
      <w:r>
        <w:t>House prices and rates of change;</w:t>
      </w:r>
    </w:p>
    <w:p w:rsidR="003A6F13" w:rsidRDefault="003A6F13">
      <w:pPr>
        <w:pStyle w:val="Maintext"/>
        <w:numPr>
          <w:ilvl w:val="2"/>
          <w:numId w:val="2"/>
        </w:numPr>
      </w:pPr>
      <w:r>
        <w:t>Household migration and search behaviour;</w:t>
      </w:r>
    </w:p>
    <w:p w:rsidR="003A6F13" w:rsidRDefault="003A6F13">
      <w:pPr>
        <w:pStyle w:val="Maintext"/>
        <w:numPr>
          <w:ilvl w:val="2"/>
          <w:numId w:val="2"/>
        </w:numPr>
      </w:pPr>
      <w:r>
        <w:t>Contextual data such as travel to work areas, which reflect the functional relationships between places where people work and live.</w:t>
      </w:r>
    </w:p>
    <w:p w:rsidR="003A6F13" w:rsidRDefault="003A6F13">
      <w:pPr>
        <w:pStyle w:val="Maintext"/>
      </w:pPr>
      <w:r>
        <w:t xml:space="preserve">This chapter proceeds with a </w:t>
      </w:r>
      <w:r>
        <w:rPr>
          <w:b/>
        </w:rPr>
        <w:t>review of house prices</w:t>
      </w:r>
      <w:r>
        <w:t xml:space="preserve">, rates of change and comparisons with sub-regional and national trends.  The </w:t>
      </w:r>
      <w:r>
        <w:rPr>
          <w:b/>
        </w:rPr>
        <w:t>relative affordability</w:t>
      </w:r>
      <w:r>
        <w:t xml:space="preserve"> of dwellings and change over time is explored.  </w:t>
      </w:r>
      <w:r>
        <w:rPr>
          <w:b/>
        </w:rPr>
        <w:t>Household migration and search</w:t>
      </w:r>
      <w:r>
        <w:t xml:space="preserve"> behaviour is analysed, drawing upon national migration data and the characteristics of moving households is review</w:t>
      </w:r>
      <w:r w:rsidR="00A70416">
        <w:t>ed through household survey information collected as part of this research project</w:t>
      </w:r>
      <w:r>
        <w:t xml:space="preserve">.  </w:t>
      </w:r>
    </w:p>
    <w:p w:rsidR="003A6F13" w:rsidRDefault="003A6F13">
      <w:pPr>
        <w:pStyle w:val="Maintext"/>
      </w:pPr>
      <w:r>
        <w:t xml:space="preserve">The chapter continues with a review of </w:t>
      </w:r>
      <w:r>
        <w:rPr>
          <w:b/>
        </w:rPr>
        <w:t xml:space="preserve">travel to work </w:t>
      </w:r>
      <w:r w:rsidR="003E6273">
        <w:t>trends drawing upon 201</w:t>
      </w:r>
      <w:r>
        <w:t xml:space="preserve">1 census and household survey evidence.  Material in the chapter helps to establish the </w:t>
      </w:r>
      <w:r>
        <w:rPr>
          <w:b/>
        </w:rPr>
        <w:t xml:space="preserve">general housing market context </w:t>
      </w:r>
      <w:r>
        <w:t xml:space="preserve">of </w:t>
      </w:r>
      <w:r w:rsidR="00A83D18">
        <w:t>County Durham</w:t>
      </w:r>
      <w:r>
        <w:t xml:space="preserve">. This is further explored through Estate Agent interviews. </w:t>
      </w:r>
    </w:p>
    <w:p w:rsidR="003A6F13" w:rsidRDefault="003A6F13">
      <w:pPr>
        <w:pStyle w:val="Heading2"/>
        <w:ind w:left="0"/>
      </w:pPr>
      <w:bookmarkStart w:id="65" w:name="_Toc225941526"/>
      <w:r>
        <w:tab/>
      </w:r>
    </w:p>
    <w:p w:rsidR="00937690" w:rsidRDefault="00937690" w:rsidP="00937690">
      <w:pPr>
        <w:pStyle w:val="Heading2"/>
        <w:ind w:left="0"/>
      </w:pPr>
      <w:r>
        <w:tab/>
      </w:r>
      <w:bookmarkStart w:id="66" w:name="_Toc333507749"/>
      <w:r>
        <w:t>House prices and trends</w:t>
      </w:r>
      <w:bookmarkEnd w:id="66"/>
    </w:p>
    <w:p w:rsidR="00937690" w:rsidRDefault="00937690" w:rsidP="00937690">
      <w:pPr>
        <w:pStyle w:val="Maintext"/>
      </w:pPr>
      <w:r w:rsidRPr="002D3C99">
        <w:t xml:space="preserve">Figure 3.1 shows how house prices across </w:t>
      </w:r>
      <w:r w:rsidR="00BC7E94">
        <w:t>County Durham</w:t>
      </w:r>
      <w:r>
        <w:t xml:space="preserve"> </w:t>
      </w:r>
      <w:r w:rsidRPr="002D3C99">
        <w:t>have chan</w:t>
      </w:r>
      <w:r>
        <w:t>ged over the peri</w:t>
      </w:r>
      <w:r w:rsidR="008241F2">
        <w:t>od 2000 to 2012</w:t>
      </w:r>
      <w:r w:rsidR="00BC7E94">
        <w:t xml:space="preserve"> relative to changes across the North East region.</w:t>
      </w:r>
    </w:p>
    <w:p w:rsidR="003A6F13" w:rsidRDefault="003A6F13"/>
    <w:p w:rsidR="00267853" w:rsidRDefault="00267853"/>
    <w:bookmarkEnd w:id="65"/>
    <w:p w:rsidR="00937690" w:rsidRDefault="00937690">
      <w:pPr>
        <w:pStyle w:val="Maintext"/>
        <w:numPr>
          <w:ilvl w:val="0"/>
          <w:numId w:val="0"/>
        </w:numPr>
        <w:ind w:left="2160" w:hanging="1451"/>
        <w:rPr>
          <w:b/>
        </w:rPr>
        <w:sectPr w:rsidR="00937690" w:rsidSect="009445F7">
          <w:headerReference w:type="default" r:id="rId13"/>
          <w:footerReference w:type="default" r:id="rId14"/>
          <w:pgSz w:w="11906" w:h="16838" w:code="9"/>
          <w:pgMar w:top="1304" w:right="1304" w:bottom="1559" w:left="1304" w:header="709" w:footer="567" w:gutter="0"/>
          <w:cols w:space="708"/>
          <w:titlePg/>
          <w:docGrid w:linePitch="360"/>
        </w:sectPr>
      </w:pPr>
    </w:p>
    <w:p w:rsidR="003A6F13" w:rsidRPr="002D3C99" w:rsidRDefault="003A6F13">
      <w:pPr>
        <w:pStyle w:val="Maintext"/>
        <w:numPr>
          <w:ilvl w:val="0"/>
          <w:numId w:val="0"/>
        </w:numPr>
        <w:ind w:left="2160" w:hanging="1451"/>
      </w:pPr>
      <w:r w:rsidRPr="002D3C99">
        <w:rPr>
          <w:b/>
        </w:rPr>
        <w:t>Figure 3.1</w:t>
      </w:r>
      <w:r w:rsidR="002D3C99">
        <w:tab/>
        <w:t>Median house price trends 2000</w:t>
      </w:r>
      <w:r w:rsidR="008241F2">
        <w:t xml:space="preserve"> to 2012</w:t>
      </w:r>
      <w:r w:rsidRPr="002D3C99">
        <w:t xml:space="preserve">: </w:t>
      </w:r>
      <w:r w:rsidR="00BC7E94">
        <w:t>County Durham</w:t>
      </w:r>
      <w:r w:rsidR="004307F9">
        <w:t xml:space="preserve"> and the North East</w:t>
      </w:r>
    </w:p>
    <w:p w:rsidR="003A6F13" w:rsidRDefault="00512FFE" w:rsidP="004307F9">
      <w:pPr>
        <w:pStyle w:val="Maintext"/>
        <w:numPr>
          <w:ilvl w:val="0"/>
          <w:numId w:val="0"/>
        </w:numPr>
        <w:ind w:left="1451" w:hanging="1451"/>
        <w:rPr>
          <w:i/>
        </w:rPr>
      </w:pPr>
      <w:r w:rsidRPr="00512FFE">
        <w:rPr>
          <w:i/>
          <w:noProof/>
          <w:lang w:eastAsia="en-GB"/>
        </w:rPr>
        <w:drawing>
          <wp:inline distT="0" distB="0" distL="0" distR="0">
            <wp:extent cx="7592060" cy="3350260"/>
            <wp:effectExtent l="19050" t="0" r="889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7592060" cy="3350260"/>
                    </a:xfrm>
                    <a:prstGeom prst="rect">
                      <a:avLst/>
                    </a:prstGeom>
                    <a:noFill/>
                    <a:ln w="9525">
                      <a:noFill/>
                      <a:miter lim="800000"/>
                      <a:headEnd/>
                      <a:tailEnd/>
                    </a:ln>
                  </pic:spPr>
                </pic:pic>
              </a:graphicData>
            </a:graphic>
          </wp:inline>
        </w:drawing>
      </w:r>
    </w:p>
    <w:p w:rsidR="00512FFE" w:rsidRPr="00FC48BE" w:rsidRDefault="00512FFE" w:rsidP="004307F9">
      <w:pPr>
        <w:pStyle w:val="Maintext"/>
        <w:numPr>
          <w:ilvl w:val="0"/>
          <w:numId w:val="0"/>
        </w:numPr>
        <w:ind w:left="1451" w:hanging="1451"/>
        <w:rPr>
          <w:i/>
        </w:rPr>
      </w:pPr>
    </w:p>
    <w:p w:rsidR="003A6F13" w:rsidRPr="00EA7BB1" w:rsidRDefault="003A6F13">
      <w:pPr>
        <w:pStyle w:val="Maintext"/>
        <w:numPr>
          <w:ilvl w:val="0"/>
          <w:numId w:val="0"/>
        </w:numPr>
        <w:ind w:left="1418" w:hanging="709"/>
        <w:rPr>
          <w:sz w:val="20"/>
          <w:szCs w:val="20"/>
        </w:rPr>
      </w:pPr>
      <w:r w:rsidRPr="00EA7BB1">
        <w:rPr>
          <w:sz w:val="20"/>
          <w:szCs w:val="20"/>
        </w:rPr>
        <w:t xml:space="preserve">Source: </w:t>
      </w:r>
      <w:r w:rsidR="00143189">
        <w:rPr>
          <w:sz w:val="20"/>
          <w:szCs w:val="20"/>
        </w:rPr>
        <w:t xml:space="preserve">DCLG; </w:t>
      </w:r>
      <w:r w:rsidRPr="00EA7BB1">
        <w:rPr>
          <w:sz w:val="20"/>
          <w:szCs w:val="20"/>
        </w:rPr>
        <w:t>Land Registry</w:t>
      </w:r>
      <w:r w:rsidR="00143189">
        <w:rPr>
          <w:sz w:val="20"/>
          <w:szCs w:val="20"/>
        </w:rPr>
        <w:t xml:space="preserve"> </w:t>
      </w:r>
    </w:p>
    <w:p w:rsidR="00937690" w:rsidRDefault="00937690" w:rsidP="001251F0">
      <w:pPr>
        <w:pStyle w:val="Maintext"/>
        <w:numPr>
          <w:ilvl w:val="0"/>
          <w:numId w:val="0"/>
        </w:numPr>
        <w:ind w:left="709"/>
        <w:sectPr w:rsidR="00937690" w:rsidSect="00937690">
          <w:pgSz w:w="16838" w:h="11906" w:orient="landscape" w:code="9"/>
          <w:pgMar w:top="1304" w:right="1304" w:bottom="1304" w:left="1559" w:header="709" w:footer="567" w:gutter="0"/>
          <w:cols w:space="708"/>
          <w:titlePg/>
          <w:docGrid w:linePitch="360"/>
        </w:sectPr>
      </w:pPr>
    </w:p>
    <w:p w:rsidR="00267853" w:rsidRDefault="000C3A48" w:rsidP="004307F9">
      <w:pPr>
        <w:pStyle w:val="Maintext"/>
      </w:pPr>
      <w:r>
        <w:t>Median house prices across</w:t>
      </w:r>
      <w:r w:rsidR="00267853">
        <w:t xml:space="preserve"> </w:t>
      </w:r>
      <w:r>
        <w:t>County Durham have generally lagged behind the regional median figure (with the exception of late 2008 when there was a notable increase in median prices). Median prices have increased from £</w:t>
      </w:r>
      <w:r w:rsidR="003D1628">
        <w:t>45,450 in 2000 to</w:t>
      </w:r>
      <w:r w:rsidR="002C5A8D">
        <w:t xml:space="preserve"> £</w:t>
      </w:r>
      <w:r w:rsidR="008241F2">
        <w:t>100,000 in 2012, an increase of 120</w:t>
      </w:r>
      <w:r w:rsidR="003D1628">
        <w:t>%</w:t>
      </w:r>
      <w:r w:rsidR="00267853">
        <w:t xml:space="preserve">. </w:t>
      </w:r>
    </w:p>
    <w:p w:rsidR="002C5A8D" w:rsidRDefault="002C5A8D" w:rsidP="004307F9">
      <w:pPr>
        <w:pStyle w:val="Maintext"/>
      </w:pPr>
      <w:r>
        <w:t>Lower quartile prices have increased from £30,000 to £</w:t>
      </w:r>
      <w:r w:rsidR="008241F2">
        <w:t>70</w:t>
      </w:r>
      <w:r>
        <w:t>,</w:t>
      </w:r>
      <w:r w:rsidR="008241F2">
        <w:t>000 over the period 2000 to 2012</w:t>
      </w:r>
      <w:r>
        <w:t xml:space="preserve"> (a </w:t>
      </w:r>
      <w:r w:rsidR="008241F2">
        <w:t>133.3</w:t>
      </w:r>
      <w:r>
        <w:t>%) increase).</w:t>
      </w:r>
    </w:p>
    <w:p w:rsidR="00143189" w:rsidRDefault="00143189" w:rsidP="00937690">
      <w:pPr>
        <w:pStyle w:val="Maintext"/>
      </w:pPr>
      <w:r>
        <w:t xml:space="preserve">Table 3.1 summarises lower quartile, median and upper quartile prices over the period </w:t>
      </w:r>
      <w:r w:rsidR="008241F2">
        <w:t>February 2012 to January 2013</w:t>
      </w:r>
      <w:r>
        <w:t xml:space="preserve"> based on address-level data</w:t>
      </w:r>
      <w:r w:rsidR="002C5A8D">
        <w:t xml:space="preserve"> for </w:t>
      </w:r>
      <w:r w:rsidR="008241F2">
        <w:t>sub-</w:t>
      </w:r>
      <w:r w:rsidR="0083534C">
        <w:t>area</w:t>
      </w:r>
      <w:r w:rsidR="002C5A8D">
        <w:t>s within County Durham</w:t>
      </w:r>
      <w:r>
        <w:t>.</w:t>
      </w:r>
      <w:r w:rsidR="005159AA">
        <w:t xml:space="preserve"> Please note there is a slight variation between CLG published data and data derived from </w:t>
      </w:r>
      <w:r w:rsidR="00430191">
        <w:t>address-level house price information.</w:t>
      </w:r>
    </w:p>
    <w:p w:rsidR="003D1628" w:rsidRDefault="003D1628" w:rsidP="00937690">
      <w:pPr>
        <w:pStyle w:val="Maintext"/>
      </w:pPr>
      <w:r>
        <w:t>Map 3.1 illustrates the distribution</w:t>
      </w:r>
      <w:r w:rsidR="00937690">
        <w:t xml:space="preserve"> of </w:t>
      </w:r>
      <w:r>
        <w:t xml:space="preserve">average house prices </w:t>
      </w:r>
      <w:r w:rsidR="002C5A8D">
        <w:t>across County Durham</w:t>
      </w:r>
      <w:r w:rsidR="00937690">
        <w:t xml:space="preserve">, highlighting </w:t>
      </w:r>
      <w:r>
        <w:t>pockets of higher prices around Durham City, Chester-le-Street and rural</w:t>
      </w:r>
      <w:r w:rsidR="005400EB">
        <w:t xml:space="preserve"> areas; and lower prices particularly in Easington/Peterlee, Stanley</w:t>
      </w:r>
    </w:p>
    <w:p w:rsidR="00967514" w:rsidRDefault="00967514" w:rsidP="00967514">
      <w:pPr>
        <w:pStyle w:val="Maintext"/>
        <w:numPr>
          <w:ilvl w:val="0"/>
          <w:numId w:val="0"/>
        </w:numPr>
        <w:ind w:firstLine="709"/>
        <w:rPr>
          <w:b/>
        </w:rPr>
      </w:pPr>
    </w:p>
    <w:p w:rsidR="00143189" w:rsidRDefault="00143189" w:rsidP="005400EB">
      <w:pPr>
        <w:pStyle w:val="Maintext"/>
        <w:numPr>
          <w:ilvl w:val="0"/>
          <w:numId w:val="0"/>
        </w:numPr>
        <w:ind w:left="2160" w:hanging="1451"/>
      </w:pPr>
      <w:r w:rsidRPr="00016C2F">
        <w:rPr>
          <w:b/>
        </w:rPr>
        <w:t>Table 3.1</w:t>
      </w:r>
      <w:r w:rsidR="00967514">
        <w:tab/>
        <w:t xml:space="preserve">House prices in County Durham </w:t>
      </w:r>
      <w:r w:rsidR="008241F2">
        <w:t>Feb 2012</w:t>
      </w:r>
      <w:r w:rsidR="005400EB">
        <w:t xml:space="preserve"> to </w:t>
      </w:r>
      <w:r w:rsidR="00FA409F">
        <w:t>January</w:t>
      </w:r>
      <w:r w:rsidR="005400EB">
        <w:t xml:space="preserve"> 201</w:t>
      </w:r>
      <w:r w:rsidR="008241F2">
        <w:t>3</w:t>
      </w:r>
      <w:r w:rsidR="005400EB">
        <w:t xml:space="preserve"> </w:t>
      </w:r>
      <w:r w:rsidR="00967514">
        <w:t xml:space="preserve">by </w:t>
      </w:r>
      <w:r w:rsidR="0083534C">
        <w:t>Su</w:t>
      </w:r>
      <w:r w:rsidR="008241F2">
        <w:t>b</w:t>
      </w:r>
      <w:r w:rsidR="0083534C">
        <w:t xml:space="preserve"> area</w:t>
      </w:r>
    </w:p>
    <w:tbl>
      <w:tblPr>
        <w:tblW w:w="7938" w:type="dxa"/>
        <w:tblInd w:w="96" w:type="dxa"/>
        <w:tblLook w:val="04A0" w:firstRow="1" w:lastRow="0" w:firstColumn="1" w:lastColumn="0" w:noHBand="0" w:noVBand="1"/>
      </w:tblPr>
      <w:tblGrid>
        <w:gridCol w:w="2480"/>
        <w:gridCol w:w="1360"/>
        <w:gridCol w:w="1051"/>
        <w:gridCol w:w="1680"/>
        <w:gridCol w:w="1458"/>
      </w:tblGrid>
      <w:tr w:rsidR="008241F2" w:rsidRPr="008241F2" w:rsidTr="008241F2">
        <w:trPr>
          <w:trHeight w:val="255"/>
        </w:trPr>
        <w:tc>
          <w:tcPr>
            <w:tcW w:w="2480" w:type="dxa"/>
            <w:tcBorders>
              <w:top w:val="single" w:sz="4" w:space="0" w:color="auto"/>
              <w:left w:val="single" w:sz="4" w:space="0" w:color="auto"/>
              <w:bottom w:val="nil"/>
              <w:right w:val="single" w:sz="4" w:space="0" w:color="auto"/>
            </w:tcBorders>
            <w:shd w:val="clear" w:color="000000" w:fill="008080"/>
            <w:noWrap/>
            <w:vAlign w:val="bottom"/>
            <w:hideMark/>
          </w:tcPr>
          <w:p w:rsidR="008241F2" w:rsidRPr="008241F2" w:rsidRDefault="008241F2" w:rsidP="008241F2">
            <w:pPr>
              <w:spacing w:before="0" w:after="0"/>
              <w:rPr>
                <w:rFonts w:cs="Arial"/>
                <w:b/>
                <w:bCs/>
                <w:color w:val="FFFFFF"/>
                <w:sz w:val="20"/>
                <w:szCs w:val="20"/>
                <w:lang w:eastAsia="en-GB"/>
              </w:rPr>
            </w:pPr>
            <w:r w:rsidRPr="008241F2">
              <w:rPr>
                <w:rFonts w:cs="Arial"/>
                <w:b/>
                <w:bCs/>
                <w:color w:val="FFFFFF"/>
                <w:sz w:val="20"/>
                <w:szCs w:val="20"/>
                <w:lang w:eastAsia="en-GB"/>
              </w:rPr>
              <w:t>Sub-area</w:t>
            </w:r>
          </w:p>
        </w:tc>
        <w:tc>
          <w:tcPr>
            <w:tcW w:w="1360" w:type="dxa"/>
            <w:tcBorders>
              <w:top w:val="single" w:sz="4" w:space="0" w:color="auto"/>
              <w:left w:val="nil"/>
              <w:bottom w:val="single" w:sz="4" w:space="0" w:color="auto"/>
              <w:right w:val="nil"/>
            </w:tcBorders>
            <w:shd w:val="clear" w:color="000000" w:fill="008080"/>
            <w:noWrap/>
            <w:vAlign w:val="bottom"/>
            <w:hideMark/>
          </w:tcPr>
          <w:p w:rsidR="008241F2" w:rsidRPr="008241F2" w:rsidRDefault="008241F2" w:rsidP="008241F2">
            <w:pPr>
              <w:spacing w:before="0" w:after="0"/>
              <w:rPr>
                <w:rFonts w:cs="Arial"/>
                <w:b/>
                <w:bCs/>
                <w:color w:val="FFFFFF"/>
                <w:sz w:val="20"/>
                <w:szCs w:val="20"/>
                <w:lang w:eastAsia="en-GB"/>
              </w:rPr>
            </w:pPr>
            <w:r w:rsidRPr="008241F2">
              <w:rPr>
                <w:rFonts w:cs="Arial"/>
                <w:b/>
                <w:bCs/>
                <w:color w:val="FFFFFF"/>
                <w:sz w:val="20"/>
                <w:szCs w:val="20"/>
                <w:lang w:eastAsia="en-GB"/>
              </w:rPr>
              <w:t>Price</w:t>
            </w:r>
          </w:p>
        </w:tc>
        <w:tc>
          <w:tcPr>
            <w:tcW w:w="960" w:type="dxa"/>
            <w:tcBorders>
              <w:top w:val="single" w:sz="4" w:space="0" w:color="auto"/>
              <w:left w:val="nil"/>
              <w:bottom w:val="single" w:sz="4" w:space="0" w:color="auto"/>
              <w:right w:val="nil"/>
            </w:tcBorders>
            <w:shd w:val="clear" w:color="000000" w:fill="008080"/>
            <w:noWrap/>
            <w:vAlign w:val="bottom"/>
            <w:hideMark/>
          </w:tcPr>
          <w:p w:rsidR="008241F2" w:rsidRPr="008241F2" w:rsidRDefault="008241F2" w:rsidP="008241F2">
            <w:pPr>
              <w:spacing w:before="0" w:after="0"/>
              <w:rPr>
                <w:rFonts w:cs="Arial"/>
                <w:color w:val="FFFFFF"/>
                <w:sz w:val="20"/>
                <w:szCs w:val="20"/>
                <w:lang w:eastAsia="en-GB"/>
              </w:rPr>
            </w:pPr>
            <w:r w:rsidRPr="008241F2">
              <w:rPr>
                <w:rFonts w:cs="Arial"/>
                <w:color w:val="FFFFFF"/>
                <w:sz w:val="20"/>
                <w:szCs w:val="20"/>
                <w:lang w:eastAsia="en-GB"/>
              </w:rPr>
              <w:t> </w:t>
            </w:r>
          </w:p>
        </w:tc>
        <w:tc>
          <w:tcPr>
            <w:tcW w:w="1680" w:type="dxa"/>
            <w:tcBorders>
              <w:top w:val="single" w:sz="4" w:space="0" w:color="auto"/>
              <w:left w:val="nil"/>
              <w:bottom w:val="single" w:sz="4" w:space="0" w:color="auto"/>
              <w:right w:val="nil"/>
            </w:tcBorders>
            <w:shd w:val="clear" w:color="000000" w:fill="008080"/>
            <w:noWrap/>
            <w:vAlign w:val="bottom"/>
            <w:hideMark/>
          </w:tcPr>
          <w:p w:rsidR="008241F2" w:rsidRPr="008241F2" w:rsidRDefault="008241F2" w:rsidP="008241F2">
            <w:pPr>
              <w:spacing w:before="0" w:after="0"/>
              <w:rPr>
                <w:rFonts w:cs="Arial"/>
                <w:color w:val="FFFFFF"/>
                <w:sz w:val="20"/>
                <w:szCs w:val="20"/>
                <w:lang w:eastAsia="en-GB"/>
              </w:rPr>
            </w:pPr>
            <w:r w:rsidRPr="008241F2">
              <w:rPr>
                <w:rFonts w:cs="Arial"/>
                <w:color w:val="FFFFFF"/>
                <w:sz w:val="20"/>
                <w:szCs w:val="20"/>
                <w:lang w:eastAsia="en-GB"/>
              </w:rPr>
              <w:t> </w:t>
            </w:r>
          </w:p>
        </w:tc>
        <w:tc>
          <w:tcPr>
            <w:tcW w:w="1458" w:type="dxa"/>
            <w:tcBorders>
              <w:top w:val="single" w:sz="4" w:space="0" w:color="auto"/>
              <w:left w:val="nil"/>
              <w:bottom w:val="single" w:sz="4" w:space="0" w:color="auto"/>
              <w:right w:val="single" w:sz="4" w:space="0" w:color="auto"/>
            </w:tcBorders>
            <w:shd w:val="clear" w:color="000000" w:fill="008080"/>
            <w:noWrap/>
            <w:vAlign w:val="bottom"/>
            <w:hideMark/>
          </w:tcPr>
          <w:p w:rsidR="008241F2" w:rsidRPr="008241F2" w:rsidRDefault="008241F2" w:rsidP="008241F2">
            <w:pPr>
              <w:spacing w:before="0" w:after="0"/>
              <w:rPr>
                <w:rFonts w:cs="Arial"/>
                <w:color w:val="FFFFFF"/>
                <w:sz w:val="20"/>
                <w:szCs w:val="20"/>
                <w:lang w:eastAsia="en-GB"/>
              </w:rPr>
            </w:pPr>
            <w:r w:rsidRPr="008241F2">
              <w:rPr>
                <w:rFonts w:cs="Arial"/>
                <w:color w:val="FFFFFF"/>
                <w:sz w:val="20"/>
                <w:szCs w:val="20"/>
                <w:lang w:eastAsia="en-GB"/>
              </w:rPr>
              <w:t> </w:t>
            </w:r>
          </w:p>
        </w:tc>
      </w:tr>
      <w:tr w:rsidR="008241F2" w:rsidRPr="008241F2" w:rsidTr="008241F2">
        <w:trPr>
          <w:trHeight w:val="255"/>
        </w:trPr>
        <w:tc>
          <w:tcPr>
            <w:tcW w:w="2480" w:type="dxa"/>
            <w:tcBorders>
              <w:top w:val="nil"/>
              <w:left w:val="single" w:sz="4" w:space="0" w:color="auto"/>
              <w:bottom w:val="single" w:sz="4" w:space="0" w:color="auto"/>
              <w:right w:val="single" w:sz="4" w:space="0" w:color="auto"/>
            </w:tcBorders>
            <w:shd w:val="clear" w:color="000000" w:fill="008080"/>
            <w:noWrap/>
            <w:vAlign w:val="bottom"/>
            <w:hideMark/>
          </w:tcPr>
          <w:p w:rsidR="008241F2" w:rsidRPr="008241F2" w:rsidRDefault="008241F2" w:rsidP="008241F2">
            <w:pPr>
              <w:spacing w:before="0" w:after="0"/>
              <w:rPr>
                <w:rFonts w:cs="Arial"/>
                <w:color w:val="FFFFFF"/>
                <w:sz w:val="20"/>
                <w:szCs w:val="20"/>
                <w:lang w:eastAsia="en-GB"/>
              </w:rPr>
            </w:pPr>
            <w:r w:rsidRPr="008241F2">
              <w:rPr>
                <w:rFonts w:cs="Arial"/>
                <w:color w:val="FFFFFF"/>
                <w:sz w:val="20"/>
                <w:szCs w:val="20"/>
                <w:lang w:eastAsia="en-GB"/>
              </w:rPr>
              <w:t> </w:t>
            </w:r>
          </w:p>
        </w:tc>
        <w:tc>
          <w:tcPr>
            <w:tcW w:w="1360" w:type="dxa"/>
            <w:tcBorders>
              <w:top w:val="nil"/>
              <w:left w:val="nil"/>
              <w:bottom w:val="single" w:sz="4" w:space="0" w:color="auto"/>
              <w:right w:val="single" w:sz="4" w:space="0" w:color="auto"/>
            </w:tcBorders>
            <w:shd w:val="clear" w:color="000000" w:fill="008080"/>
            <w:noWrap/>
            <w:vAlign w:val="bottom"/>
            <w:hideMark/>
          </w:tcPr>
          <w:p w:rsidR="008241F2" w:rsidRPr="008241F2" w:rsidRDefault="008241F2" w:rsidP="008241F2">
            <w:pPr>
              <w:spacing w:before="0" w:after="0"/>
              <w:jc w:val="center"/>
              <w:rPr>
                <w:rFonts w:cs="Arial"/>
                <w:color w:val="FFFFFF"/>
                <w:sz w:val="20"/>
                <w:szCs w:val="20"/>
                <w:lang w:eastAsia="en-GB"/>
              </w:rPr>
            </w:pPr>
            <w:r w:rsidRPr="008241F2">
              <w:rPr>
                <w:rFonts w:cs="Arial"/>
                <w:color w:val="FFFFFF"/>
                <w:sz w:val="20"/>
                <w:szCs w:val="20"/>
                <w:lang w:eastAsia="en-GB"/>
              </w:rPr>
              <w:t>Lower Quartile</w:t>
            </w:r>
          </w:p>
        </w:tc>
        <w:tc>
          <w:tcPr>
            <w:tcW w:w="960" w:type="dxa"/>
            <w:tcBorders>
              <w:top w:val="nil"/>
              <w:left w:val="nil"/>
              <w:bottom w:val="single" w:sz="4" w:space="0" w:color="auto"/>
              <w:right w:val="single" w:sz="4" w:space="0" w:color="auto"/>
            </w:tcBorders>
            <w:shd w:val="clear" w:color="000000" w:fill="008080"/>
            <w:noWrap/>
            <w:vAlign w:val="bottom"/>
            <w:hideMark/>
          </w:tcPr>
          <w:p w:rsidR="008241F2" w:rsidRPr="008241F2" w:rsidRDefault="008241F2" w:rsidP="008241F2">
            <w:pPr>
              <w:spacing w:before="0" w:after="0"/>
              <w:jc w:val="center"/>
              <w:rPr>
                <w:rFonts w:cs="Arial"/>
                <w:color w:val="FFFFFF"/>
                <w:sz w:val="20"/>
                <w:szCs w:val="20"/>
                <w:lang w:eastAsia="en-GB"/>
              </w:rPr>
            </w:pPr>
            <w:r w:rsidRPr="008241F2">
              <w:rPr>
                <w:rFonts w:cs="Arial"/>
                <w:color w:val="FFFFFF"/>
                <w:sz w:val="20"/>
                <w:szCs w:val="20"/>
                <w:lang w:eastAsia="en-GB"/>
              </w:rPr>
              <w:t>Median</w:t>
            </w:r>
          </w:p>
        </w:tc>
        <w:tc>
          <w:tcPr>
            <w:tcW w:w="1680" w:type="dxa"/>
            <w:tcBorders>
              <w:top w:val="nil"/>
              <w:left w:val="nil"/>
              <w:bottom w:val="single" w:sz="4" w:space="0" w:color="auto"/>
              <w:right w:val="single" w:sz="4" w:space="0" w:color="auto"/>
            </w:tcBorders>
            <w:shd w:val="clear" w:color="000000" w:fill="008080"/>
            <w:noWrap/>
            <w:vAlign w:val="bottom"/>
            <w:hideMark/>
          </w:tcPr>
          <w:p w:rsidR="008241F2" w:rsidRPr="008241F2" w:rsidRDefault="008241F2" w:rsidP="008241F2">
            <w:pPr>
              <w:spacing w:before="0" w:after="0"/>
              <w:jc w:val="center"/>
              <w:rPr>
                <w:rFonts w:cs="Arial"/>
                <w:color w:val="FFFFFF"/>
                <w:sz w:val="20"/>
                <w:szCs w:val="20"/>
                <w:lang w:eastAsia="en-GB"/>
              </w:rPr>
            </w:pPr>
            <w:r w:rsidRPr="008241F2">
              <w:rPr>
                <w:rFonts w:cs="Arial"/>
                <w:color w:val="FFFFFF"/>
                <w:sz w:val="20"/>
                <w:szCs w:val="20"/>
                <w:lang w:eastAsia="en-GB"/>
              </w:rPr>
              <w:t>Upper Quartile</w:t>
            </w:r>
          </w:p>
        </w:tc>
        <w:tc>
          <w:tcPr>
            <w:tcW w:w="1458" w:type="dxa"/>
            <w:tcBorders>
              <w:top w:val="nil"/>
              <w:left w:val="nil"/>
              <w:bottom w:val="single" w:sz="4" w:space="0" w:color="auto"/>
              <w:right w:val="single" w:sz="4" w:space="0" w:color="auto"/>
            </w:tcBorders>
            <w:shd w:val="clear" w:color="000000" w:fill="008080"/>
            <w:noWrap/>
            <w:vAlign w:val="bottom"/>
            <w:hideMark/>
          </w:tcPr>
          <w:p w:rsidR="008241F2" w:rsidRPr="008241F2" w:rsidRDefault="008241F2" w:rsidP="008241F2">
            <w:pPr>
              <w:spacing w:before="0" w:after="0"/>
              <w:jc w:val="center"/>
              <w:rPr>
                <w:rFonts w:cs="Arial"/>
                <w:color w:val="FFFFFF"/>
                <w:sz w:val="20"/>
                <w:szCs w:val="20"/>
                <w:lang w:eastAsia="en-GB"/>
              </w:rPr>
            </w:pPr>
            <w:r w:rsidRPr="008241F2">
              <w:rPr>
                <w:rFonts w:cs="Arial"/>
                <w:color w:val="FFFFFF"/>
                <w:sz w:val="20"/>
                <w:szCs w:val="20"/>
                <w:lang w:eastAsia="en-GB"/>
              </w:rPr>
              <w:t>Mean (Average)</w:t>
            </w:r>
          </w:p>
        </w:tc>
      </w:tr>
      <w:tr w:rsidR="008241F2" w:rsidRPr="008241F2" w:rsidTr="008241F2">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rPr>
                <w:rFonts w:cs="Arial"/>
                <w:sz w:val="20"/>
                <w:szCs w:val="20"/>
                <w:lang w:eastAsia="en-GB"/>
              </w:rPr>
            </w:pPr>
            <w:r w:rsidRPr="008241F2">
              <w:rPr>
                <w:rFonts w:cs="Arial"/>
                <w:sz w:val="20"/>
                <w:szCs w:val="20"/>
                <w:lang w:eastAsia="en-GB"/>
              </w:rPr>
              <w:t>Central Durham</w:t>
            </w:r>
          </w:p>
        </w:tc>
        <w:tc>
          <w:tcPr>
            <w:tcW w:w="13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£85,000</w:t>
            </w:r>
          </w:p>
        </w:tc>
        <w:tc>
          <w:tcPr>
            <w:tcW w:w="9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£120,500</w:t>
            </w:r>
          </w:p>
        </w:tc>
        <w:tc>
          <w:tcPr>
            <w:tcW w:w="168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£185,000</w:t>
            </w:r>
          </w:p>
        </w:tc>
        <w:tc>
          <w:tcPr>
            <w:tcW w:w="1458"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£151,399</w:t>
            </w:r>
          </w:p>
        </w:tc>
      </w:tr>
      <w:tr w:rsidR="008241F2" w:rsidRPr="008241F2" w:rsidTr="008241F2">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rPr>
                <w:rFonts w:cs="Arial"/>
                <w:sz w:val="20"/>
                <w:szCs w:val="20"/>
                <w:lang w:eastAsia="en-GB"/>
              </w:rPr>
            </w:pPr>
            <w:r w:rsidRPr="008241F2">
              <w:rPr>
                <w:rFonts w:cs="Arial"/>
                <w:sz w:val="20"/>
                <w:szCs w:val="20"/>
                <w:lang w:eastAsia="en-GB"/>
              </w:rPr>
              <w:t>East Durham</w:t>
            </w:r>
          </w:p>
        </w:tc>
        <w:tc>
          <w:tcPr>
            <w:tcW w:w="13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£58,000</w:t>
            </w:r>
          </w:p>
        </w:tc>
        <w:tc>
          <w:tcPr>
            <w:tcW w:w="9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£80,000</w:t>
            </w:r>
          </w:p>
        </w:tc>
        <w:tc>
          <w:tcPr>
            <w:tcW w:w="168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£126,000</w:t>
            </w:r>
          </w:p>
        </w:tc>
        <w:tc>
          <w:tcPr>
            <w:tcW w:w="1458"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£101,732</w:t>
            </w:r>
          </w:p>
        </w:tc>
      </w:tr>
      <w:tr w:rsidR="008241F2" w:rsidRPr="008241F2" w:rsidTr="008241F2">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rPr>
                <w:rFonts w:cs="Arial"/>
                <w:sz w:val="20"/>
                <w:szCs w:val="20"/>
                <w:lang w:eastAsia="en-GB"/>
              </w:rPr>
            </w:pPr>
            <w:r w:rsidRPr="008241F2">
              <w:rPr>
                <w:rFonts w:cs="Arial"/>
                <w:sz w:val="20"/>
                <w:szCs w:val="20"/>
                <w:lang w:eastAsia="en-GB"/>
              </w:rPr>
              <w:t>North Durham</w:t>
            </w:r>
          </w:p>
        </w:tc>
        <w:tc>
          <w:tcPr>
            <w:tcW w:w="13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£67,500</w:t>
            </w:r>
          </w:p>
        </w:tc>
        <w:tc>
          <w:tcPr>
            <w:tcW w:w="9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£99,995</w:t>
            </w:r>
          </w:p>
        </w:tc>
        <w:tc>
          <w:tcPr>
            <w:tcW w:w="168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£147,000</w:t>
            </w:r>
          </w:p>
        </w:tc>
        <w:tc>
          <w:tcPr>
            <w:tcW w:w="1458"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£115,074</w:t>
            </w:r>
          </w:p>
        </w:tc>
      </w:tr>
      <w:tr w:rsidR="008241F2" w:rsidRPr="008241F2" w:rsidTr="008241F2">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rPr>
                <w:rFonts w:cs="Arial"/>
                <w:sz w:val="20"/>
                <w:szCs w:val="20"/>
                <w:lang w:eastAsia="en-GB"/>
              </w:rPr>
            </w:pPr>
            <w:r w:rsidRPr="008241F2">
              <w:rPr>
                <w:rFonts w:cs="Arial"/>
                <w:sz w:val="20"/>
                <w:szCs w:val="20"/>
                <w:lang w:eastAsia="en-GB"/>
              </w:rPr>
              <w:t>South Durham</w:t>
            </w:r>
          </w:p>
        </w:tc>
        <w:tc>
          <w:tcPr>
            <w:tcW w:w="13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£60,000</w:t>
            </w:r>
          </w:p>
        </w:tc>
        <w:tc>
          <w:tcPr>
            <w:tcW w:w="9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£93,500</w:t>
            </w:r>
          </w:p>
        </w:tc>
        <w:tc>
          <w:tcPr>
            <w:tcW w:w="168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£144,995</w:t>
            </w:r>
          </w:p>
        </w:tc>
        <w:tc>
          <w:tcPr>
            <w:tcW w:w="1458"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£107,961</w:t>
            </w:r>
          </w:p>
        </w:tc>
      </w:tr>
      <w:tr w:rsidR="008241F2" w:rsidRPr="008241F2" w:rsidTr="008241F2">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rPr>
                <w:rFonts w:cs="Arial"/>
                <w:sz w:val="20"/>
                <w:szCs w:val="20"/>
                <w:lang w:eastAsia="en-GB"/>
              </w:rPr>
            </w:pPr>
            <w:r w:rsidRPr="008241F2">
              <w:rPr>
                <w:rFonts w:cs="Arial"/>
                <w:sz w:val="20"/>
                <w:szCs w:val="20"/>
                <w:lang w:eastAsia="en-GB"/>
              </w:rPr>
              <w:t>The Dales</w:t>
            </w:r>
          </w:p>
        </w:tc>
        <w:tc>
          <w:tcPr>
            <w:tcW w:w="13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£80,000</w:t>
            </w:r>
          </w:p>
        </w:tc>
        <w:tc>
          <w:tcPr>
            <w:tcW w:w="9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£122,750</w:t>
            </w:r>
          </w:p>
        </w:tc>
        <w:tc>
          <w:tcPr>
            <w:tcW w:w="168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£185,000</w:t>
            </w:r>
          </w:p>
        </w:tc>
        <w:tc>
          <w:tcPr>
            <w:tcW w:w="1458"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£144,799</w:t>
            </w:r>
          </w:p>
        </w:tc>
      </w:tr>
      <w:tr w:rsidR="008241F2" w:rsidRPr="008241F2" w:rsidTr="008241F2">
        <w:trPr>
          <w:trHeight w:val="25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rPr>
                <w:rFonts w:cs="Arial"/>
                <w:b/>
                <w:bCs/>
                <w:sz w:val="20"/>
                <w:szCs w:val="20"/>
                <w:lang w:eastAsia="en-GB"/>
              </w:rPr>
            </w:pPr>
            <w:r w:rsidRPr="008241F2">
              <w:rPr>
                <w:rFonts w:cs="Arial"/>
                <w:b/>
                <w:bCs/>
                <w:sz w:val="20"/>
                <w:szCs w:val="20"/>
                <w:lang w:eastAsia="en-GB"/>
              </w:rPr>
              <w:t>Co. Durham</w:t>
            </w:r>
          </w:p>
        </w:tc>
        <w:tc>
          <w:tcPr>
            <w:tcW w:w="13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£67,000</w:t>
            </w:r>
          </w:p>
        </w:tc>
        <w:tc>
          <w:tcPr>
            <w:tcW w:w="96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£100,000</w:t>
            </w:r>
          </w:p>
        </w:tc>
        <w:tc>
          <w:tcPr>
            <w:tcW w:w="1680"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£153,000</w:t>
            </w:r>
          </w:p>
        </w:tc>
        <w:tc>
          <w:tcPr>
            <w:tcW w:w="1458" w:type="dxa"/>
            <w:tcBorders>
              <w:top w:val="nil"/>
              <w:left w:val="nil"/>
              <w:bottom w:val="single" w:sz="4" w:space="0" w:color="auto"/>
              <w:right w:val="single" w:sz="4" w:space="0" w:color="auto"/>
            </w:tcBorders>
            <w:shd w:val="clear" w:color="auto" w:fill="auto"/>
            <w:noWrap/>
            <w:vAlign w:val="bottom"/>
            <w:hideMark/>
          </w:tcPr>
          <w:p w:rsidR="008241F2" w:rsidRPr="008241F2" w:rsidRDefault="008241F2" w:rsidP="008241F2">
            <w:pPr>
              <w:spacing w:before="0" w:after="0"/>
              <w:jc w:val="center"/>
              <w:rPr>
                <w:rFonts w:cs="Arial"/>
                <w:sz w:val="20"/>
                <w:szCs w:val="20"/>
                <w:lang w:eastAsia="en-GB"/>
              </w:rPr>
            </w:pPr>
            <w:r w:rsidRPr="008241F2">
              <w:rPr>
                <w:rFonts w:cs="Arial"/>
                <w:sz w:val="20"/>
                <w:szCs w:val="20"/>
                <w:lang w:eastAsia="en-GB"/>
              </w:rPr>
              <w:t>£120,618</w:t>
            </w:r>
          </w:p>
        </w:tc>
      </w:tr>
    </w:tbl>
    <w:p w:rsidR="005400EB" w:rsidRPr="005400EB" w:rsidRDefault="005400EB" w:rsidP="005400EB">
      <w:pPr>
        <w:pStyle w:val="Maintext"/>
        <w:numPr>
          <w:ilvl w:val="0"/>
          <w:numId w:val="0"/>
        </w:numPr>
        <w:ind w:left="709" w:hanging="709"/>
        <w:rPr>
          <w:sz w:val="20"/>
          <w:szCs w:val="20"/>
        </w:rPr>
      </w:pPr>
      <w:r w:rsidRPr="005400EB">
        <w:rPr>
          <w:sz w:val="20"/>
          <w:szCs w:val="20"/>
        </w:rPr>
        <w:t xml:space="preserve">Source: Land Registry </w:t>
      </w:r>
      <w:r w:rsidR="008241F2">
        <w:rPr>
          <w:sz w:val="20"/>
          <w:szCs w:val="20"/>
        </w:rPr>
        <w:t>Price Paid Data Feb 2012 to 29 Jan 2013</w:t>
      </w:r>
    </w:p>
    <w:p w:rsidR="005159AA" w:rsidRPr="005159AA" w:rsidRDefault="005159AA" w:rsidP="005159AA">
      <w:pPr>
        <w:pStyle w:val="Maintext"/>
        <w:numPr>
          <w:ilvl w:val="0"/>
          <w:numId w:val="0"/>
        </w:numPr>
        <w:rPr>
          <w:b/>
        </w:rPr>
      </w:pPr>
      <w:r w:rsidRPr="005159AA">
        <w:rPr>
          <w:b/>
        </w:rPr>
        <w:t>Please note there is a slight variation between CLG published data and data derived from address-level data</w:t>
      </w:r>
      <w:r w:rsidR="0083534C">
        <w:rPr>
          <w:b/>
        </w:rPr>
        <w:t xml:space="preserve">. There has also been a reduction in the volume of transactions which may lead to greater variance in house price data. </w:t>
      </w:r>
    </w:p>
    <w:p w:rsidR="005159AA" w:rsidRDefault="005159AA" w:rsidP="005159AA">
      <w:pPr>
        <w:pStyle w:val="Maintext"/>
        <w:numPr>
          <w:ilvl w:val="0"/>
          <w:numId w:val="0"/>
        </w:numPr>
        <w:ind w:left="709" w:hanging="709"/>
      </w:pPr>
    </w:p>
    <w:p w:rsidR="003A6F13" w:rsidRDefault="00937690" w:rsidP="00937690">
      <w:pPr>
        <w:pStyle w:val="Maintext"/>
        <w:numPr>
          <w:ilvl w:val="0"/>
          <w:numId w:val="0"/>
        </w:numPr>
        <w:ind w:left="709" w:hanging="709"/>
      </w:pPr>
      <w:r>
        <w:rPr>
          <w:b/>
        </w:rPr>
        <w:br w:type="page"/>
      </w:r>
      <w:r w:rsidR="003A6F13" w:rsidRPr="002D3C99">
        <w:rPr>
          <w:b/>
        </w:rPr>
        <w:t>Map 3.1</w:t>
      </w:r>
      <w:r w:rsidR="003A6F13" w:rsidRPr="002D3C99">
        <w:tab/>
      </w:r>
      <w:r w:rsidR="00AA7CD2">
        <w:t xml:space="preserve">County Durham </w:t>
      </w:r>
      <w:r w:rsidR="00FA409F">
        <w:t>median</w:t>
      </w:r>
      <w:r w:rsidR="00CC39A8">
        <w:t xml:space="preserve"> house prices in </w:t>
      </w:r>
      <w:r w:rsidR="00FA409F">
        <w:t>Feb 2012 to Jan 2013</w:t>
      </w:r>
    </w:p>
    <w:p w:rsidR="00843CC0" w:rsidRPr="002D3C99" w:rsidRDefault="00FA409F" w:rsidP="00937690">
      <w:pPr>
        <w:pStyle w:val="Maintext"/>
        <w:numPr>
          <w:ilvl w:val="0"/>
          <w:numId w:val="0"/>
        </w:numPr>
        <w:ind w:left="709" w:hanging="709"/>
      </w:pPr>
      <w:r w:rsidRPr="00FA409F">
        <w:rPr>
          <w:noProof/>
          <w:lang w:eastAsia="en-GB"/>
        </w:rPr>
        <w:drawing>
          <wp:inline distT="0" distB="0" distL="0" distR="0">
            <wp:extent cx="5832475" cy="4403090"/>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832475" cy="4403090"/>
                    </a:xfrm>
                    <a:prstGeom prst="rect">
                      <a:avLst/>
                    </a:prstGeom>
                    <a:noFill/>
                    <a:ln w="9525">
                      <a:noFill/>
                      <a:miter lim="800000"/>
                      <a:headEnd/>
                      <a:tailEnd/>
                    </a:ln>
                  </pic:spPr>
                </pic:pic>
              </a:graphicData>
            </a:graphic>
          </wp:inline>
        </w:drawing>
      </w:r>
    </w:p>
    <w:p w:rsidR="003A6F13" w:rsidRDefault="003A6F13">
      <w:pPr>
        <w:pStyle w:val="Maintext"/>
        <w:numPr>
          <w:ilvl w:val="0"/>
          <w:numId w:val="0"/>
        </w:numPr>
        <w:rPr>
          <w:sz w:val="20"/>
          <w:szCs w:val="20"/>
        </w:rPr>
      </w:pPr>
    </w:p>
    <w:p w:rsidR="002D3C99" w:rsidRPr="00973D99" w:rsidRDefault="00973D99">
      <w:pPr>
        <w:pStyle w:val="Heading2"/>
        <w:ind w:left="0"/>
        <w:rPr>
          <w:rFonts w:cs="Times New Roman"/>
          <w:b w:val="0"/>
          <w:bCs w:val="0"/>
          <w:iCs w:val="0"/>
          <w:color w:val="auto"/>
          <w:sz w:val="20"/>
          <w:szCs w:val="20"/>
        </w:rPr>
      </w:pPr>
      <w:bookmarkStart w:id="67" w:name="_Toc301963332"/>
      <w:bookmarkStart w:id="68" w:name="_Toc305102366"/>
      <w:bookmarkStart w:id="69" w:name="_Toc321323347"/>
      <w:bookmarkStart w:id="70" w:name="_Toc326091205"/>
      <w:bookmarkStart w:id="71" w:name="_Toc333507750"/>
      <w:bookmarkStart w:id="72" w:name="_Toc225941527"/>
      <w:r w:rsidRPr="00973D99">
        <w:rPr>
          <w:rFonts w:cs="Times New Roman"/>
          <w:b w:val="0"/>
          <w:bCs w:val="0"/>
          <w:iCs w:val="0"/>
          <w:color w:val="auto"/>
          <w:sz w:val="20"/>
          <w:szCs w:val="20"/>
        </w:rPr>
        <w:t>Source: Land Registry</w:t>
      </w:r>
      <w:bookmarkEnd w:id="67"/>
      <w:bookmarkEnd w:id="68"/>
      <w:bookmarkEnd w:id="69"/>
      <w:bookmarkEnd w:id="70"/>
      <w:bookmarkEnd w:id="71"/>
    </w:p>
    <w:p w:rsidR="00843CC0" w:rsidRDefault="00843CC0" w:rsidP="003031A2">
      <w:pPr>
        <w:pStyle w:val="Heading2"/>
        <w:ind w:left="0"/>
        <w:rPr>
          <w:rFonts w:cs="Times New Roman"/>
          <w:b w:val="0"/>
          <w:bCs w:val="0"/>
          <w:iCs w:val="0"/>
          <w:color w:val="auto"/>
          <w:sz w:val="24"/>
          <w:szCs w:val="24"/>
        </w:rPr>
      </w:pPr>
    </w:p>
    <w:p w:rsidR="003A6F13" w:rsidRDefault="003A6F13" w:rsidP="003031A2">
      <w:pPr>
        <w:pStyle w:val="Heading2"/>
        <w:ind w:left="0"/>
      </w:pPr>
      <w:r>
        <w:rPr>
          <w:rFonts w:cs="Times New Roman"/>
          <w:b w:val="0"/>
          <w:bCs w:val="0"/>
          <w:iCs w:val="0"/>
          <w:color w:val="auto"/>
          <w:sz w:val="24"/>
          <w:szCs w:val="24"/>
        </w:rPr>
        <w:tab/>
      </w:r>
      <w:r w:rsidR="00973D99">
        <w:rPr>
          <w:rFonts w:cs="Times New Roman"/>
          <w:b w:val="0"/>
          <w:bCs w:val="0"/>
          <w:iCs w:val="0"/>
          <w:color w:val="auto"/>
          <w:sz w:val="24"/>
          <w:szCs w:val="24"/>
        </w:rPr>
        <w:tab/>
      </w:r>
      <w:bookmarkStart w:id="73" w:name="_Toc333507751"/>
      <w:r>
        <w:t>Relative affordability</w:t>
      </w:r>
      <w:bookmarkEnd w:id="72"/>
      <w:bookmarkEnd w:id="73"/>
    </w:p>
    <w:p w:rsidR="003A6F13" w:rsidRDefault="003A6F13">
      <w:pPr>
        <w:pStyle w:val="Maintext"/>
        <w:rPr>
          <w:b/>
        </w:rPr>
      </w:pPr>
      <w:r>
        <w:t xml:space="preserve">The relative affordability of open market dwellings in </w:t>
      </w:r>
      <w:r w:rsidR="00AA7CD2">
        <w:t>County Durham</w:t>
      </w:r>
      <w:r>
        <w:t xml:space="preserve"> is compared with the other</w:t>
      </w:r>
      <w:r w:rsidR="00667143">
        <w:t xml:space="preserve"> Local Authorities </w:t>
      </w:r>
      <w:r>
        <w:t xml:space="preserve">in the North </w:t>
      </w:r>
      <w:r w:rsidR="003031A2">
        <w:t>East</w:t>
      </w:r>
      <w:r w:rsidR="005159AA">
        <w:t xml:space="preserve"> in Table</w:t>
      </w:r>
      <w:r w:rsidR="005A2B4A">
        <w:t>s</w:t>
      </w:r>
      <w:r w:rsidR="005159AA">
        <w:t xml:space="preserve"> 3.2</w:t>
      </w:r>
      <w:r w:rsidR="00AA7CD2">
        <w:t xml:space="preserve"> and 3.3.</w:t>
      </w:r>
      <w:r w:rsidR="005159AA">
        <w:t xml:space="preserve">  Table 3.2</w:t>
      </w:r>
      <w:r>
        <w:t xml:space="preserve"> presents lower quartile house prices, lower quartile gross income of full-time workers and a ratio of lower quar</w:t>
      </w:r>
      <w:r w:rsidR="00AA7CD2">
        <w:t xml:space="preserve">tile incomes to house prices; and Table 3.3 presents median figures. </w:t>
      </w:r>
    </w:p>
    <w:p w:rsidR="00AA7CD2" w:rsidRDefault="003A6F13" w:rsidP="00A02454">
      <w:pPr>
        <w:pStyle w:val="Maintext"/>
      </w:pPr>
      <w:r>
        <w:t>In terms of relative affordabilit</w:t>
      </w:r>
      <w:r w:rsidR="00FC48BE">
        <w:t xml:space="preserve">y, </w:t>
      </w:r>
      <w:r w:rsidR="00AA7CD2">
        <w:t xml:space="preserve">County Durham is the most affordable </w:t>
      </w:r>
      <w:r w:rsidR="00315960">
        <w:t>Local Authority area</w:t>
      </w:r>
      <w:r w:rsidR="00AA7CD2">
        <w:t xml:space="preserve"> within the North East, with an income to house price ratio of </w:t>
      </w:r>
      <w:r w:rsidR="00FA409F">
        <w:t>4.0</w:t>
      </w:r>
      <w:r w:rsidR="00AA7CD2">
        <w:t>.</w:t>
      </w:r>
    </w:p>
    <w:p w:rsidR="003031A2" w:rsidRDefault="003031A2" w:rsidP="003031A2">
      <w:pPr>
        <w:pStyle w:val="Maintext"/>
        <w:numPr>
          <w:ilvl w:val="0"/>
          <w:numId w:val="0"/>
        </w:numPr>
        <w:ind w:left="2127" w:hanging="1418"/>
        <w:rPr>
          <w:b/>
        </w:rPr>
      </w:pPr>
    </w:p>
    <w:p w:rsidR="00843CC0" w:rsidRDefault="00843CC0" w:rsidP="003031A2">
      <w:pPr>
        <w:pStyle w:val="Maintext"/>
        <w:numPr>
          <w:ilvl w:val="0"/>
          <w:numId w:val="0"/>
        </w:numPr>
        <w:ind w:left="2127" w:hanging="1418"/>
        <w:rPr>
          <w:b/>
        </w:rPr>
      </w:pPr>
    </w:p>
    <w:p w:rsidR="00FA409F" w:rsidRDefault="00FA409F">
      <w:pPr>
        <w:spacing w:before="0" w:after="0"/>
        <w:rPr>
          <w:b/>
        </w:rPr>
      </w:pPr>
      <w:r>
        <w:rPr>
          <w:b/>
        </w:rPr>
        <w:br w:type="page"/>
      </w:r>
    </w:p>
    <w:p w:rsidR="003031A2" w:rsidRDefault="00A54BE7" w:rsidP="003031A2">
      <w:pPr>
        <w:pStyle w:val="Maintext"/>
        <w:numPr>
          <w:ilvl w:val="0"/>
          <w:numId w:val="0"/>
        </w:numPr>
        <w:ind w:left="2127" w:hanging="1418"/>
      </w:pPr>
      <w:r>
        <w:rPr>
          <w:b/>
        </w:rPr>
        <w:t>Table 3.</w:t>
      </w:r>
      <w:r w:rsidR="005159AA">
        <w:rPr>
          <w:b/>
        </w:rPr>
        <w:t>2</w:t>
      </w:r>
      <w:r>
        <w:tab/>
        <w:t>Relative affordability of lower quartile (LQ) prices by Local Authority</w:t>
      </w:r>
      <w:r w:rsidR="00DF1287">
        <w:t xml:space="preserve"> (residence based)</w:t>
      </w:r>
    </w:p>
    <w:tbl>
      <w:tblPr>
        <w:tblW w:w="8520" w:type="dxa"/>
        <w:tblInd w:w="96" w:type="dxa"/>
        <w:tblLook w:val="04A0" w:firstRow="1" w:lastRow="0" w:firstColumn="1" w:lastColumn="0" w:noHBand="0" w:noVBand="1"/>
      </w:tblPr>
      <w:tblGrid>
        <w:gridCol w:w="2240"/>
        <w:gridCol w:w="2220"/>
        <w:gridCol w:w="1340"/>
        <w:gridCol w:w="1072"/>
        <w:gridCol w:w="1720"/>
      </w:tblGrid>
      <w:tr w:rsidR="00FA409F" w:rsidRPr="00FA409F" w:rsidTr="00FA409F">
        <w:trPr>
          <w:trHeight w:val="765"/>
        </w:trPr>
        <w:tc>
          <w:tcPr>
            <w:tcW w:w="2240"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FA409F" w:rsidRPr="00FA409F" w:rsidRDefault="00FA409F" w:rsidP="00FA409F">
            <w:pPr>
              <w:spacing w:before="0" w:after="0"/>
              <w:rPr>
                <w:rFonts w:cs="Arial"/>
                <w:b/>
                <w:bCs/>
                <w:color w:val="FFFFFF"/>
                <w:sz w:val="20"/>
                <w:szCs w:val="20"/>
                <w:lang w:eastAsia="en-GB"/>
              </w:rPr>
            </w:pPr>
            <w:r w:rsidRPr="00FA409F">
              <w:rPr>
                <w:rFonts w:cs="Arial"/>
                <w:b/>
                <w:bCs/>
                <w:color w:val="FFFFFF"/>
                <w:sz w:val="20"/>
                <w:szCs w:val="20"/>
                <w:lang w:eastAsia="en-GB"/>
              </w:rPr>
              <w:t>District</w:t>
            </w:r>
          </w:p>
        </w:tc>
        <w:tc>
          <w:tcPr>
            <w:tcW w:w="222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 xml:space="preserve">Lower Quartile House Price </w:t>
            </w:r>
          </w:p>
        </w:tc>
        <w:tc>
          <w:tcPr>
            <w:tcW w:w="134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 xml:space="preserve">LQ Gross Earnings per week </w:t>
            </w:r>
          </w:p>
        </w:tc>
        <w:tc>
          <w:tcPr>
            <w:tcW w:w="100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Annual Gross Earnings</w:t>
            </w:r>
          </w:p>
        </w:tc>
        <w:tc>
          <w:tcPr>
            <w:tcW w:w="172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LQ Income to House Price ratio</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Newcastle upon Tyne</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£103,000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£324</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£16,869</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6.1</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North Tyneside</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£98,500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£333</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£17,321</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5.7</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Stockton-on-Tees</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£97,000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£346</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£17,987</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5.4</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Northumberland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£96,885</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£353</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£18,330</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5.3</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Redcar and Cleveland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£84,000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£328</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£17,066</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4.9</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Darlington</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£84,000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£329</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£17,082</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4.9</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South Tyneside</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£83,625</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£339</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£17,638</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4.7</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000000" w:fill="BFBFBF"/>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North East</w:t>
            </w:r>
          </w:p>
        </w:tc>
        <w:tc>
          <w:tcPr>
            <w:tcW w:w="2220" w:type="dxa"/>
            <w:tcBorders>
              <w:top w:val="nil"/>
              <w:left w:val="nil"/>
              <w:bottom w:val="single" w:sz="4" w:space="0" w:color="auto"/>
              <w:right w:val="single" w:sz="4" w:space="0" w:color="auto"/>
            </w:tcBorders>
            <w:shd w:val="clear" w:color="000000" w:fill="BFBFBF"/>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£82,986</w:t>
            </w:r>
          </w:p>
        </w:tc>
        <w:tc>
          <w:tcPr>
            <w:tcW w:w="1340" w:type="dxa"/>
            <w:tcBorders>
              <w:top w:val="nil"/>
              <w:left w:val="nil"/>
              <w:bottom w:val="single" w:sz="4" w:space="0" w:color="auto"/>
              <w:right w:val="single" w:sz="4" w:space="0" w:color="auto"/>
            </w:tcBorders>
            <w:shd w:val="clear" w:color="000000" w:fill="BFBFBF"/>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£338</w:t>
            </w:r>
          </w:p>
        </w:tc>
        <w:tc>
          <w:tcPr>
            <w:tcW w:w="1000" w:type="dxa"/>
            <w:tcBorders>
              <w:top w:val="nil"/>
              <w:left w:val="nil"/>
              <w:bottom w:val="single" w:sz="4" w:space="0" w:color="auto"/>
              <w:right w:val="single" w:sz="4" w:space="0" w:color="auto"/>
            </w:tcBorders>
            <w:shd w:val="clear" w:color="000000" w:fill="BFBFBF"/>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£17,592</w:t>
            </w:r>
          </w:p>
        </w:tc>
        <w:tc>
          <w:tcPr>
            <w:tcW w:w="1720" w:type="dxa"/>
            <w:tcBorders>
              <w:top w:val="nil"/>
              <w:left w:val="nil"/>
              <w:bottom w:val="single" w:sz="4" w:space="0" w:color="auto"/>
              <w:right w:val="single" w:sz="4" w:space="0" w:color="auto"/>
            </w:tcBorders>
            <w:shd w:val="clear" w:color="000000" w:fill="BFBFBF"/>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4.7</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Gateshead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£85,000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£348</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£18,091</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4.7</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Sunderland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£76,000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£333</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£17,295</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4.4</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Middlesbrough</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£69,000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£328</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£17,030</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4.1</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Hartlepool</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£75,000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£361</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£18,793</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4.0</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b/>
                <w:bCs/>
                <w:sz w:val="20"/>
                <w:szCs w:val="20"/>
                <w:lang w:eastAsia="en-GB"/>
              </w:rPr>
            </w:pPr>
            <w:r w:rsidRPr="00FA409F">
              <w:rPr>
                <w:rFonts w:cs="Arial"/>
                <w:b/>
                <w:bCs/>
                <w:sz w:val="20"/>
                <w:szCs w:val="20"/>
                <w:lang w:eastAsia="en-GB"/>
              </w:rPr>
              <w:t>County Durham</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£70,000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£341</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£17,716</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4.0</w:t>
            </w:r>
          </w:p>
        </w:tc>
      </w:tr>
    </w:tbl>
    <w:p w:rsidR="003A6F13" w:rsidRDefault="003A6F13" w:rsidP="00693990">
      <w:pPr>
        <w:pStyle w:val="Maintext"/>
        <w:numPr>
          <w:ilvl w:val="0"/>
          <w:numId w:val="0"/>
        </w:numPr>
      </w:pPr>
      <w:r>
        <w:rPr>
          <w:sz w:val="20"/>
          <w:szCs w:val="20"/>
        </w:rPr>
        <w:t>Sources: CLG House Price Statistics</w:t>
      </w:r>
      <w:r w:rsidR="00CC39A8">
        <w:rPr>
          <w:sz w:val="20"/>
          <w:szCs w:val="20"/>
        </w:rPr>
        <w:t xml:space="preserve"> </w:t>
      </w:r>
      <w:r w:rsidR="005A2B4A">
        <w:rPr>
          <w:sz w:val="20"/>
          <w:szCs w:val="20"/>
        </w:rPr>
        <w:t>Q3</w:t>
      </w:r>
      <w:r w:rsidR="00FA409F">
        <w:rPr>
          <w:sz w:val="20"/>
          <w:szCs w:val="20"/>
        </w:rPr>
        <w:t xml:space="preserve"> 2012</w:t>
      </w:r>
      <w:r>
        <w:rPr>
          <w:sz w:val="20"/>
          <w:szCs w:val="20"/>
        </w:rPr>
        <w:t>; Annual Survey of Hours and Earnings 2</w:t>
      </w:r>
      <w:r w:rsidR="00CC39A8">
        <w:rPr>
          <w:sz w:val="20"/>
          <w:szCs w:val="20"/>
        </w:rPr>
        <w:t>01</w:t>
      </w:r>
      <w:r w:rsidR="00FA409F">
        <w:rPr>
          <w:sz w:val="20"/>
          <w:szCs w:val="20"/>
        </w:rPr>
        <w:t>2</w:t>
      </w:r>
    </w:p>
    <w:p w:rsidR="005A2B4A" w:rsidRDefault="005A2B4A" w:rsidP="005A2B4A">
      <w:pPr>
        <w:pStyle w:val="Maintext"/>
        <w:numPr>
          <w:ilvl w:val="0"/>
          <w:numId w:val="0"/>
        </w:numPr>
        <w:ind w:left="709" w:hanging="709"/>
        <w:rPr>
          <w:b/>
        </w:rPr>
      </w:pPr>
    </w:p>
    <w:p w:rsidR="005A2B4A" w:rsidRDefault="005A2B4A" w:rsidP="005A2B4A">
      <w:pPr>
        <w:pStyle w:val="Maintext"/>
      </w:pPr>
      <w:r>
        <w:t xml:space="preserve">In terms of relative affordability based on median prices, </w:t>
      </w:r>
      <w:r w:rsidR="00AA7CD2">
        <w:t>the median hou</w:t>
      </w:r>
      <w:r w:rsidR="00FA409F">
        <w:t>se price to income ratio is 4.2</w:t>
      </w:r>
      <w:r w:rsidR="00AA7CD2">
        <w:t xml:space="preserve"> compar</w:t>
      </w:r>
      <w:r w:rsidR="00FA409F">
        <w:t>ed with a regional figure of 5.0</w:t>
      </w:r>
      <w:r w:rsidR="00AA7CD2">
        <w:t>.</w:t>
      </w:r>
    </w:p>
    <w:p w:rsidR="00843CC0" w:rsidRDefault="00843CC0" w:rsidP="00843CC0">
      <w:pPr>
        <w:pStyle w:val="Maintext"/>
        <w:numPr>
          <w:ilvl w:val="0"/>
          <w:numId w:val="0"/>
        </w:numPr>
        <w:rPr>
          <w:b/>
        </w:rPr>
      </w:pPr>
    </w:p>
    <w:p w:rsidR="003A6F13" w:rsidRPr="00843CC0" w:rsidRDefault="00AA7CD2" w:rsidP="00843CC0">
      <w:pPr>
        <w:pStyle w:val="Maintext"/>
        <w:numPr>
          <w:ilvl w:val="0"/>
          <w:numId w:val="0"/>
        </w:numPr>
        <w:ind w:left="2160" w:hanging="1451"/>
        <w:rPr>
          <w:b/>
        </w:rPr>
      </w:pPr>
      <w:r>
        <w:rPr>
          <w:b/>
        </w:rPr>
        <w:t>Table 3.3</w:t>
      </w:r>
      <w:r w:rsidR="005A2B4A">
        <w:tab/>
        <w:t>Relative affordability of median prices by Local Authority (residence based)</w:t>
      </w:r>
    </w:p>
    <w:tbl>
      <w:tblPr>
        <w:tblW w:w="8520" w:type="dxa"/>
        <w:tblInd w:w="96" w:type="dxa"/>
        <w:tblLook w:val="04A0" w:firstRow="1" w:lastRow="0" w:firstColumn="1" w:lastColumn="0" w:noHBand="0" w:noVBand="1"/>
      </w:tblPr>
      <w:tblGrid>
        <w:gridCol w:w="2240"/>
        <w:gridCol w:w="2220"/>
        <w:gridCol w:w="1340"/>
        <w:gridCol w:w="1000"/>
        <w:gridCol w:w="1720"/>
      </w:tblGrid>
      <w:tr w:rsidR="00FA409F" w:rsidRPr="00FA409F" w:rsidTr="00FA409F">
        <w:trPr>
          <w:trHeight w:val="1020"/>
        </w:trPr>
        <w:tc>
          <w:tcPr>
            <w:tcW w:w="2240"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FA409F" w:rsidRPr="00FA409F" w:rsidRDefault="00FA409F" w:rsidP="00FA409F">
            <w:pPr>
              <w:spacing w:before="0" w:after="0"/>
              <w:rPr>
                <w:rFonts w:cs="Arial"/>
                <w:b/>
                <w:bCs/>
                <w:color w:val="FFFFFF"/>
                <w:sz w:val="20"/>
                <w:szCs w:val="20"/>
                <w:lang w:eastAsia="en-GB"/>
              </w:rPr>
            </w:pPr>
            <w:r w:rsidRPr="00FA409F">
              <w:rPr>
                <w:rFonts w:cs="Arial"/>
                <w:b/>
                <w:bCs/>
                <w:color w:val="FFFFFF"/>
                <w:sz w:val="20"/>
                <w:szCs w:val="20"/>
                <w:lang w:eastAsia="en-GB"/>
              </w:rPr>
              <w:t>District</w:t>
            </w:r>
          </w:p>
        </w:tc>
        <w:tc>
          <w:tcPr>
            <w:tcW w:w="222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 xml:space="preserve">Median House Price </w:t>
            </w:r>
          </w:p>
        </w:tc>
        <w:tc>
          <w:tcPr>
            <w:tcW w:w="134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 xml:space="preserve">Median Gross Income per week </w:t>
            </w:r>
          </w:p>
        </w:tc>
        <w:tc>
          <w:tcPr>
            <w:tcW w:w="100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 xml:space="preserve">Annual Gross Income </w:t>
            </w:r>
          </w:p>
        </w:tc>
        <w:tc>
          <w:tcPr>
            <w:tcW w:w="1720" w:type="dxa"/>
            <w:tcBorders>
              <w:top w:val="single" w:sz="4" w:space="0" w:color="auto"/>
              <w:left w:val="nil"/>
              <w:bottom w:val="single" w:sz="4" w:space="0" w:color="auto"/>
              <w:right w:val="single" w:sz="4" w:space="0" w:color="auto"/>
            </w:tcBorders>
            <w:shd w:val="clear" w:color="000000" w:fill="008080"/>
            <w:vAlign w:val="bottom"/>
            <w:hideMark/>
          </w:tcPr>
          <w:p w:rsidR="00FA409F" w:rsidRPr="00FA409F" w:rsidRDefault="00FA409F" w:rsidP="00FA409F">
            <w:pPr>
              <w:spacing w:before="0" w:after="0"/>
              <w:jc w:val="center"/>
              <w:rPr>
                <w:rFonts w:cs="Arial"/>
                <w:b/>
                <w:bCs/>
                <w:color w:val="FFFFFF"/>
                <w:sz w:val="20"/>
                <w:szCs w:val="20"/>
                <w:lang w:eastAsia="en-GB"/>
              </w:rPr>
            </w:pPr>
            <w:r w:rsidRPr="00FA409F">
              <w:rPr>
                <w:rFonts w:cs="Arial"/>
                <w:b/>
                <w:bCs/>
                <w:color w:val="FFFFFF"/>
                <w:sz w:val="20"/>
                <w:szCs w:val="20"/>
                <w:lang w:eastAsia="en-GB"/>
              </w:rPr>
              <w:t>Median Income to House Price ratio</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Northumberland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£144,000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£465</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£24,190</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6.0</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North Tyneside</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£139,950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£454</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£23,629</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5.9</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Newcastle upon Tyne</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£136,000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£470</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£24,424</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5.6</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Darlington</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£124,000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£437</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£22,698</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5.5</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Stockton-on-Tees</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£129,000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£485</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£25,199</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5.1</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Middlesbrough</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£109,000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£410</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£21,315</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5.1</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Sunderland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£112,250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£424</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£22,048</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5.1</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000000" w:fill="BFBFBF"/>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North East</w:t>
            </w:r>
          </w:p>
        </w:tc>
        <w:tc>
          <w:tcPr>
            <w:tcW w:w="2220" w:type="dxa"/>
            <w:tcBorders>
              <w:top w:val="nil"/>
              <w:left w:val="nil"/>
              <w:bottom w:val="single" w:sz="4" w:space="0" w:color="auto"/>
              <w:right w:val="single" w:sz="4" w:space="0" w:color="auto"/>
            </w:tcBorders>
            <w:shd w:val="clear" w:color="000000" w:fill="BFBFBF"/>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£119,375</w:t>
            </w:r>
          </w:p>
        </w:tc>
        <w:tc>
          <w:tcPr>
            <w:tcW w:w="1340" w:type="dxa"/>
            <w:tcBorders>
              <w:top w:val="nil"/>
              <w:left w:val="nil"/>
              <w:bottom w:val="single" w:sz="4" w:space="0" w:color="auto"/>
              <w:right w:val="single" w:sz="4" w:space="0" w:color="auto"/>
            </w:tcBorders>
            <w:shd w:val="clear" w:color="000000" w:fill="BFBFBF"/>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£455</w:t>
            </w:r>
          </w:p>
        </w:tc>
        <w:tc>
          <w:tcPr>
            <w:tcW w:w="1000" w:type="dxa"/>
            <w:tcBorders>
              <w:top w:val="nil"/>
              <w:left w:val="nil"/>
              <w:bottom w:val="single" w:sz="4" w:space="0" w:color="auto"/>
              <w:right w:val="single" w:sz="4" w:space="0" w:color="auto"/>
            </w:tcBorders>
            <w:shd w:val="clear" w:color="000000" w:fill="BFBFBF"/>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£23,676</w:t>
            </w:r>
          </w:p>
        </w:tc>
        <w:tc>
          <w:tcPr>
            <w:tcW w:w="1720" w:type="dxa"/>
            <w:tcBorders>
              <w:top w:val="nil"/>
              <w:left w:val="nil"/>
              <w:bottom w:val="single" w:sz="4" w:space="0" w:color="auto"/>
              <w:right w:val="single" w:sz="4" w:space="0" w:color="auto"/>
            </w:tcBorders>
            <w:shd w:val="clear" w:color="000000" w:fill="BFBFBF"/>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5.0</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Redcar and Cleveland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£115,000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£439</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£22,838</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5.0</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Gateshead</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£120,000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£465</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£24,190</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5.0</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South Tyneside</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£114,250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£450</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£23,405</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4.9</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b/>
                <w:bCs/>
                <w:sz w:val="20"/>
                <w:szCs w:val="20"/>
                <w:lang w:eastAsia="en-GB"/>
              </w:rPr>
            </w:pPr>
            <w:r w:rsidRPr="00FA409F">
              <w:rPr>
                <w:rFonts w:cs="Arial"/>
                <w:b/>
                <w:bCs/>
                <w:sz w:val="20"/>
                <w:szCs w:val="20"/>
                <w:lang w:eastAsia="en-GB"/>
              </w:rPr>
              <w:t>County Durham</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£100,000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£458</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£23,816</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b/>
                <w:bCs/>
                <w:sz w:val="20"/>
                <w:szCs w:val="20"/>
                <w:lang w:eastAsia="en-GB"/>
              </w:rPr>
            </w:pPr>
            <w:r w:rsidRPr="00FA409F">
              <w:rPr>
                <w:rFonts w:cs="Arial"/>
                <w:b/>
                <w:bCs/>
                <w:sz w:val="20"/>
                <w:szCs w:val="20"/>
                <w:lang w:eastAsia="en-GB"/>
              </w:rPr>
              <w:t>4.2</w:t>
            </w:r>
          </w:p>
        </w:tc>
      </w:tr>
      <w:tr w:rsidR="00FA409F" w:rsidRPr="00FA409F" w:rsidTr="00FA409F">
        <w:trPr>
          <w:trHeight w:val="25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rPr>
                <w:rFonts w:cs="Arial"/>
                <w:sz w:val="20"/>
                <w:szCs w:val="20"/>
                <w:lang w:eastAsia="en-GB"/>
              </w:rPr>
            </w:pPr>
            <w:r w:rsidRPr="00FA409F">
              <w:rPr>
                <w:rFonts w:cs="Arial"/>
                <w:sz w:val="20"/>
                <w:szCs w:val="20"/>
                <w:lang w:eastAsia="en-GB"/>
              </w:rPr>
              <w:t>Hartlepool</w:t>
            </w:r>
          </w:p>
        </w:tc>
        <w:tc>
          <w:tcPr>
            <w:tcW w:w="22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£109,000</w:t>
            </w:r>
          </w:p>
        </w:tc>
        <w:tc>
          <w:tcPr>
            <w:tcW w:w="1340" w:type="dxa"/>
            <w:tcBorders>
              <w:top w:val="nil"/>
              <w:left w:val="nil"/>
              <w:bottom w:val="single" w:sz="4" w:space="0" w:color="auto"/>
              <w:right w:val="single" w:sz="4" w:space="0" w:color="auto"/>
            </w:tcBorders>
            <w:shd w:val="clear" w:color="auto" w:fill="auto"/>
            <w:noWrap/>
            <w:vAlign w:val="center"/>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£506</w:t>
            </w:r>
          </w:p>
        </w:tc>
        <w:tc>
          <w:tcPr>
            <w:tcW w:w="100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£26,317</w:t>
            </w:r>
          </w:p>
        </w:tc>
        <w:tc>
          <w:tcPr>
            <w:tcW w:w="1720" w:type="dxa"/>
            <w:tcBorders>
              <w:top w:val="nil"/>
              <w:left w:val="nil"/>
              <w:bottom w:val="single" w:sz="4" w:space="0" w:color="auto"/>
              <w:right w:val="single" w:sz="4" w:space="0" w:color="auto"/>
            </w:tcBorders>
            <w:shd w:val="clear" w:color="auto" w:fill="auto"/>
            <w:noWrap/>
            <w:vAlign w:val="bottom"/>
            <w:hideMark/>
          </w:tcPr>
          <w:p w:rsidR="00FA409F" w:rsidRPr="00FA409F" w:rsidRDefault="00FA409F" w:rsidP="00FA409F">
            <w:pPr>
              <w:spacing w:before="0" w:after="0"/>
              <w:jc w:val="center"/>
              <w:rPr>
                <w:rFonts w:cs="Arial"/>
                <w:sz w:val="20"/>
                <w:szCs w:val="20"/>
                <w:lang w:eastAsia="en-GB"/>
              </w:rPr>
            </w:pPr>
            <w:r w:rsidRPr="00FA409F">
              <w:rPr>
                <w:rFonts w:cs="Arial"/>
                <w:sz w:val="20"/>
                <w:szCs w:val="20"/>
                <w:lang w:eastAsia="en-GB"/>
              </w:rPr>
              <w:t>4.1</w:t>
            </w:r>
          </w:p>
        </w:tc>
      </w:tr>
    </w:tbl>
    <w:p w:rsidR="005A2B4A" w:rsidRDefault="005A2B4A" w:rsidP="005A2B4A">
      <w:pPr>
        <w:pStyle w:val="Maintext"/>
        <w:numPr>
          <w:ilvl w:val="0"/>
          <w:numId w:val="0"/>
        </w:numPr>
      </w:pPr>
      <w:r>
        <w:rPr>
          <w:sz w:val="20"/>
          <w:szCs w:val="20"/>
        </w:rPr>
        <w:t>Sources</w:t>
      </w:r>
      <w:r w:rsidR="00FA409F">
        <w:rPr>
          <w:sz w:val="20"/>
          <w:szCs w:val="20"/>
        </w:rPr>
        <w:t>: CLG House Price Statistics Q3 2012</w:t>
      </w:r>
      <w:r>
        <w:rPr>
          <w:sz w:val="20"/>
          <w:szCs w:val="20"/>
        </w:rPr>
        <w:t>; Annual Survey of Hours and Earnings 201</w:t>
      </w:r>
      <w:r w:rsidR="00FA409F">
        <w:rPr>
          <w:sz w:val="20"/>
          <w:szCs w:val="20"/>
        </w:rPr>
        <w:t>2</w:t>
      </w:r>
    </w:p>
    <w:p w:rsidR="005A2B4A" w:rsidRDefault="005A2B4A">
      <w:pPr>
        <w:tabs>
          <w:tab w:val="left" w:pos="2840"/>
        </w:tabs>
      </w:pPr>
    </w:p>
    <w:p w:rsidR="005A2B4A" w:rsidRDefault="00AA7CD2" w:rsidP="00AA7CD2">
      <w:pPr>
        <w:pStyle w:val="Maintext"/>
      </w:pPr>
      <w:r>
        <w:t>This analysis is based on county-wide data and it should be appreciated that this masks considerable variations in house prices as demonstrated in Map 3.1</w:t>
      </w:r>
      <w:r w:rsidR="006E00A4">
        <w:t>.</w:t>
      </w:r>
    </w:p>
    <w:p w:rsidR="00AA7CD2" w:rsidRDefault="00AA7CD2" w:rsidP="003031A2">
      <w:pPr>
        <w:pStyle w:val="Heading2"/>
      </w:pPr>
      <w:bookmarkStart w:id="74" w:name="_Toc209254525"/>
      <w:bookmarkStart w:id="75" w:name="_Toc212639314"/>
      <w:bookmarkStart w:id="76" w:name="_Toc225941528"/>
      <w:bookmarkEnd w:id="46"/>
      <w:bookmarkEnd w:id="47"/>
      <w:bookmarkEnd w:id="48"/>
    </w:p>
    <w:p w:rsidR="003A6F13" w:rsidRDefault="003A6F13" w:rsidP="003031A2">
      <w:pPr>
        <w:pStyle w:val="Heading2"/>
      </w:pPr>
      <w:bookmarkStart w:id="77" w:name="_Toc333507752"/>
      <w:r>
        <w:t>Household migration and search behaviour</w:t>
      </w:r>
      <w:bookmarkEnd w:id="74"/>
      <w:bookmarkEnd w:id="75"/>
      <w:bookmarkEnd w:id="76"/>
      <w:bookmarkEnd w:id="77"/>
    </w:p>
    <w:p w:rsidR="008B7D67" w:rsidRDefault="003A6F13">
      <w:pPr>
        <w:pStyle w:val="Maintext"/>
      </w:pPr>
      <w:r>
        <w:t xml:space="preserve">Annual migration data is prepared by the Office of National Statistics (ONS) based on patient re-registrations with the National Health Service (NHS).  Although it has limitations, it is the best annual source of internal migration </w:t>
      </w:r>
      <w:r w:rsidR="00A70416">
        <w:t xml:space="preserve">data </w:t>
      </w:r>
      <w:r>
        <w:t>from within England and Wales</w:t>
      </w:r>
      <w:r w:rsidR="003562A1">
        <w:t xml:space="preserve"> (Figure 3.2)</w:t>
      </w:r>
      <w:r>
        <w:t xml:space="preserve">.  </w:t>
      </w:r>
      <w:r w:rsidR="008B7D67">
        <w:t>Over the period July 2007</w:t>
      </w:r>
      <w:r w:rsidRPr="00EC0982">
        <w:t xml:space="preserve"> to June 2</w:t>
      </w:r>
      <w:r w:rsidR="00F93A97">
        <w:t>0</w:t>
      </w:r>
      <w:r w:rsidR="006E00A4">
        <w:t>11 (4</w:t>
      </w:r>
      <w:r w:rsidR="00EC5ED9" w:rsidRPr="00EC0982">
        <w:t xml:space="preserve"> years) a total of </w:t>
      </w:r>
      <w:r w:rsidR="006E00A4">
        <w:t>60,760</w:t>
      </w:r>
      <w:r w:rsidRPr="00EC0982">
        <w:t xml:space="preserve"> people have moved into </w:t>
      </w:r>
      <w:r w:rsidR="008B7D67">
        <w:t>County Durham, pa</w:t>
      </w:r>
      <w:r w:rsidR="006E00A4">
        <w:t>rticularly from Sunderland (11.9</w:t>
      </w:r>
      <w:r w:rsidR="008B7D67">
        <w:t>% of all residents moving into County Durham originated in Sunderland)</w:t>
      </w:r>
      <w:r w:rsidR="006E00A4">
        <w:t>, elsewhere in Tyne and Wear (17.1</w:t>
      </w:r>
      <w:r w:rsidR="008B7D67">
        <w:t>%), Yorkshire and the Humber</w:t>
      </w:r>
      <w:r w:rsidR="006E00A4">
        <w:t xml:space="preserve"> (11.8%) and the North West (9.2</w:t>
      </w:r>
      <w:r w:rsidR="008B7D67">
        <w:t xml:space="preserve">%). </w:t>
      </w:r>
    </w:p>
    <w:p w:rsidR="008B7D67" w:rsidRDefault="008B7D67">
      <w:pPr>
        <w:pStyle w:val="Maintext"/>
      </w:pPr>
      <w:r>
        <w:t xml:space="preserve">Over the same three year period, a total of </w:t>
      </w:r>
      <w:r w:rsidR="00841D48">
        <w:t>57,920</w:t>
      </w:r>
      <w:r>
        <w:t xml:space="preserve"> residents have moved out of County Durham to elsewhere in England and Wales. </w:t>
      </w:r>
      <w:r w:rsidR="00717683">
        <w:t xml:space="preserve">Strongest outflows were to Sunderland (9.4%) and </w:t>
      </w:r>
      <w:r w:rsidR="00841D48">
        <w:t>Elsewhere in Tyne and Wear (15.8</w:t>
      </w:r>
      <w:r w:rsidR="00717683">
        <w:t>%)</w:t>
      </w:r>
      <w:r w:rsidR="00841D48">
        <w:t>, Yorkshire and the Humber (12.6%) and London (10.4</w:t>
      </w:r>
      <w:r w:rsidR="00717683">
        <w:t>%)</w:t>
      </w:r>
    </w:p>
    <w:p w:rsidR="00717683" w:rsidRDefault="00717683">
      <w:pPr>
        <w:pStyle w:val="Maintext"/>
      </w:pPr>
      <w:r>
        <w:t>Overall, County Durham has had a</w:t>
      </w:r>
      <w:r w:rsidR="00841D48">
        <w:t xml:space="preserve"> net inflow of 2,840</w:t>
      </w:r>
      <w:r>
        <w:t xml:space="preserve"> residents from elsewhere in England and Wales over t</w:t>
      </w:r>
      <w:r w:rsidR="00841D48">
        <w:t>he period July 2007 to June 2011</w:t>
      </w:r>
      <w:r>
        <w:t xml:space="preserve">, equivalent to an increase of </w:t>
      </w:r>
      <w:r w:rsidR="00841D48">
        <w:t>710</w:t>
      </w:r>
      <w:r>
        <w:t xml:space="preserve"> residents each year.</w:t>
      </w:r>
    </w:p>
    <w:p w:rsidR="003A6F13" w:rsidRPr="00EC0982" w:rsidRDefault="003A6F13" w:rsidP="00717683">
      <w:pPr>
        <w:pStyle w:val="Maintext"/>
        <w:numPr>
          <w:ilvl w:val="0"/>
          <w:numId w:val="0"/>
        </w:numPr>
        <w:ind w:left="709"/>
      </w:pPr>
    </w:p>
    <w:p w:rsidR="003A6F13" w:rsidRPr="00EC0982" w:rsidRDefault="003A6F13" w:rsidP="00BA3999">
      <w:pPr>
        <w:pStyle w:val="Maintext"/>
        <w:numPr>
          <w:ilvl w:val="0"/>
          <w:numId w:val="0"/>
        </w:numPr>
      </w:pPr>
    </w:p>
    <w:p w:rsidR="008B7D67" w:rsidRDefault="008B7D67" w:rsidP="008B7D67">
      <w:pPr>
        <w:pStyle w:val="Maintext"/>
        <w:numPr>
          <w:ilvl w:val="0"/>
          <w:numId w:val="0"/>
        </w:numPr>
        <w:ind w:left="709" w:hanging="709"/>
        <w:rPr>
          <w:b/>
        </w:rPr>
        <w:sectPr w:rsidR="008B7D67" w:rsidSect="00937690">
          <w:pgSz w:w="11906" w:h="16838" w:code="9"/>
          <w:pgMar w:top="1304" w:right="1304" w:bottom="1559" w:left="1304" w:header="709" w:footer="567" w:gutter="0"/>
          <w:cols w:space="708"/>
          <w:titlePg/>
          <w:docGrid w:linePitch="360"/>
        </w:sectPr>
      </w:pPr>
    </w:p>
    <w:p w:rsidR="008B7D67" w:rsidRDefault="003A6F13" w:rsidP="00DB65D2">
      <w:pPr>
        <w:pStyle w:val="Maintext"/>
        <w:numPr>
          <w:ilvl w:val="0"/>
          <w:numId w:val="0"/>
        </w:numPr>
        <w:ind w:left="2160" w:hanging="1451"/>
      </w:pPr>
      <w:r w:rsidRPr="000B3DA6">
        <w:rPr>
          <w:b/>
        </w:rPr>
        <w:t>Figure 3.</w:t>
      </w:r>
      <w:r w:rsidR="003562A1" w:rsidRPr="000B3DA6">
        <w:rPr>
          <w:b/>
        </w:rPr>
        <w:t>2</w:t>
      </w:r>
      <w:r w:rsidRPr="000B3DA6">
        <w:tab/>
        <w:t xml:space="preserve">Net flows of population between </w:t>
      </w:r>
      <w:r w:rsidR="008B7D67" w:rsidRPr="000B3DA6">
        <w:t>County Durham</w:t>
      </w:r>
      <w:r w:rsidRPr="000B3DA6">
        <w:t xml:space="preserve"> and o</w:t>
      </w:r>
      <w:r w:rsidR="00DB65D2" w:rsidRPr="000B3DA6">
        <w:t>t</w:t>
      </w:r>
      <w:r w:rsidR="008B7D67" w:rsidRPr="000B3DA6">
        <w:t xml:space="preserve">her areas of England and Wales: </w:t>
      </w:r>
      <w:r w:rsidR="000B3DA6" w:rsidRPr="000B3DA6">
        <w:t>four</w:t>
      </w:r>
      <w:r w:rsidR="008B7D67" w:rsidRPr="000B3DA6">
        <w:t xml:space="preserve"> years July 2007 to June</w:t>
      </w:r>
      <w:r w:rsidR="00841D48" w:rsidRPr="000B3DA6">
        <w:t xml:space="preserve"> </w:t>
      </w:r>
      <w:r w:rsidR="000B3DA6" w:rsidRPr="000B3DA6">
        <w:t>2011</w:t>
      </w:r>
    </w:p>
    <w:p w:rsidR="00512FFE" w:rsidRDefault="00512FFE" w:rsidP="00DB65D2">
      <w:pPr>
        <w:pStyle w:val="Maintext"/>
        <w:numPr>
          <w:ilvl w:val="0"/>
          <w:numId w:val="0"/>
        </w:numPr>
        <w:ind w:left="2160" w:hanging="1451"/>
      </w:pPr>
      <w:r w:rsidRPr="00512FFE">
        <w:rPr>
          <w:noProof/>
          <w:lang w:eastAsia="en-GB"/>
        </w:rPr>
        <w:drawing>
          <wp:inline distT="0" distB="0" distL="0" distR="0">
            <wp:extent cx="8874125" cy="4053501"/>
            <wp:effectExtent l="19050" t="0" r="317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8874125" cy="4053501"/>
                    </a:xfrm>
                    <a:prstGeom prst="rect">
                      <a:avLst/>
                    </a:prstGeom>
                    <a:noFill/>
                    <a:ln w="9525">
                      <a:noFill/>
                      <a:miter lim="800000"/>
                      <a:headEnd/>
                      <a:tailEnd/>
                    </a:ln>
                  </pic:spPr>
                </pic:pic>
              </a:graphicData>
            </a:graphic>
          </wp:inline>
        </w:drawing>
      </w:r>
    </w:p>
    <w:p w:rsidR="003A6F13" w:rsidRDefault="003A6F13">
      <w:pPr>
        <w:pStyle w:val="Maintext"/>
        <w:numPr>
          <w:ilvl w:val="0"/>
          <w:numId w:val="0"/>
        </w:numPr>
        <w:rPr>
          <w:sz w:val="20"/>
          <w:szCs w:val="20"/>
        </w:rPr>
      </w:pPr>
      <w:r w:rsidRPr="000B3DA6">
        <w:rPr>
          <w:sz w:val="20"/>
          <w:szCs w:val="20"/>
        </w:rPr>
        <w:tab/>
        <w:t>Source: ONS Migration Flow Data via NHSCR</w:t>
      </w:r>
    </w:p>
    <w:p w:rsidR="006A3AD8" w:rsidRDefault="006A3AD8">
      <w:pPr>
        <w:numPr>
          <w:ilvl w:val="1"/>
          <w:numId w:val="0"/>
        </w:numPr>
        <w:tabs>
          <w:tab w:val="num" w:pos="709"/>
        </w:tabs>
        <w:rPr>
          <w:b/>
        </w:rPr>
      </w:pPr>
    </w:p>
    <w:p w:rsidR="008B7D67" w:rsidRDefault="008B7D67">
      <w:pPr>
        <w:numPr>
          <w:ilvl w:val="1"/>
          <w:numId w:val="0"/>
        </w:numPr>
        <w:tabs>
          <w:tab w:val="num" w:pos="709"/>
        </w:tabs>
        <w:rPr>
          <w:b/>
        </w:rPr>
        <w:sectPr w:rsidR="008B7D67" w:rsidSect="008B7D67">
          <w:pgSz w:w="16838" w:h="11906" w:orient="landscape" w:code="9"/>
          <w:pgMar w:top="1304" w:right="1559" w:bottom="1304" w:left="1304" w:header="709" w:footer="567" w:gutter="0"/>
          <w:cols w:space="708"/>
          <w:titlePg/>
          <w:docGrid w:linePitch="360"/>
        </w:sectPr>
      </w:pPr>
    </w:p>
    <w:p w:rsidR="008B7D67" w:rsidRDefault="008B7D67">
      <w:pPr>
        <w:numPr>
          <w:ilvl w:val="1"/>
          <w:numId w:val="0"/>
        </w:numPr>
        <w:tabs>
          <w:tab w:val="num" w:pos="709"/>
        </w:tabs>
        <w:rPr>
          <w:b/>
        </w:rPr>
      </w:pPr>
    </w:p>
    <w:p w:rsidR="003A6F13" w:rsidRDefault="00E24296">
      <w:pPr>
        <w:pStyle w:val="Heading2"/>
        <w:ind w:left="0"/>
      </w:pPr>
      <w:bookmarkStart w:id="78" w:name="_Toc225941529"/>
      <w:r>
        <w:tab/>
      </w:r>
      <w:bookmarkStart w:id="79" w:name="_Toc333507753"/>
      <w:r w:rsidR="003A6F13">
        <w:t>Characteristics of moving households</w:t>
      </w:r>
      <w:bookmarkEnd w:id="78"/>
      <w:bookmarkEnd w:id="79"/>
    </w:p>
    <w:p w:rsidR="003A6F13" w:rsidRDefault="003A6F13"/>
    <w:p w:rsidR="003A6F13" w:rsidRDefault="003A6F13">
      <w:pPr>
        <w:pStyle w:val="Heading3"/>
      </w:pPr>
      <w:bookmarkStart w:id="80" w:name="_Toc225941530"/>
      <w:r>
        <w:t>Mobility and migration trends</w:t>
      </w:r>
      <w:bookmarkEnd w:id="80"/>
    </w:p>
    <w:p w:rsidR="00FB7BAB" w:rsidRPr="00FB7BAB" w:rsidRDefault="003A6F13">
      <w:pPr>
        <w:pStyle w:val="Maintext"/>
        <w:rPr>
          <w:rFonts w:cs="Arial"/>
          <w:iCs/>
        </w:rPr>
      </w:pPr>
      <w:r>
        <w:t xml:space="preserve">Data from the household survey indicated that around </w:t>
      </w:r>
      <w:r w:rsidR="00701A3D">
        <w:t>54,000</w:t>
      </w:r>
      <w:r>
        <w:t xml:space="preserve"> households had moved home in the preceding 5 years.  </w:t>
      </w:r>
      <w:r w:rsidR="001A3BF8">
        <w:t xml:space="preserve">Of these households </w:t>
      </w:r>
      <w:r w:rsidR="00701A3D">
        <w:t>77.5</w:t>
      </w:r>
      <w:r w:rsidR="003C571F">
        <w:t xml:space="preserve">% </w:t>
      </w:r>
      <w:r>
        <w:t xml:space="preserve">originated within </w:t>
      </w:r>
      <w:r w:rsidR="00701A3D">
        <w:t>County Durham and 22.5</w:t>
      </w:r>
      <w:r w:rsidR="00263002">
        <w:t xml:space="preserve">% had moved into the County </w:t>
      </w:r>
      <w:r w:rsidR="00FB7BAB">
        <w:t>as summarised in Table 3.</w:t>
      </w:r>
      <w:r w:rsidR="00263002">
        <w:t>4</w:t>
      </w:r>
      <w:r w:rsidR="00FB7BAB">
        <w:t>.</w:t>
      </w:r>
    </w:p>
    <w:p w:rsidR="00FB7BAB" w:rsidRDefault="00FB7BAB" w:rsidP="00FB7BAB">
      <w:pPr>
        <w:pStyle w:val="Maintext"/>
        <w:numPr>
          <w:ilvl w:val="0"/>
          <w:numId w:val="0"/>
        </w:numPr>
        <w:ind w:left="709"/>
      </w:pPr>
    </w:p>
    <w:p w:rsidR="00FB7BAB" w:rsidRDefault="00FB7BAB" w:rsidP="00FB7BAB">
      <w:pPr>
        <w:pStyle w:val="Maintext"/>
        <w:numPr>
          <w:ilvl w:val="0"/>
          <w:numId w:val="0"/>
        </w:numPr>
        <w:ind w:left="709"/>
      </w:pPr>
      <w:r w:rsidRPr="00FB7BAB">
        <w:rPr>
          <w:b/>
        </w:rPr>
        <w:t>Table 3.</w:t>
      </w:r>
      <w:r w:rsidR="00263002">
        <w:rPr>
          <w:b/>
        </w:rPr>
        <w:t>4</w:t>
      </w:r>
      <w:r>
        <w:tab/>
        <w:t>Summary of household moves in preceding 5 years</w:t>
      </w:r>
      <w:r w:rsidR="00C64021">
        <w:t xml:space="preserve"> by area</w:t>
      </w:r>
    </w:p>
    <w:tbl>
      <w:tblPr>
        <w:tblW w:w="8886" w:type="dxa"/>
        <w:tblInd w:w="720" w:type="dxa"/>
        <w:tblLayout w:type="fixed"/>
        <w:tblLook w:val="04A0" w:firstRow="1" w:lastRow="0" w:firstColumn="1" w:lastColumn="0" w:noHBand="0" w:noVBand="1"/>
      </w:tblPr>
      <w:tblGrid>
        <w:gridCol w:w="2420"/>
        <w:gridCol w:w="1240"/>
        <w:gridCol w:w="1337"/>
        <w:gridCol w:w="1195"/>
        <w:gridCol w:w="1276"/>
        <w:gridCol w:w="1418"/>
      </w:tblGrid>
      <w:tr w:rsidR="00C64021" w:rsidRPr="00C64021" w:rsidTr="00C64021">
        <w:trPr>
          <w:trHeight w:val="300"/>
        </w:trPr>
        <w:tc>
          <w:tcPr>
            <w:tcW w:w="2420" w:type="dxa"/>
            <w:tcBorders>
              <w:top w:val="single" w:sz="4" w:space="0" w:color="auto"/>
              <w:left w:val="single" w:sz="4" w:space="0" w:color="auto"/>
              <w:bottom w:val="nil"/>
              <w:right w:val="single" w:sz="4" w:space="0" w:color="auto"/>
            </w:tcBorders>
            <w:shd w:val="clear" w:color="000000" w:fill="008080"/>
            <w:noWrap/>
            <w:vAlign w:val="bottom"/>
            <w:hideMark/>
          </w:tcPr>
          <w:p w:rsidR="00C64021" w:rsidRPr="00C64021" w:rsidRDefault="00B440F0" w:rsidP="00C64021">
            <w:pPr>
              <w:spacing w:before="0" w:after="0"/>
              <w:rPr>
                <w:rFonts w:cs="Arial"/>
                <w:b/>
                <w:bCs/>
                <w:color w:val="FFFFFF"/>
                <w:lang w:eastAsia="en-GB"/>
              </w:rPr>
            </w:pPr>
            <w:r>
              <w:rPr>
                <w:rFonts w:cs="Arial"/>
                <w:b/>
                <w:bCs/>
                <w:color w:val="FFFFFF"/>
                <w:lang w:eastAsia="en-GB"/>
              </w:rPr>
              <w:t>Delivery area</w:t>
            </w:r>
            <w:r w:rsidR="0083534C">
              <w:rPr>
                <w:rFonts w:cs="Arial"/>
                <w:b/>
                <w:bCs/>
                <w:color w:val="FFFFFF"/>
                <w:lang w:eastAsia="en-GB"/>
              </w:rPr>
              <w:t>s</w:t>
            </w:r>
          </w:p>
        </w:tc>
        <w:tc>
          <w:tcPr>
            <w:tcW w:w="1240" w:type="dxa"/>
            <w:tcBorders>
              <w:top w:val="single" w:sz="4" w:space="0" w:color="auto"/>
              <w:left w:val="nil"/>
              <w:bottom w:val="single" w:sz="4" w:space="0" w:color="auto"/>
              <w:right w:val="nil"/>
            </w:tcBorders>
            <w:shd w:val="clear" w:color="000000" w:fill="008080"/>
            <w:noWrap/>
            <w:vAlign w:val="bottom"/>
            <w:hideMark/>
          </w:tcPr>
          <w:p w:rsidR="00C64021" w:rsidRPr="00C64021" w:rsidRDefault="00C64021" w:rsidP="00C64021">
            <w:pPr>
              <w:spacing w:before="0" w:after="0"/>
              <w:rPr>
                <w:rFonts w:cs="Arial"/>
                <w:b/>
                <w:bCs/>
                <w:color w:val="FFFFFF"/>
                <w:lang w:eastAsia="en-GB"/>
              </w:rPr>
            </w:pPr>
            <w:r w:rsidRPr="00C64021">
              <w:rPr>
                <w:rFonts w:cs="Arial"/>
                <w:b/>
                <w:bCs/>
                <w:color w:val="FFFFFF"/>
                <w:lang w:eastAsia="en-GB"/>
              </w:rPr>
              <w:t>Origin</w:t>
            </w:r>
          </w:p>
        </w:tc>
        <w:tc>
          <w:tcPr>
            <w:tcW w:w="1337" w:type="dxa"/>
            <w:tcBorders>
              <w:top w:val="single" w:sz="4" w:space="0" w:color="auto"/>
              <w:left w:val="nil"/>
              <w:bottom w:val="single" w:sz="4" w:space="0" w:color="auto"/>
              <w:right w:val="nil"/>
            </w:tcBorders>
            <w:shd w:val="clear" w:color="000000" w:fill="008080"/>
            <w:noWrap/>
            <w:vAlign w:val="bottom"/>
            <w:hideMark/>
          </w:tcPr>
          <w:p w:rsidR="00C64021" w:rsidRPr="00C64021" w:rsidRDefault="00C64021" w:rsidP="00C64021">
            <w:pPr>
              <w:spacing w:before="0" w:after="0"/>
              <w:rPr>
                <w:rFonts w:cs="Arial"/>
                <w:color w:val="FFFFFF"/>
                <w:lang w:eastAsia="en-GB"/>
              </w:rPr>
            </w:pPr>
            <w:r w:rsidRPr="00C64021">
              <w:rPr>
                <w:rFonts w:cs="Arial"/>
                <w:color w:val="FFFFFF"/>
                <w:lang w:eastAsia="en-GB"/>
              </w:rPr>
              <w:t> </w:t>
            </w:r>
          </w:p>
        </w:tc>
        <w:tc>
          <w:tcPr>
            <w:tcW w:w="1195" w:type="dxa"/>
            <w:tcBorders>
              <w:top w:val="single" w:sz="4" w:space="0" w:color="auto"/>
              <w:left w:val="nil"/>
              <w:bottom w:val="single" w:sz="4" w:space="0" w:color="auto"/>
              <w:right w:val="nil"/>
            </w:tcBorders>
            <w:shd w:val="clear" w:color="000000" w:fill="008080"/>
            <w:noWrap/>
            <w:vAlign w:val="bottom"/>
            <w:hideMark/>
          </w:tcPr>
          <w:p w:rsidR="00C64021" w:rsidRPr="00C64021" w:rsidRDefault="00C64021" w:rsidP="00C64021">
            <w:pPr>
              <w:spacing w:before="0" w:after="0"/>
              <w:rPr>
                <w:rFonts w:cs="Arial"/>
                <w:color w:val="FFFFFF"/>
                <w:lang w:eastAsia="en-GB"/>
              </w:rPr>
            </w:pPr>
            <w:r w:rsidRPr="00C64021">
              <w:rPr>
                <w:rFonts w:cs="Arial"/>
                <w:color w:val="FFFFFF"/>
                <w:lang w:eastAsia="en-GB"/>
              </w:rPr>
              <w:t> </w:t>
            </w:r>
          </w:p>
        </w:tc>
        <w:tc>
          <w:tcPr>
            <w:tcW w:w="1276" w:type="dxa"/>
            <w:tcBorders>
              <w:top w:val="single" w:sz="4" w:space="0" w:color="auto"/>
              <w:left w:val="nil"/>
              <w:bottom w:val="single" w:sz="4" w:space="0" w:color="auto"/>
              <w:right w:val="nil"/>
            </w:tcBorders>
            <w:shd w:val="clear" w:color="000000" w:fill="008080"/>
            <w:noWrap/>
            <w:vAlign w:val="bottom"/>
            <w:hideMark/>
          </w:tcPr>
          <w:p w:rsidR="00C64021" w:rsidRPr="00C64021" w:rsidRDefault="00C64021" w:rsidP="00C64021">
            <w:pPr>
              <w:spacing w:before="0" w:after="0"/>
              <w:rPr>
                <w:rFonts w:cs="Arial"/>
                <w:color w:val="FFFFFF"/>
                <w:lang w:eastAsia="en-GB"/>
              </w:rPr>
            </w:pPr>
            <w:r w:rsidRPr="00C64021">
              <w:rPr>
                <w:rFonts w:cs="Arial"/>
                <w:color w:val="FFFFFF"/>
                <w:lang w:eastAsia="en-GB"/>
              </w:rPr>
              <w:t> </w:t>
            </w:r>
          </w:p>
        </w:tc>
        <w:tc>
          <w:tcPr>
            <w:tcW w:w="1418" w:type="dxa"/>
            <w:tcBorders>
              <w:top w:val="single" w:sz="4" w:space="0" w:color="auto"/>
              <w:left w:val="nil"/>
              <w:bottom w:val="single" w:sz="4" w:space="0" w:color="auto"/>
              <w:right w:val="nil"/>
            </w:tcBorders>
            <w:shd w:val="clear" w:color="000000" w:fill="008080"/>
            <w:noWrap/>
            <w:vAlign w:val="bottom"/>
            <w:hideMark/>
          </w:tcPr>
          <w:p w:rsidR="00C64021" w:rsidRPr="00C64021" w:rsidRDefault="00C64021" w:rsidP="00C64021">
            <w:pPr>
              <w:spacing w:before="0" w:after="0"/>
              <w:rPr>
                <w:rFonts w:cs="Arial"/>
                <w:color w:val="FFFFFF"/>
                <w:lang w:eastAsia="en-GB"/>
              </w:rPr>
            </w:pPr>
            <w:r w:rsidRPr="00C64021">
              <w:rPr>
                <w:rFonts w:cs="Arial"/>
                <w:color w:val="FFFFFF"/>
                <w:lang w:eastAsia="en-GB"/>
              </w:rPr>
              <w:t> </w:t>
            </w:r>
          </w:p>
        </w:tc>
      </w:tr>
      <w:tr w:rsidR="00C64021" w:rsidRPr="00C64021" w:rsidTr="00C64021">
        <w:trPr>
          <w:trHeight w:val="855"/>
        </w:trPr>
        <w:tc>
          <w:tcPr>
            <w:tcW w:w="2420" w:type="dxa"/>
            <w:tcBorders>
              <w:top w:val="nil"/>
              <w:left w:val="single" w:sz="4" w:space="0" w:color="auto"/>
              <w:bottom w:val="single" w:sz="4" w:space="0" w:color="auto"/>
              <w:right w:val="single" w:sz="4" w:space="0" w:color="auto"/>
            </w:tcBorders>
            <w:shd w:val="clear" w:color="000000" w:fill="008080"/>
            <w:noWrap/>
            <w:vAlign w:val="bottom"/>
            <w:hideMark/>
          </w:tcPr>
          <w:p w:rsidR="00C64021" w:rsidRPr="00C64021" w:rsidRDefault="00C64021" w:rsidP="00C64021">
            <w:pPr>
              <w:spacing w:before="0" w:after="0"/>
              <w:rPr>
                <w:rFonts w:cs="Arial"/>
                <w:color w:val="FFFFFF"/>
                <w:lang w:eastAsia="en-GB"/>
              </w:rPr>
            </w:pPr>
            <w:r w:rsidRPr="00C64021">
              <w:rPr>
                <w:rFonts w:cs="Arial"/>
                <w:color w:val="FFFFFF"/>
                <w:lang w:eastAsia="en-GB"/>
              </w:rPr>
              <w:t> </w:t>
            </w:r>
          </w:p>
        </w:tc>
        <w:tc>
          <w:tcPr>
            <w:tcW w:w="1240" w:type="dxa"/>
            <w:tcBorders>
              <w:top w:val="nil"/>
              <w:left w:val="nil"/>
              <w:bottom w:val="single" w:sz="4" w:space="0" w:color="auto"/>
              <w:right w:val="single" w:sz="4" w:space="0" w:color="auto"/>
            </w:tcBorders>
            <w:shd w:val="clear" w:color="000000" w:fill="008080"/>
            <w:vAlign w:val="bottom"/>
            <w:hideMark/>
          </w:tcPr>
          <w:p w:rsidR="00C64021" w:rsidRPr="00C64021" w:rsidRDefault="00C64021" w:rsidP="0083534C">
            <w:pPr>
              <w:spacing w:before="0" w:after="0"/>
              <w:jc w:val="center"/>
              <w:rPr>
                <w:rFonts w:cs="Arial"/>
                <w:color w:val="FFFFFF"/>
                <w:lang w:eastAsia="en-GB"/>
              </w:rPr>
            </w:pPr>
            <w:r w:rsidRPr="00C64021">
              <w:rPr>
                <w:rFonts w:cs="Arial"/>
                <w:color w:val="FFFFFF"/>
                <w:lang w:eastAsia="en-GB"/>
              </w:rPr>
              <w:t xml:space="preserve">Same </w:t>
            </w:r>
            <w:r w:rsidR="0083534C">
              <w:rPr>
                <w:rFonts w:cs="Arial"/>
                <w:color w:val="FFFFFF"/>
                <w:lang w:eastAsia="en-GB"/>
              </w:rPr>
              <w:t>area</w:t>
            </w:r>
            <w:r w:rsidRPr="00C64021">
              <w:rPr>
                <w:rFonts w:cs="Arial"/>
                <w:color w:val="FFFFFF"/>
                <w:lang w:eastAsia="en-GB"/>
              </w:rPr>
              <w:t xml:space="preserve"> (%)</w:t>
            </w:r>
          </w:p>
        </w:tc>
        <w:tc>
          <w:tcPr>
            <w:tcW w:w="1337" w:type="dxa"/>
            <w:tcBorders>
              <w:top w:val="nil"/>
              <w:left w:val="nil"/>
              <w:bottom w:val="single" w:sz="4" w:space="0" w:color="auto"/>
              <w:right w:val="single" w:sz="4" w:space="0" w:color="auto"/>
            </w:tcBorders>
            <w:shd w:val="clear" w:color="000000" w:fill="008080"/>
            <w:vAlign w:val="bottom"/>
            <w:hideMark/>
          </w:tcPr>
          <w:p w:rsidR="00C64021" w:rsidRPr="00C64021" w:rsidRDefault="00C64021" w:rsidP="00C64021">
            <w:pPr>
              <w:spacing w:before="0" w:after="0"/>
              <w:jc w:val="center"/>
              <w:rPr>
                <w:rFonts w:cs="Arial"/>
                <w:color w:val="FFFFFF"/>
                <w:lang w:eastAsia="en-GB"/>
              </w:rPr>
            </w:pPr>
            <w:r w:rsidRPr="00C64021">
              <w:rPr>
                <w:rFonts w:cs="Arial"/>
                <w:color w:val="FFFFFF"/>
                <w:lang w:eastAsia="en-GB"/>
              </w:rPr>
              <w:t>Elsewhere in Co. Durham</w:t>
            </w:r>
          </w:p>
        </w:tc>
        <w:tc>
          <w:tcPr>
            <w:tcW w:w="1195" w:type="dxa"/>
            <w:tcBorders>
              <w:top w:val="nil"/>
              <w:left w:val="nil"/>
              <w:bottom w:val="single" w:sz="4" w:space="0" w:color="auto"/>
              <w:right w:val="single" w:sz="4" w:space="0" w:color="auto"/>
            </w:tcBorders>
            <w:shd w:val="clear" w:color="000000" w:fill="008080"/>
            <w:vAlign w:val="bottom"/>
            <w:hideMark/>
          </w:tcPr>
          <w:p w:rsidR="00C64021" w:rsidRPr="00C64021" w:rsidRDefault="00C64021" w:rsidP="00C64021">
            <w:pPr>
              <w:spacing w:before="0" w:after="0"/>
              <w:jc w:val="center"/>
              <w:rPr>
                <w:rFonts w:cs="Arial"/>
                <w:color w:val="FFFFFF"/>
                <w:lang w:eastAsia="en-GB"/>
              </w:rPr>
            </w:pPr>
            <w:r w:rsidRPr="00C64021">
              <w:rPr>
                <w:rFonts w:cs="Arial"/>
                <w:color w:val="FFFFFF"/>
                <w:lang w:eastAsia="en-GB"/>
              </w:rPr>
              <w:t>% within Co. Durham</w:t>
            </w:r>
          </w:p>
        </w:tc>
        <w:tc>
          <w:tcPr>
            <w:tcW w:w="1276" w:type="dxa"/>
            <w:tcBorders>
              <w:top w:val="nil"/>
              <w:left w:val="nil"/>
              <w:bottom w:val="single" w:sz="4" w:space="0" w:color="auto"/>
              <w:right w:val="single" w:sz="4" w:space="0" w:color="auto"/>
            </w:tcBorders>
            <w:shd w:val="clear" w:color="000000" w:fill="008080"/>
            <w:vAlign w:val="bottom"/>
            <w:hideMark/>
          </w:tcPr>
          <w:p w:rsidR="00C64021" w:rsidRPr="00C64021" w:rsidRDefault="00C64021" w:rsidP="00C64021">
            <w:pPr>
              <w:spacing w:before="0" w:after="0"/>
              <w:jc w:val="center"/>
              <w:rPr>
                <w:rFonts w:cs="Arial"/>
                <w:color w:val="FFFFFF"/>
                <w:lang w:eastAsia="en-GB"/>
              </w:rPr>
            </w:pPr>
            <w:r w:rsidRPr="00C64021">
              <w:rPr>
                <w:rFonts w:cs="Arial"/>
                <w:color w:val="FFFFFF"/>
                <w:lang w:eastAsia="en-GB"/>
              </w:rPr>
              <w:t>% outside Co. Durham</w:t>
            </w:r>
          </w:p>
        </w:tc>
        <w:tc>
          <w:tcPr>
            <w:tcW w:w="1418" w:type="dxa"/>
            <w:tcBorders>
              <w:top w:val="nil"/>
              <w:left w:val="nil"/>
              <w:bottom w:val="single" w:sz="4" w:space="0" w:color="auto"/>
              <w:right w:val="single" w:sz="4" w:space="0" w:color="auto"/>
            </w:tcBorders>
            <w:shd w:val="clear" w:color="000000" w:fill="008080"/>
            <w:vAlign w:val="bottom"/>
            <w:hideMark/>
          </w:tcPr>
          <w:p w:rsidR="00C64021" w:rsidRPr="00C64021" w:rsidRDefault="00C64021" w:rsidP="00C64021">
            <w:pPr>
              <w:spacing w:before="0" w:after="0"/>
              <w:jc w:val="center"/>
              <w:rPr>
                <w:rFonts w:cs="Arial"/>
                <w:color w:val="FFFFFF"/>
                <w:lang w:eastAsia="en-GB"/>
              </w:rPr>
            </w:pPr>
            <w:r w:rsidRPr="00C64021">
              <w:rPr>
                <w:rFonts w:cs="Arial"/>
                <w:color w:val="FFFFFF"/>
                <w:lang w:eastAsia="en-GB"/>
              </w:rPr>
              <w:t>Base (households moving)</w:t>
            </w:r>
          </w:p>
        </w:tc>
      </w:tr>
      <w:tr w:rsidR="00701A3D" w:rsidRPr="00C64021" w:rsidTr="00C64021">
        <w:trPr>
          <w:trHeight w:val="255"/>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701A3D" w:rsidRPr="00C64021" w:rsidRDefault="00701A3D" w:rsidP="00C64021">
            <w:pPr>
              <w:spacing w:before="0" w:after="0"/>
              <w:rPr>
                <w:rFonts w:cs="Arial"/>
                <w:lang w:eastAsia="en-GB"/>
              </w:rPr>
            </w:pPr>
            <w:r w:rsidRPr="00C64021">
              <w:rPr>
                <w:rFonts w:cs="Arial"/>
                <w:lang w:eastAsia="en-GB"/>
              </w:rPr>
              <w:t>Central Durham</w:t>
            </w:r>
          </w:p>
        </w:tc>
        <w:tc>
          <w:tcPr>
            <w:tcW w:w="1240"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66.7</w:t>
            </w:r>
          </w:p>
        </w:tc>
        <w:tc>
          <w:tcPr>
            <w:tcW w:w="1337"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11.3</w:t>
            </w:r>
          </w:p>
        </w:tc>
        <w:tc>
          <w:tcPr>
            <w:tcW w:w="1195"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77.9</w:t>
            </w:r>
          </w:p>
        </w:tc>
        <w:tc>
          <w:tcPr>
            <w:tcW w:w="1276"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22.1</w:t>
            </w:r>
          </w:p>
        </w:tc>
        <w:tc>
          <w:tcPr>
            <w:tcW w:w="1418"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14053</w:t>
            </w:r>
          </w:p>
        </w:tc>
      </w:tr>
      <w:tr w:rsidR="00701A3D" w:rsidRPr="00C64021" w:rsidTr="00C64021">
        <w:trPr>
          <w:trHeight w:val="255"/>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701A3D" w:rsidRPr="00C64021" w:rsidRDefault="00701A3D" w:rsidP="00C64021">
            <w:pPr>
              <w:spacing w:before="0" w:after="0"/>
              <w:rPr>
                <w:rFonts w:cs="Arial"/>
                <w:lang w:eastAsia="en-GB"/>
              </w:rPr>
            </w:pPr>
            <w:r w:rsidRPr="00C64021">
              <w:rPr>
                <w:rFonts w:cs="Arial"/>
                <w:lang w:eastAsia="en-GB"/>
              </w:rPr>
              <w:t>North Durham</w:t>
            </w:r>
          </w:p>
        </w:tc>
        <w:tc>
          <w:tcPr>
            <w:tcW w:w="1240"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63.6</w:t>
            </w:r>
          </w:p>
        </w:tc>
        <w:tc>
          <w:tcPr>
            <w:tcW w:w="1337"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11.8</w:t>
            </w:r>
          </w:p>
        </w:tc>
        <w:tc>
          <w:tcPr>
            <w:tcW w:w="1195"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75.4</w:t>
            </w:r>
          </w:p>
        </w:tc>
        <w:tc>
          <w:tcPr>
            <w:tcW w:w="1276"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24.6</w:t>
            </w:r>
          </w:p>
        </w:tc>
        <w:tc>
          <w:tcPr>
            <w:tcW w:w="1418"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11765</w:t>
            </w:r>
          </w:p>
        </w:tc>
      </w:tr>
      <w:tr w:rsidR="00701A3D" w:rsidRPr="00C64021" w:rsidTr="00C64021">
        <w:trPr>
          <w:trHeight w:val="255"/>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701A3D" w:rsidRPr="00C64021" w:rsidRDefault="00701A3D" w:rsidP="00C64021">
            <w:pPr>
              <w:spacing w:before="0" w:after="0"/>
              <w:rPr>
                <w:rFonts w:cs="Arial"/>
                <w:lang w:eastAsia="en-GB"/>
              </w:rPr>
            </w:pPr>
            <w:r w:rsidRPr="00C64021">
              <w:rPr>
                <w:rFonts w:cs="Arial"/>
                <w:lang w:eastAsia="en-GB"/>
              </w:rPr>
              <w:t>East Durham</w:t>
            </w:r>
          </w:p>
        </w:tc>
        <w:tc>
          <w:tcPr>
            <w:tcW w:w="1240"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65.1</w:t>
            </w:r>
          </w:p>
        </w:tc>
        <w:tc>
          <w:tcPr>
            <w:tcW w:w="1337"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6.2</w:t>
            </w:r>
          </w:p>
        </w:tc>
        <w:tc>
          <w:tcPr>
            <w:tcW w:w="1195"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71.3</w:t>
            </w:r>
          </w:p>
        </w:tc>
        <w:tc>
          <w:tcPr>
            <w:tcW w:w="1276"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28.7</w:t>
            </w:r>
          </w:p>
        </w:tc>
        <w:tc>
          <w:tcPr>
            <w:tcW w:w="1418"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9691</w:t>
            </w:r>
          </w:p>
        </w:tc>
      </w:tr>
      <w:tr w:rsidR="00701A3D" w:rsidRPr="00C64021" w:rsidTr="00C64021">
        <w:trPr>
          <w:trHeight w:val="255"/>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701A3D" w:rsidRPr="00C64021" w:rsidRDefault="00701A3D" w:rsidP="00C64021">
            <w:pPr>
              <w:spacing w:before="0" w:after="0"/>
              <w:rPr>
                <w:rFonts w:cs="Arial"/>
                <w:lang w:eastAsia="en-GB"/>
              </w:rPr>
            </w:pPr>
            <w:r w:rsidRPr="00C64021">
              <w:rPr>
                <w:rFonts w:cs="Arial"/>
                <w:lang w:eastAsia="en-GB"/>
              </w:rPr>
              <w:t>South Durham</w:t>
            </w:r>
          </w:p>
        </w:tc>
        <w:tc>
          <w:tcPr>
            <w:tcW w:w="1240"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48.4</w:t>
            </w:r>
          </w:p>
        </w:tc>
        <w:tc>
          <w:tcPr>
            <w:tcW w:w="1337"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20.4</w:t>
            </w:r>
          </w:p>
        </w:tc>
        <w:tc>
          <w:tcPr>
            <w:tcW w:w="1195"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68.8</w:t>
            </w:r>
          </w:p>
        </w:tc>
        <w:tc>
          <w:tcPr>
            <w:tcW w:w="1276"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31.2</w:t>
            </w:r>
          </w:p>
        </w:tc>
        <w:tc>
          <w:tcPr>
            <w:tcW w:w="1418"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3510</w:t>
            </w:r>
          </w:p>
        </w:tc>
      </w:tr>
      <w:tr w:rsidR="00701A3D" w:rsidRPr="00C64021" w:rsidTr="00C64021">
        <w:trPr>
          <w:trHeight w:val="255"/>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701A3D" w:rsidRPr="00C64021" w:rsidRDefault="00701A3D" w:rsidP="00C64021">
            <w:pPr>
              <w:spacing w:before="0" w:after="0"/>
              <w:rPr>
                <w:rFonts w:cs="Arial"/>
                <w:lang w:eastAsia="en-GB"/>
              </w:rPr>
            </w:pPr>
            <w:r w:rsidRPr="00C64021">
              <w:rPr>
                <w:rFonts w:cs="Arial"/>
                <w:lang w:eastAsia="en-GB"/>
              </w:rPr>
              <w:t>West Durham</w:t>
            </w:r>
          </w:p>
        </w:tc>
        <w:tc>
          <w:tcPr>
            <w:tcW w:w="1240"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59.8</w:t>
            </w:r>
          </w:p>
        </w:tc>
        <w:tc>
          <w:tcPr>
            <w:tcW w:w="1337"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24.9</w:t>
            </w:r>
          </w:p>
        </w:tc>
        <w:tc>
          <w:tcPr>
            <w:tcW w:w="1195"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84.7</w:t>
            </w:r>
          </w:p>
        </w:tc>
        <w:tc>
          <w:tcPr>
            <w:tcW w:w="1276"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15.3</w:t>
            </w:r>
          </w:p>
        </w:tc>
        <w:tc>
          <w:tcPr>
            <w:tcW w:w="1418"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color w:val="000000"/>
                <w:sz w:val="22"/>
                <w:szCs w:val="22"/>
              </w:rPr>
            </w:pPr>
            <w:r>
              <w:rPr>
                <w:rFonts w:cs="Arial"/>
                <w:color w:val="000000"/>
                <w:sz w:val="22"/>
                <w:szCs w:val="22"/>
              </w:rPr>
              <w:t>15127</w:t>
            </w:r>
          </w:p>
        </w:tc>
      </w:tr>
      <w:tr w:rsidR="00701A3D" w:rsidRPr="00C64021" w:rsidTr="00C64021">
        <w:trPr>
          <w:trHeight w:val="255"/>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701A3D" w:rsidRPr="00C64021" w:rsidRDefault="00701A3D" w:rsidP="00C64021">
            <w:pPr>
              <w:spacing w:before="0" w:after="0"/>
              <w:rPr>
                <w:rFonts w:cs="Arial"/>
                <w:b/>
                <w:bCs/>
                <w:lang w:eastAsia="en-GB"/>
              </w:rPr>
            </w:pPr>
            <w:r w:rsidRPr="00C64021">
              <w:rPr>
                <w:rFonts w:cs="Arial"/>
                <w:b/>
                <w:bCs/>
                <w:lang w:eastAsia="en-GB"/>
              </w:rPr>
              <w:t>Total</w:t>
            </w:r>
          </w:p>
        </w:tc>
        <w:tc>
          <w:tcPr>
            <w:tcW w:w="1240"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b/>
                <w:bCs/>
                <w:color w:val="000000"/>
                <w:sz w:val="22"/>
                <w:szCs w:val="22"/>
              </w:rPr>
            </w:pPr>
            <w:r>
              <w:rPr>
                <w:rFonts w:cs="Arial"/>
                <w:b/>
                <w:bCs/>
                <w:color w:val="000000"/>
                <w:sz w:val="22"/>
                <w:szCs w:val="22"/>
              </w:rPr>
              <w:t> </w:t>
            </w:r>
          </w:p>
        </w:tc>
        <w:tc>
          <w:tcPr>
            <w:tcW w:w="1337"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b/>
                <w:bCs/>
                <w:color w:val="000000"/>
                <w:sz w:val="22"/>
                <w:szCs w:val="22"/>
              </w:rPr>
            </w:pPr>
            <w:r>
              <w:rPr>
                <w:rFonts w:cs="Arial"/>
                <w:b/>
                <w:bCs/>
                <w:color w:val="000000"/>
                <w:sz w:val="22"/>
                <w:szCs w:val="22"/>
              </w:rPr>
              <w:t>77.5</w:t>
            </w:r>
          </w:p>
        </w:tc>
        <w:tc>
          <w:tcPr>
            <w:tcW w:w="1195"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b/>
                <w:bCs/>
                <w:color w:val="000000"/>
                <w:sz w:val="22"/>
                <w:szCs w:val="22"/>
              </w:rPr>
            </w:pPr>
            <w:r>
              <w:rPr>
                <w:rFonts w:cs="Arial"/>
                <w:b/>
                <w:bCs/>
                <w:color w:val="000000"/>
                <w:sz w:val="22"/>
                <w:szCs w:val="22"/>
              </w:rPr>
              <w:t>77.5</w:t>
            </w:r>
          </w:p>
        </w:tc>
        <w:tc>
          <w:tcPr>
            <w:tcW w:w="1276"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b/>
                <w:bCs/>
                <w:color w:val="000000"/>
                <w:sz w:val="22"/>
                <w:szCs w:val="22"/>
              </w:rPr>
            </w:pPr>
            <w:r>
              <w:rPr>
                <w:rFonts w:cs="Arial"/>
                <w:b/>
                <w:bCs/>
                <w:color w:val="000000"/>
                <w:sz w:val="22"/>
                <w:szCs w:val="22"/>
              </w:rPr>
              <w:t>22.5</w:t>
            </w:r>
          </w:p>
        </w:tc>
        <w:tc>
          <w:tcPr>
            <w:tcW w:w="1418" w:type="dxa"/>
            <w:tcBorders>
              <w:top w:val="nil"/>
              <w:left w:val="nil"/>
              <w:bottom w:val="single" w:sz="4" w:space="0" w:color="auto"/>
              <w:right w:val="single" w:sz="4" w:space="0" w:color="auto"/>
            </w:tcBorders>
            <w:shd w:val="clear" w:color="auto" w:fill="auto"/>
            <w:noWrap/>
            <w:vAlign w:val="bottom"/>
            <w:hideMark/>
          </w:tcPr>
          <w:p w:rsidR="00701A3D" w:rsidRDefault="00701A3D" w:rsidP="00701A3D">
            <w:pPr>
              <w:spacing w:before="0" w:after="0"/>
              <w:jc w:val="center"/>
              <w:rPr>
                <w:rFonts w:cs="Arial"/>
                <w:b/>
                <w:bCs/>
                <w:color w:val="000000"/>
                <w:sz w:val="22"/>
                <w:szCs w:val="22"/>
              </w:rPr>
            </w:pPr>
            <w:r>
              <w:rPr>
                <w:rFonts w:cs="Arial"/>
                <w:b/>
                <w:bCs/>
                <w:color w:val="000000"/>
                <w:sz w:val="22"/>
                <w:szCs w:val="22"/>
              </w:rPr>
              <w:t>54146</w:t>
            </w:r>
          </w:p>
        </w:tc>
      </w:tr>
    </w:tbl>
    <w:p w:rsidR="00FB7BAB" w:rsidRPr="00FB7BAB" w:rsidRDefault="00263002" w:rsidP="00C64021">
      <w:pPr>
        <w:pStyle w:val="Maintext"/>
        <w:numPr>
          <w:ilvl w:val="0"/>
          <w:numId w:val="0"/>
        </w:numPr>
        <w:ind w:left="709"/>
        <w:rPr>
          <w:sz w:val="20"/>
          <w:szCs w:val="20"/>
        </w:rPr>
      </w:pPr>
      <w:r>
        <w:rPr>
          <w:sz w:val="20"/>
          <w:szCs w:val="20"/>
        </w:rPr>
        <w:t>Source: 2012</w:t>
      </w:r>
      <w:r w:rsidR="00FB7BAB" w:rsidRPr="00FB7BAB">
        <w:rPr>
          <w:sz w:val="20"/>
          <w:szCs w:val="20"/>
        </w:rPr>
        <w:t xml:space="preserve"> household survey</w:t>
      </w:r>
      <w:r w:rsidR="00A71B15">
        <w:rPr>
          <w:sz w:val="20"/>
          <w:szCs w:val="20"/>
        </w:rPr>
        <w:t>, rebased to 2011 census</w:t>
      </w:r>
    </w:p>
    <w:p w:rsidR="003A6F13" w:rsidRDefault="00FB7BAB" w:rsidP="00FB7BAB">
      <w:pPr>
        <w:pStyle w:val="Maintext"/>
        <w:numPr>
          <w:ilvl w:val="0"/>
          <w:numId w:val="0"/>
        </w:numPr>
        <w:ind w:left="709"/>
        <w:rPr>
          <w:rFonts w:cs="Arial"/>
          <w:iCs/>
        </w:rPr>
      </w:pPr>
      <w:r>
        <w:t xml:space="preserve"> </w:t>
      </w:r>
      <w:r w:rsidR="003A6F13">
        <w:t xml:space="preserve"> </w:t>
      </w:r>
    </w:p>
    <w:p w:rsidR="00C64021" w:rsidRPr="000113E9" w:rsidRDefault="003A6F13" w:rsidP="000113E9">
      <w:pPr>
        <w:pStyle w:val="Maintext"/>
        <w:rPr>
          <w:rFonts w:cs="Arial"/>
          <w:iCs/>
        </w:rPr>
      </w:pPr>
      <w:r>
        <w:t xml:space="preserve">The CLG suggests that a </w:t>
      </w:r>
      <w:r w:rsidR="003C571F">
        <w:t xml:space="preserve">housing </w:t>
      </w:r>
      <w:r>
        <w:t xml:space="preserve">market is self-contained if at least 70% of households moving originate </w:t>
      </w:r>
      <w:r w:rsidR="00A71B15">
        <w:t xml:space="preserve">from the same area. </w:t>
      </w:r>
      <w:r>
        <w:t>On t</w:t>
      </w:r>
      <w:r w:rsidR="003C571F">
        <w:t>his basis,</w:t>
      </w:r>
      <w:r w:rsidR="001A3BF8">
        <w:t xml:space="preserve"> </w:t>
      </w:r>
      <w:r w:rsidR="00263002">
        <w:t xml:space="preserve">County Durham can be described as a self-contained </w:t>
      </w:r>
      <w:r w:rsidR="005D7D0B">
        <w:t>housing market</w:t>
      </w:r>
      <w:r w:rsidR="00B440F0">
        <w:t xml:space="preserve"> area</w:t>
      </w:r>
      <w:r w:rsidR="00263002">
        <w:t xml:space="preserve">. Within the County, </w:t>
      </w:r>
      <w:r w:rsidR="00A71B15">
        <w:t>none of the delivery areas can be described as self-contained housing market areas in terms of migration</w:t>
      </w:r>
      <w:r w:rsidR="00C64021">
        <w:t xml:space="preserve">. </w:t>
      </w:r>
      <w:r w:rsidR="00A71B15">
        <w:t>The Dales and South Durham a</w:t>
      </w:r>
      <w:r w:rsidR="00C64021">
        <w:t xml:space="preserve">re the least self-contained </w:t>
      </w:r>
      <w:r w:rsidR="005D7D0B">
        <w:t>delivery area</w:t>
      </w:r>
      <w:r w:rsidR="00C64021">
        <w:t xml:space="preserve">s, with fewer than 50% of moving households originating from the same </w:t>
      </w:r>
      <w:r w:rsidR="0083534C">
        <w:t>area</w:t>
      </w:r>
      <w:r w:rsidR="00C64021">
        <w:t>.</w:t>
      </w:r>
    </w:p>
    <w:p w:rsidR="00A71B15" w:rsidRPr="00A71B15" w:rsidRDefault="00A71B15" w:rsidP="00A71B15"/>
    <w:p w:rsidR="003A6F13" w:rsidRDefault="003A6F13" w:rsidP="00C64021">
      <w:pPr>
        <w:pStyle w:val="Heading3"/>
        <w:ind w:left="0" w:firstLine="709"/>
      </w:pPr>
      <w:r>
        <w:t xml:space="preserve">Characteristics of in-migrant households </w:t>
      </w:r>
    </w:p>
    <w:p w:rsidR="003A6F13" w:rsidRPr="007F273B" w:rsidRDefault="003A6F13" w:rsidP="001977A9">
      <w:pPr>
        <w:pStyle w:val="Maintext"/>
        <w:rPr>
          <w:iCs/>
          <w:sz w:val="20"/>
          <w:szCs w:val="20"/>
        </w:rPr>
      </w:pPr>
      <w:r>
        <w:rPr>
          <w:iCs/>
        </w:rPr>
        <w:t>The</w:t>
      </w:r>
      <w:r>
        <w:t xml:space="preserve"> household</w:t>
      </w:r>
      <w:r w:rsidR="00EC5ED9">
        <w:t xml:space="preserve"> survey identified around </w:t>
      </w:r>
      <w:r w:rsidR="00512FFE">
        <w:t>12,200</w:t>
      </w:r>
      <w:r>
        <w:t xml:space="preserve"> households who had moved into </w:t>
      </w:r>
      <w:r w:rsidR="001977A9">
        <w:t>County Durham from outside the county</w:t>
      </w:r>
      <w:r w:rsidR="00B86BFB">
        <w:t xml:space="preserve"> in the</w:t>
      </w:r>
      <w:r w:rsidR="001977A9">
        <w:t xml:space="preserve"> </w:t>
      </w:r>
      <w:r>
        <w:t xml:space="preserve">preceding five years.  Information relating to </w:t>
      </w:r>
      <w:r w:rsidR="008F098A">
        <w:t>in-</w:t>
      </w:r>
      <w:r w:rsidR="006E3921">
        <w:t>migrant</w:t>
      </w:r>
      <w:r>
        <w:t xml:space="preserve"> households includes:</w:t>
      </w:r>
    </w:p>
    <w:p w:rsidR="003A6F13" w:rsidRPr="007F273B" w:rsidRDefault="003A6F13">
      <w:pPr>
        <w:pStyle w:val="Maintext"/>
        <w:numPr>
          <w:ilvl w:val="2"/>
          <w:numId w:val="2"/>
        </w:numPr>
        <w:rPr>
          <w:rFonts w:cs="Arial"/>
          <w:iCs/>
        </w:rPr>
      </w:pPr>
      <w:r w:rsidRPr="007F273B">
        <w:rPr>
          <w:rFonts w:cs="Arial"/>
          <w:iCs/>
        </w:rPr>
        <w:t xml:space="preserve">Most moved into a house, particularly </w:t>
      </w:r>
      <w:r w:rsidR="00B86BFB">
        <w:rPr>
          <w:rFonts w:cs="Arial"/>
          <w:iCs/>
        </w:rPr>
        <w:t xml:space="preserve">terraced (34.0%), </w:t>
      </w:r>
      <w:r w:rsidR="001977A9">
        <w:rPr>
          <w:rFonts w:cs="Arial"/>
          <w:iCs/>
        </w:rPr>
        <w:t>semi-detached (29</w:t>
      </w:r>
      <w:r w:rsidR="00B86BFB">
        <w:rPr>
          <w:rFonts w:cs="Arial"/>
          <w:iCs/>
        </w:rPr>
        <w:t>.0%)</w:t>
      </w:r>
      <w:r w:rsidR="007F273B" w:rsidRPr="007F273B">
        <w:rPr>
          <w:rFonts w:cs="Arial"/>
          <w:iCs/>
        </w:rPr>
        <w:t xml:space="preserve"> </w:t>
      </w:r>
      <w:r w:rsidR="001977A9">
        <w:rPr>
          <w:rFonts w:cs="Arial"/>
          <w:iCs/>
        </w:rPr>
        <w:t>and detached (</w:t>
      </w:r>
      <w:r w:rsidR="00B86BFB">
        <w:rPr>
          <w:rFonts w:cs="Arial"/>
          <w:iCs/>
        </w:rPr>
        <w:t>20.4</w:t>
      </w:r>
      <w:r w:rsidR="007F273B" w:rsidRPr="007F273B">
        <w:rPr>
          <w:rFonts w:cs="Arial"/>
          <w:iCs/>
        </w:rPr>
        <w:t>%)</w:t>
      </w:r>
      <w:r w:rsidR="002E036D" w:rsidRPr="007F273B">
        <w:rPr>
          <w:rFonts w:cs="Arial"/>
          <w:iCs/>
        </w:rPr>
        <w:t xml:space="preserve">; </w:t>
      </w:r>
      <w:r w:rsidRPr="007F273B">
        <w:rPr>
          <w:rFonts w:cs="Arial"/>
          <w:iCs/>
        </w:rPr>
        <w:t xml:space="preserve">and a further </w:t>
      </w:r>
      <w:r w:rsidR="00B86BFB">
        <w:rPr>
          <w:rFonts w:cs="Arial"/>
          <w:iCs/>
        </w:rPr>
        <w:t>8.8</w:t>
      </w:r>
      <w:r w:rsidRPr="007F273B">
        <w:rPr>
          <w:rFonts w:cs="Arial"/>
          <w:iCs/>
        </w:rPr>
        <w:t xml:space="preserve">% moved into a </w:t>
      </w:r>
      <w:r w:rsidR="00FE10A9">
        <w:rPr>
          <w:rFonts w:cs="Arial"/>
          <w:iCs/>
        </w:rPr>
        <w:t>flat/apartm</w:t>
      </w:r>
      <w:r w:rsidR="001977A9">
        <w:rPr>
          <w:rFonts w:cs="Arial"/>
          <w:iCs/>
        </w:rPr>
        <w:t xml:space="preserve">ent and </w:t>
      </w:r>
      <w:r w:rsidR="00B86BFB">
        <w:rPr>
          <w:rFonts w:cs="Arial"/>
          <w:iCs/>
        </w:rPr>
        <w:t>6.2</w:t>
      </w:r>
      <w:r w:rsidR="007F273B" w:rsidRPr="007F273B">
        <w:rPr>
          <w:rFonts w:cs="Arial"/>
          <w:iCs/>
        </w:rPr>
        <w:t>% to a bungalow</w:t>
      </w:r>
      <w:r w:rsidR="00B7639A">
        <w:rPr>
          <w:rFonts w:cs="Arial"/>
          <w:iCs/>
        </w:rPr>
        <w:t>;</w:t>
      </w:r>
    </w:p>
    <w:p w:rsidR="002E036D" w:rsidRPr="007F273B" w:rsidRDefault="00872DE4">
      <w:pPr>
        <w:pStyle w:val="Maintext"/>
        <w:numPr>
          <w:ilvl w:val="2"/>
          <w:numId w:val="2"/>
        </w:numPr>
        <w:rPr>
          <w:rFonts w:cs="Arial"/>
          <w:iCs/>
        </w:rPr>
      </w:pPr>
      <w:r>
        <w:rPr>
          <w:rFonts w:cs="Arial"/>
          <w:iCs/>
        </w:rPr>
        <w:t>35.9</w:t>
      </w:r>
      <w:r w:rsidR="002E036D" w:rsidRPr="007F273B">
        <w:rPr>
          <w:rFonts w:cs="Arial"/>
          <w:iCs/>
        </w:rPr>
        <w:t>% moved into a three bedroom property,</w:t>
      </w:r>
      <w:r w:rsidR="00A54BE7" w:rsidRPr="007F273B">
        <w:rPr>
          <w:rFonts w:cs="Arial"/>
          <w:iCs/>
        </w:rPr>
        <w:t xml:space="preserve"> </w:t>
      </w:r>
      <w:r>
        <w:rPr>
          <w:rFonts w:cs="Arial"/>
          <w:iCs/>
        </w:rPr>
        <w:t>22.4</w:t>
      </w:r>
      <w:r w:rsidR="002E036D" w:rsidRPr="007F273B">
        <w:rPr>
          <w:rFonts w:cs="Arial"/>
          <w:iCs/>
        </w:rPr>
        <w:t xml:space="preserve">% into a property with more than three bedrooms and </w:t>
      </w:r>
      <w:r>
        <w:rPr>
          <w:rFonts w:cs="Arial"/>
          <w:iCs/>
        </w:rPr>
        <w:t>41.8</w:t>
      </w:r>
      <w:r w:rsidR="002E036D" w:rsidRPr="007F273B">
        <w:rPr>
          <w:rFonts w:cs="Arial"/>
          <w:iCs/>
        </w:rPr>
        <w:t xml:space="preserve">% into </w:t>
      </w:r>
      <w:r w:rsidR="007F273B" w:rsidRPr="007F273B">
        <w:rPr>
          <w:rFonts w:cs="Arial"/>
          <w:iCs/>
        </w:rPr>
        <w:t>smaller pr</w:t>
      </w:r>
      <w:r w:rsidR="001977A9">
        <w:rPr>
          <w:rFonts w:cs="Arial"/>
          <w:iCs/>
        </w:rPr>
        <w:t>operties with one (</w:t>
      </w:r>
      <w:r>
        <w:rPr>
          <w:rFonts w:cs="Arial"/>
          <w:iCs/>
        </w:rPr>
        <w:t>4.9</w:t>
      </w:r>
      <w:r w:rsidR="001977A9">
        <w:rPr>
          <w:rFonts w:cs="Arial"/>
          <w:iCs/>
        </w:rPr>
        <w:t>%) or two bedrooms (</w:t>
      </w:r>
      <w:r>
        <w:rPr>
          <w:rFonts w:cs="Arial"/>
          <w:iCs/>
        </w:rPr>
        <w:t>36.9</w:t>
      </w:r>
      <w:r w:rsidR="002E036D" w:rsidRPr="007F273B">
        <w:rPr>
          <w:rFonts w:cs="Arial"/>
          <w:iCs/>
        </w:rPr>
        <w:t>%);</w:t>
      </w:r>
    </w:p>
    <w:p w:rsidR="003A6F13" w:rsidRPr="00C1691A" w:rsidRDefault="00872DE4">
      <w:pPr>
        <w:pStyle w:val="Maintext"/>
        <w:numPr>
          <w:ilvl w:val="2"/>
          <w:numId w:val="2"/>
        </w:numPr>
        <w:rPr>
          <w:rFonts w:cs="Arial"/>
          <w:iCs/>
        </w:rPr>
      </w:pPr>
      <w:r>
        <w:rPr>
          <w:rFonts w:cs="Arial"/>
          <w:iCs/>
        </w:rPr>
        <w:t>48.4</w:t>
      </w:r>
      <w:r w:rsidR="003A6F13" w:rsidRPr="005B7767">
        <w:rPr>
          <w:rFonts w:cs="Arial"/>
          <w:iCs/>
        </w:rPr>
        <w:t xml:space="preserve">% moved into </w:t>
      </w:r>
      <w:r w:rsidR="003A6F13" w:rsidRPr="00C1691A">
        <w:rPr>
          <w:rFonts w:cs="Arial"/>
          <w:iCs/>
        </w:rPr>
        <w:t xml:space="preserve">owner occupied properties; </w:t>
      </w:r>
      <w:r w:rsidR="00B46754" w:rsidRPr="00C1691A">
        <w:rPr>
          <w:rFonts w:cs="Arial"/>
          <w:iCs/>
        </w:rPr>
        <w:t>45.1</w:t>
      </w:r>
      <w:r w:rsidR="002E036D" w:rsidRPr="00C1691A">
        <w:rPr>
          <w:rFonts w:cs="Arial"/>
          <w:iCs/>
        </w:rPr>
        <w:t xml:space="preserve">% into private renting and </w:t>
      </w:r>
      <w:r w:rsidR="001977A9" w:rsidRPr="00C1691A">
        <w:rPr>
          <w:rFonts w:cs="Arial"/>
          <w:iCs/>
        </w:rPr>
        <w:t>6</w:t>
      </w:r>
      <w:r w:rsidR="00B46754" w:rsidRPr="00C1691A">
        <w:rPr>
          <w:rFonts w:cs="Arial"/>
          <w:iCs/>
        </w:rPr>
        <w:t>.5</w:t>
      </w:r>
      <w:r w:rsidR="00891ED6" w:rsidRPr="00C1691A">
        <w:rPr>
          <w:rFonts w:cs="Arial"/>
          <w:iCs/>
        </w:rPr>
        <w:t xml:space="preserve">% moved into </w:t>
      </w:r>
      <w:r w:rsidR="007F273B" w:rsidRPr="00C1691A">
        <w:rPr>
          <w:rFonts w:cs="Arial"/>
          <w:iCs/>
        </w:rPr>
        <w:t>affordable (social rented/intermediate tenure) dwellings</w:t>
      </w:r>
      <w:r w:rsidR="003A6F13" w:rsidRPr="00C1691A">
        <w:rPr>
          <w:rFonts w:cs="Arial"/>
          <w:iCs/>
        </w:rPr>
        <w:t>;</w:t>
      </w:r>
    </w:p>
    <w:p w:rsidR="001977A9" w:rsidRPr="00155C1E" w:rsidRDefault="00155C1E" w:rsidP="008F098A">
      <w:pPr>
        <w:pStyle w:val="Maintext"/>
        <w:numPr>
          <w:ilvl w:val="2"/>
          <w:numId w:val="2"/>
        </w:numPr>
        <w:rPr>
          <w:rFonts w:cs="Arial"/>
          <w:iCs/>
        </w:rPr>
      </w:pPr>
      <w:r w:rsidRPr="00155C1E">
        <w:rPr>
          <w:rFonts w:cs="Arial"/>
          <w:iCs/>
        </w:rPr>
        <w:t>In terms of geography, 25.4% moved into North Durham, 23.7% into Central Durham, 22.8% into East Durham, 8.9</w:t>
      </w:r>
      <w:r w:rsidR="00C1691A" w:rsidRPr="00155C1E">
        <w:rPr>
          <w:rFonts w:cs="Arial"/>
          <w:iCs/>
        </w:rPr>
        <w:t>% into The Dales and 19.0% into South Durham;</w:t>
      </w:r>
    </w:p>
    <w:p w:rsidR="007F273B" w:rsidRPr="00A40BFF" w:rsidRDefault="001977A9" w:rsidP="00A40BFF">
      <w:pPr>
        <w:pStyle w:val="Maintext"/>
        <w:numPr>
          <w:ilvl w:val="2"/>
          <w:numId w:val="2"/>
        </w:numPr>
        <w:rPr>
          <w:rFonts w:cs="Arial"/>
          <w:iCs/>
        </w:rPr>
      </w:pPr>
      <w:r w:rsidRPr="00C1691A">
        <w:rPr>
          <w:rFonts w:cs="Arial"/>
          <w:iCs/>
        </w:rPr>
        <w:t>C</w:t>
      </w:r>
      <w:r w:rsidR="00A40BFF" w:rsidRPr="00C1691A">
        <w:rPr>
          <w:rFonts w:cs="Arial"/>
          <w:iCs/>
        </w:rPr>
        <w:t>ouples w</w:t>
      </w:r>
      <w:r w:rsidR="00DD454B" w:rsidRPr="00C1691A">
        <w:rPr>
          <w:rFonts w:cs="Arial"/>
          <w:iCs/>
        </w:rPr>
        <w:t xml:space="preserve">ith children (including adult children) accounted for </w:t>
      </w:r>
      <w:r w:rsidR="00B46754" w:rsidRPr="00C1691A">
        <w:rPr>
          <w:rFonts w:cs="Arial"/>
          <w:iCs/>
        </w:rPr>
        <w:t>31.0</w:t>
      </w:r>
      <w:r w:rsidR="00A40BFF" w:rsidRPr="00C1691A">
        <w:rPr>
          <w:rFonts w:cs="Arial"/>
          <w:iCs/>
        </w:rPr>
        <w:t xml:space="preserve">% of in-migrant households, </w:t>
      </w:r>
      <w:r w:rsidRPr="00C1691A">
        <w:rPr>
          <w:rFonts w:cs="Arial"/>
          <w:iCs/>
        </w:rPr>
        <w:t>cou</w:t>
      </w:r>
      <w:r>
        <w:rPr>
          <w:rFonts w:cs="Arial"/>
          <w:iCs/>
        </w:rPr>
        <w:t xml:space="preserve">ples (under 60, no children) </w:t>
      </w:r>
      <w:r w:rsidR="00B46754">
        <w:rPr>
          <w:rFonts w:cs="Arial"/>
          <w:iCs/>
        </w:rPr>
        <w:t>23.0</w:t>
      </w:r>
      <w:r>
        <w:rPr>
          <w:rFonts w:cs="Arial"/>
          <w:iCs/>
        </w:rPr>
        <w:t>%, singles under 60 (</w:t>
      </w:r>
      <w:r w:rsidR="00B46754">
        <w:rPr>
          <w:rFonts w:cs="Arial"/>
          <w:iCs/>
        </w:rPr>
        <w:t>16.8</w:t>
      </w:r>
      <w:r>
        <w:rPr>
          <w:rFonts w:cs="Arial"/>
          <w:iCs/>
        </w:rPr>
        <w:t>%)</w:t>
      </w:r>
      <w:r w:rsidR="00B46754">
        <w:rPr>
          <w:rFonts w:cs="Arial"/>
          <w:iCs/>
        </w:rPr>
        <w:t xml:space="preserve">, </w:t>
      </w:r>
      <w:r w:rsidR="00DD454B">
        <w:rPr>
          <w:rFonts w:cs="Arial"/>
          <w:iCs/>
        </w:rPr>
        <w:t xml:space="preserve">older person households </w:t>
      </w:r>
      <w:r w:rsidR="00B46754">
        <w:rPr>
          <w:rFonts w:cs="Arial"/>
          <w:iCs/>
        </w:rPr>
        <w:t>18.8</w:t>
      </w:r>
      <w:r w:rsidR="00DD454B">
        <w:rPr>
          <w:rFonts w:cs="Arial"/>
          <w:iCs/>
        </w:rPr>
        <w:t xml:space="preserve">%, lone parents </w:t>
      </w:r>
      <w:r w:rsidR="00B46754">
        <w:rPr>
          <w:rFonts w:cs="Arial"/>
          <w:iCs/>
        </w:rPr>
        <w:t>6.4</w:t>
      </w:r>
      <w:r w:rsidR="00DD454B">
        <w:rPr>
          <w:rFonts w:cs="Arial"/>
          <w:iCs/>
        </w:rPr>
        <w:t xml:space="preserve">% and other household types </w:t>
      </w:r>
      <w:r w:rsidR="00B46754">
        <w:rPr>
          <w:rFonts w:cs="Arial"/>
          <w:iCs/>
        </w:rPr>
        <w:t>4.0</w:t>
      </w:r>
      <w:r w:rsidR="00DD454B">
        <w:rPr>
          <w:rFonts w:cs="Arial"/>
          <w:iCs/>
        </w:rPr>
        <w:t>%</w:t>
      </w:r>
      <w:r w:rsidR="00A40BFF">
        <w:rPr>
          <w:rFonts w:cs="Arial"/>
          <w:iCs/>
        </w:rPr>
        <w:t>;</w:t>
      </w:r>
    </w:p>
    <w:p w:rsidR="005B7767" w:rsidRPr="005B7767" w:rsidRDefault="00465C9C">
      <w:pPr>
        <w:pStyle w:val="Maintext"/>
        <w:numPr>
          <w:ilvl w:val="2"/>
          <w:numId w:val="2"/>
        </w:numPr>
        <w:rPr>
          <w:rFonts w:cs="Arial"/>
          <w:iCs/>
        </w:rPr>
      </w:pPr>
      <w:r>
        <w:rPr>
          <w:rFonts w:cs="Arial"/>
          <w:iCs/>
        </w:rPr>
        <w:t>48.7</w:t>
      </w:r>
      <w:r w:rsidR="00A40BFF">
        <w:rPr>
          <w:rFonts w:cs="Arial"/>
          <w:iCs/>
        </w:rPr>
        <w:t>% of in-migrant household reference people (</w:t>
      </w:r>
      <w:r w:rsidR="005B7767" w:rsidRPr="005B7767">
        <w:rPr>
          <w:rFonts w:cs="Arial"/>
          <w:iCs/>
        </w:rPr>
        <w:t>heads of household</w:t>
      </w:r>
      <w:r w:rsidR="00A40BFF">
        <w:rPr>
          <w:rFonts w:cs="Arial"/>
          <w:iCs/>
        </w:rPr>
        <w:t>) were aged 16-39</w:t>
      </w:r>
      <w:r w:rsidR="005B7767" w:rsidRPr="005B7767">
        <w:rPr>
          <w:rFonts w:cs="Arial"/>
          <w:iCs/>
        </w:rPr>
        <w:t>, a further</w:t>
      </w:r>
      <w:r w:rsidR="00DD454B">
        <w:rPr>
          <w:rFonts w:cs="Arial"/>
          <w:iCs/>
        </w:rPr>
        <w:t xml:space="preserve"> </w:t>
      </w:r>
      <w:r>
        <w:rPr>
          <w:rFonts w:cs="Arial"/>
          <w:iCs/>
        </w:rPr>
        <w:t>34.1</w:t>
      </w:r>
      <w:r w:rsidR="00A40BFF">
        <w:rPr>
          <w:rFonts w:cs="Arial"/>
          <w:iCs/>
        </w:rPr>
        <w:t>% were aged 40-59</w:t>
      </w:r>
      <w:r w:rsidR="00DD454B">
        <w:rPr>
          <w:rFonts w:cs="Arial"/>
          <w:iCs/>
        </w:rPr>
        <w:t xml:space="preserve"> and </w:t>
      </w:r>
      <w:r>
        <w:rPr>
          <w:rFonts w:cs="Arial"/>
          <w:iCs/>
        </w:rPr>
        <w:t>17.2</w:t>
      </w:r>
      <w:r w:rsidR="00DD454B">
        <w:rPr>
          <w:rFonts w:cs="Arial"/>
          <w:iCs/>
        </w:rPr>
        <w:t xml:space="preserve">% were aged 60 or over; </w:t>
      </w:r>
    </w:p>
    <w:p w:rsidR="00A40BFF" w:rsidRDefault="003A6F13" w:rsidP="00A40BFF">
      <w:pPr>
        <w:pStyle w:val="Maintext"/>
        <w:numPr>
          <w:ilvl w:val="2"/>
          <w:numId w:val="2"/>
        </w:numPr>
        <w:rPr>
          <w:rFonts w:cs="Arial"/>
          <w:iCs/>
        </w:rPr>
      </w:pPr>
      <w:r w:rsidRPr="005B7767">
        <w:rPr>
          <w:rFonts w:cs="Arial"/>
          <w:iCs/>
        </w:rPr>
        <w:t>The majority of heads of household of in-migrant hou</w:t>
      </w:r>
      <w:r w:rsidR="00FD6161" w:rsidRPr="005B7767">
        <w:rPr>
          <w:rFonts w:cs="Arial"/>
          <w:iCs/>
        </w:rPr>
        <w:t>seholds were in employment (</w:t>
      </w:r>
      <w:r w:rsidR="00465C9C">
        <w:rPr>
          <w:rFonts w:cs="Arial"/>
          <w:iCs/>
        </w:rPr>
        <w:t>61.0</w:t>
      </w:r>
      <w:r w:rsidR="00A40BFF">
        <w:rPr>
          <w:rFonts w:cs="Arial"/>
          <w:iCs/>
        </w:rPr>
        <w:t xml:space="preserve">% of which </w:t>
      </w:r>
      <w:r w:rsidR="00465C9C">
        <w:rPr>
          <w:rFonts w:cs="Arial"/>
          <w:iCs/>
        </w:rPr>
        <w:t>44.8</w:t>
      </w:r>
      <w:r w:rsidR="00FD6161" w:rsidRPr="005B7767">
        <w:rPr>
          <w:rFonts w:cs="Arial"/>
          <w:iCs/>
        </w:rPr>
        <w:t xml:space="preserve">% </w:t>
      </w:r>
      <w:r w:rsidR="00A40BFF">
        <w:rPr>
          <w:rFonts w:cs="Arial"/>
          <w:iCs/>
        </w:rPr>
        <w:t xml:space="preserve">were full-time, </w:t>
      </w:r>
      <w:r w:rsidR="00465C9C">
        <w:rPr>
          <w:rFonts w:cs="Arial"/>
          <w:iCs/>
        </w:rPr>
        <w:t>11.6</w:t>
      </w:r>
      <w:r w:rsidR="00A40BFF">
        <w:rPr>
          <w:rFonts w:cs="Arial"/>
          <w:iCs/>
        </w:rPr>
        <w:t xml:space="preserve">% part-time and </w:t>
      </w:r>
      <w:r w:rsidR="00465C9C">
        <w:rPr>
          <w:rFonts w:cs="Arial"/>
          <w:iCs/>
        </w:rPr>
        <w:t>4.6</w:t>
      </w:r>
      <w:r w:rsidRPr="005B7767">
        <w:rPr>
          <w:rFonts w:cs="Arial"/>
          <w:iCs/>
        </w:rPr>
        <w:t xml:space="preserve">% self-employed), with a further </w:t>
      </w:r>
      <w:r w:rsidR="00465C9C">
        <w:rPr>
          <w:rFonts w:cs="Arial"/>
          <w:iCs/>
        </w:rPr>
        <w:t>16.4</w:t>
      </w:r>
      <w:r w:rsidR="00DD454B">
        <w:rPr>
          <w:rFonts w:cs="Arial"/>
          <w:iCs/>
        </w:rPr>
        <w:t xml:space="preserve">% wholly retired from work, </w:t>
      </w:r>
      <w:r w:rsidR="00465C9C">
        <w:rPr>
          <w:rFonts w:cs="Arial"/>
          <w:iCs/>
        </w:rPr>
        <w:t>7.2</w:t>
      </w:r>
      <w:r w:rsidR="00DD454B">
        <w:rPr>
          <w:rFonts w:cs="Arial"/>
          <w:iCs/>
        </w:rPr>
        <w:t xml:space="preserve">% unemployed and available for work, </w:t>
      </w:r>
      <w:r w:rsidR="00465C9C">
        <w:rPr>
          <w:rFonts w:cs="Arial"/>
          <w:iCs/>
        </w:rPr>
        <w:t>4.4% permanently sick/disabled, 5.8</w:t>
      </w:r>
      <w:r w:rsidR="00DD454B">
        <w:rPr>
          <w:rFonts w:cs="Arial"/>
          <w:iCs/>
        </w:rPr>
        <w:t xml:space="preserve">% looking after the home, </w:t>
      </w:r>
      <w:r w:rsidR="00465C9C">
        <w:rPr>
          <w:rFonts w:cs="Arial"/>
          <w:iCs/>
        </w:rPr>
        <w:t>4.4</w:t>
      </w:r>
      <w:r w:rsidR="00DD454B">
        <w:rPr>
          <w:rFonts w:cs="Arial"/>
          <w:iCs/>
        </w:rPr>
        <w:t>% were in full-time education and 0.8% were full-time carers/volunteers</w:t>
      </w:r>
      <w:r w:rsidR="00A40BFF">
        <w:rPr>
          <w:rFonts w:cs="Arial"/>
          <w:iCs/>
        </w:rPr>
        <w:t>;</w:t>
      </w:r>
    </w:p>
    <w:p w:rsidR="00DD454B" w:rsidRDefault="005D63A8" w:rsidP="00A40BFF">
      <w:pPr>
        <w:pStyle w:val="Maintext"/>
        <w:numPr>
          <w:ilvl w:val="2"/>
          <w:numId w:val="2"/>
        </w:numPr>
        <w:rPr>
          <w:rFonts w:cs="Arial"/>
          <w:iCs/>
        </w:rPr>
      </w:pPr>
      <w:r>
        <w:rPr>
          <w:rFonts w:cs="Arial"/>
          <w:iCs/>
        </w:rPr>
        <w:t>65.0% of</w:t>
      </w:r>
      <w:r w:rsidR="00DD454B">
        <w:rPr>
          <w:rFonts w:cs="Arial"/>
          <w:iCs/>
        </w:rPr>
        <w:t xml:space="preserve"> in-migrant heads of household were in managerial, professional and associate professional occupations;</w:t>
      </w:r>
    </w:p>
    <w:p w:rsidR="003A6F13" w:rsidRPr="00C620CD" w:rsidRDefault="00AF044A">
      <w:pPr>
        <w:pStyle w:val="Maintext"/>
        <w:numPr>
          <w:ilvl w:val="2"/>
          <w:numId w:val="2"/>
        </w:numPr>
        <w:rPr>
          <w:rFonts w:cs="Arial"/>
          <w:iCs/>
        </w:rPr>
      </w:pPr>
      <w:r>
        <w:rPr>
          <w:rFonts w:cs="Arial"/>
          <w:iCs/>
        </w:rPr>
        <w:t>45.8</w:t>
      </w:r>
      <w:r w:rsidR="003A6F13" w:rsidRPr="00C620CD">
        <w:rPr>
          <w:rFonts w:cs="Arial"/>
          <w:iCs/>
        </w:rPr>
        <w:t xml:space="preserve">% of households had a weekly income of </w:t>
      </w:r>
      <w:r w:rsidR="00A40BFF">
        <w:rPr>
          <w:rFonts w:cs="Arial"/>
          <w:iCs/>
        </w:rPr>
        <w:t xml:space="preserve">at least £500 (with </w:t>
      </w:r>
      <w:r w:rsidR="003D14D0">
        <w:rPr>
          <w:rFonts w:cs="Arial"/>
          <w:iCs/>
        </w:rPr>
        <w:t>15.7</w:t>
      </w:r>
      <w:r w:rsidR="00FD6161" w:rsidRPr="00C620CD">
        <w:rPr>
          <w:rFonts w:cs="Arial"/>
          <w:iCs/>
        </w:rPr>
        <w:t>% receiving at least £</w:t>
      </w:r>
      <w:r w:rsidR="00A40BFF">
        <w:rPr>
          <w:rFonts w:cs="Arial"/>
          <w:iCs/>
        </w:rPr>
        <w:t>950</w:t>
      </w:r>
      <w:r w:rsidR="005B7767" w:rsidRPr="00C620CD">
        <w:rPr>
          <w:rFonts w:cs="Arial"/>
          <w:iCs/>
        </w:rPr>
        <w:t xml:space="preserve"> each week); a further </w:t>
      </w:r>
      <w:r w:rsidR="003D14D0">
        <w:rPr>
          <w:rFonts w:cs="Arial"/>
          <w:iCs/>
        </w:rPr>
        <w:t>24.1</w:t>
      </w:r>
      <w:r w:rsidR="00FD6161" w:rsidRPr="00C620CD">
        <w:rPr>
          <w:rFonts w:cs="Arial"/>
          <w:iCs/>
        </w:rPr>
        <w:t xml:space="preserve">% received between £300 and £500 each week and </w:t>
      </w:r>
      <w:r w:rsidR="003D14D0">
        <w:rPr>
          <w:rFonts w:cs="Arial"/>
          <w:iCs/>
        </w:rPr>
        <w:t>30.1</w:t>
      </w:r>
      <w:r w:rsidR="00FD6161" w:rsidRPr="00C620CD">
        <w:rPr>
          <w:rFonts w:cs="Arial"/>
          <w:iCs/>
        </w:rPr>
        <w:t>% received less than £300 each week</w:t>
      </w:r>
      <w:r w:rsidR="00E16E48" w:rsidRPr="00C620CD">
        <w:rPr>
          <w:rFonts w:cs="Arial"/>
          <w:iCs/>
        </w:rPr>
        <w:t xml:space="preserve">; </w:t>
      </w:r>
    </w:p>
    <w:p w:rsidR="00DD454B" w:rsidRDefault="00DD454B" w:rsidP="00912D3E">
      <w:pPr>
        <w:pStyle w:val="Maintext"/>
        <w:numPr>
          <w:ilvl w:val="2"/>
          <w:numId w:val="2"/>
        </w:numPr>
      </w:pPr>
      <w:r>
        <w:t xml:space="preserve">A majority of in-migrant heads of household </w:t>
      </w:r>
      <w:r w:rsidR="00CC1A42">
        <w:t>(</w:t>
      </w:r>
      <w:r w:rsidR="007759E8">
        <w:t>54.8</w:t>
      </w:r>
      <w:r w:rsidR="00CC1A42">
        <w:t xml:space="preserve">%) </w:t>
      </w:r>
      <w:r>
        <w:t>worked outside County Durham</w:t>
      </w:r>
      <w:r w:rsidR="00CC1A42">
        <w:t xml:space="preserve"> and </w:t>
      </w:r>
      <w:r w:rsidR="007759E8">
        <w:t>45.2</w:t>
      </w:r>
      <w:r w:rsidR="00CC1A42">
        <w:t>% worked in the County</w:t>
      </w:r>
      <w:r>
        <w:t xml:space="preserve">. Overall, </w:t>
      </w:r>
      <w:r w:rsidR="007759E8">
        <w:t>20.6</w:t>
      </w:r>
      <w:r>
        <w:t xml:space="preserve">% worked in Durham City, </w:t>
      </w:r>
      <w:r w:rsidR="00CC1A42">
        <w:t>24.</w:t>
      </w:r>
      <w:r w:rsidR="007759E8">
        <w:t>6</w:t>
      </w:r>
      <w:r>
        <w:t xml:space="preserve">% elsewhere in County Durham; </w:t>
      </w:r>
      <w:r w:rsidR="007759E8">
        <w:t>38.8</w:t>
      </w:r>
      <w:r>
        <w:t xml:space="preserve">% </w:t>
      </w:r>
      <w:r w:rsidR="007759E8">
        <w:t>worked in Tyne and Wear (with 16.0</w:t>
      </w:r>
      <w:r>
        <w:t xml:space="preserve">% working in Newcastle and </w:t>
      </w:r>
      <w:r w:rsidR="007759E8">
        <w:t>12.5</w:t>
      </w:r>
      <w:r>
        <w:t xml:space="preserve">% in Sunderland); </w:t>
      </w:r>
      <w:r w:rsidR="007759E8">
        <w:t>11.6</w:t>
      </w:r>
      <w:r>
        <w:t>% worked in T</w:t>
      </w:r>
      <w:r w:rsidR="00CC1A42">
        <w:t>ees Valley, 1</w:t>
      </w:r>
      <w:r w:rsidR="007759E8">
        <w:t>.4</w:t>
      </w:r>
      <w:r w:rsidR="00CC1A42">
        <w:t>% els</w:t>
      </w:r>
      <w:r w:rsidR="007759E8">
        <w:t>ewhere in the North East and 3.0</w:t>
      </w:r>
      <w:r w:rsidR="00CC1A42">
        <w:t>% worked outside the North East</w:t>
      </w:r>
      <w:r w:rsidR="007759E8">
        <w:t>;</w:t>
      </w:r>
    </w:p>
    <w:p w:rsidR="009D58BF" w:rsidRDefault="00B26D94" w:rsidP="009D58BF">
      <w:pPr>
        <w:pStyle w:val="Maintext"/>
        <w:numPr>
          <w:ilvl w:val="2"/>
          <w:numId w:val="2"/>
        </w:numPr>
      </w:pPr>
      <w:r w:rsidRPr="00C620CD">
        <w:t>The m</w:t>
      </w:r>
      <w:r w:rsidR="004F46DD">
        <w:t xml:space="preserve">ain reasons for moving </w:t>
      </w:r>
      <w:r w:rsidRPr="00C620CD">
        <w:t xml:space="preserve">were </w:t>
      </w:r>
      <w:r w:rsidR="000113E9">
        <w:t xml:space="preserve">to be closer to family and friends for social reasons (17.2%), </w:t>
      </w:r>
      <w:r w:rsidR="007759E8">
        <w:t xml:space="preserve">to be closer to work (17.1%), </w:t>
      </w:r>
      <w:r w:rsidR="009D58BF">
        <w:t>wanting a larger property (</w:t>
      </w:r>
      <w:r w:rsidR="007759E8">
        <w:t>13.0</w:t>
      </w:r>
      <w:r w:rsidR="000113E9">
        <w:t>%)</w:t>
      </w:r>
      <w:r w:rsidR="00CC1A42">
        <w:t xml:space="preserve"> and </w:t>
      </w:r>
      <w:r w:rsidR="000113E9">
        <w:t>for marriage/to live together (7.8%);</w:t>
      </w:r>
    </w:p>
    <w:p w:rsidR="009D58BF" w:rsidRDefault="00896970" w:rsidP="009D58BF">
      <w:pPr>
        <w:pStyle w:val="Maintext"/>
        <w:numPr>
          <w:ilvl w:val="2"/>
          <w:numId w:val="2"/>
        </w:numPr>
      </w:pPr>
      <w:r>
        <w:t>22.5</w:t>
      </w:r>
      <w:r w:rsidR="00505528">
        <w:t xml:space="preserve">% of households moving in the past five years originated from outside </w:t>
      </w:r>
      <w:r w:rsidR="00CC1A42">
        <w:t xml:space="preserve">County Durham </w:t>
      </w:r>
      <w:r w:rsidR="00505528">
        <w:t xml:space="preserve">of whom </w:t>
      </w:r>
      <w:r>
        <w:t>10.8</w:t>
      </w:r>
      <w:r w:rsidR="00505528">
        <w:t>% were f</w:t>
      </w:r>
      <w:r w:rsidR="00CC1A42">
        <w:t xml:space="preserve">rom elsewhere in the North East (Tyne and Wear </w:t>
      </w:r>
      <w:r>
        <w:t>6.7</w:t>
      </w:r>
      <w:r w:rsidR="00CC1A42">
        <w:t xml:space="preserve">% </w:t>
      </w:r>
      <w:r>
        <w:t xml:space="preserve">including </w:t>
      </w:r>
      <w:r w:rsidR="00CC1A42">
        <w:t xml:space="preserve">of </w:t>
      </w:r>
      <w:r>
        <w:t>2.5% from Sunderland and 2.4% from Gateshead), 1.8</w:t>
      </w:r>
      <w:r w:rsidR="00CC1A42">
        <w:t xml:space="preserve">% were from Yorkshire and the Humber, </w:t>
      </w:r>
      <w:r>
        <w:t>2.3</w:t>
      </w:r>
      <w:r w:rsidR="00CC1A42">
        <w:t xml:space="preserve">% from the North West, </w:t>
      </w:r>
      <w:r>
        <w:t>6.6</w:t>
      </w:r>
      <w:r w:rsidR="00CC1A42">
        <w:t xml:space="preserve">% from elsewhere in the UK and </w:t>
      </w:r>
      <w:r>
        <w:t>1.1</w:t>
      </w:r>
      <w:r w:rsidR="00CC1A42">
        <w:t xml:space="preserve">% from outside the UK. </w:t>
      </w:r>
    </w:p>
    <w:p w:rsidR="00C620CD" w:rsidRDefault="00C620CD" w:rsidP="00973D99">
      <w:pPr>
        <w:pStyle w:val="Heading3"/>
        <w:ind w:left="0" w:firstLine="709"/>
      </w:pPr>
      <w:bookmarkStart w:id="81" w:name="_Toc225941532"/>
    </w:p>
    <w:p w:rsidR="003A6F13" w:rsidRDefault="003A6F13" w:rsidP="00973D99">
      <w:pPr>
        <w:pStyle w:val="Heading3"/>
        <w:ind w:left="0" w:firstLine="709"/>
      </w:pPr>
      <w:r>
        <w:t>Residential mobility w</w:t>
      </w:r>
      <w:r w:rsidR="00C64021">
        <w:t>ithin Count</w:t>
      </w:r>
      <w:r w:rsidR="009D58BF">
        <w:t>y Durham</w:t>
      </w:r>
    </w:p>
    <w:p w:rsidR="003A6F13" w:rsidRDefault="003A6F13">
      <w:pPr>
        <w:pStyle w:val="Maintext"/>
        <w:rPr>
          <w:rFonts w:cs="Arial"/>
        </w:rPr>
      </w:pPr>
      <w:r>
        <w:t xml:space="preserve">The household survey identified that </w:t>
      </w:r>
      <w:r w:rsidR="004F46DD">
        <w:t>the vast majority (</w:t>
      </w:r>
      <w:r w:rsidR="00E93304">
        <w:t>7</w:t>
      </w:r>
      <w:r w:rsidR="00343F71">
        <w:t>7.5</w:t>
      </w:r>
      <w:r w:rsidR="00E93304">
        <w:t>%)</w:t>
      </w:r>
      <w:r w:rsidR="004F46DD">
        <w:t xml:space="preserve"> </w:t>
      </w:r>
      <w:r>
        <w:t xml:space="preserve">of households moving within the preceding 5 years had moved within </w:t>
      </w:r>
      <w:r w:rsidR="00E93304">
        <w:t>County Durham</w:t>
      </w:r>
      <w:r>
        <w:t xml:space="preserve">. </w:t>
      </w:r>
    </w:p>
    <w:p w:rsidR="003A6F13" w:rsidRPr="006A0E01" w:rsidRDefault="003A6F13" w:rsidP="007F769B">
      <w:pPr>
        <w:pStyle w:val="Maintext"/>
        <w:rPr>
          <w:rFonts w:cs="Arial"/>
        </w:rPr>
      </w:pPr>
      <w:r>
        <w:t xml:space="preserve">Households moving within </w:t>
      </w:r>
      <w:r w:rsidR="00E93304">
        <w:rPr>
          <w:rFonts w:cs="Arial"/>
          <w:iCs/>
        </w:rPr>
        <w:t>County Durham</w:t>
      </w:r>
      <w:r>
        <w:rPr>
          <w:rFonts w:cs="Arial"/>
          <w:iCs/>
        </w:rPr>
        <w:t xml:space="preserve"> </w:t>
      </w:r>
      <w:r>
        <w:t>were doing so for a variety of reasons</w:t>
      </w:r>
      <w:r w:rsidR="00E93304">
        <w:t xml:space="preserve"> but the</w:t>
      </w:r>
      <w:r>
        <w:t xml:space="preserve"> most frequently reported </w:t>
      </w:r>
      <w:r w:rsidR="00E93304">
        <w:t xml:space="preserve">was </w:t>
      </w:r>
      <w:r>
        <w:t xml:space="preserve">moving to </w:t>
      </w:r>
      <w:r w:rsidR="00521FA5">
        <w:t>a large/</w:t>
      </w:r>
      <w:r w:rsidR="00650D2A">
        <w:t>better property (</w:t>
      </w:r>
      <w:r w:rsidR="0065201D">
        <w:t>17.5</w:t>
      </w:r>
      <w:r w:rsidR="007F769B">
        <w:t>%)</w:t>
      </w:r>
      <w:r w:rsidR="00E93304">
        <w:t xml:space="preserve">, </w:t>
      </w:r>
      <w:r w:rsidR="0065201D">
        <w:t xml:space="preserve">being forced to move (8.9%), </w:t>
      </w:r>
      <w:r w:rsidR="00E93304">
        <w:t xml:space="preserve">followed by </w:t>
      </w:r>
      <w:r w:rsidR="00521FA5">
        <w:t>wanting</w:t>
      </w:r>
      <w:r w:rsidR="00650D2A">
        <w:t xml:space="preserve"> o</w:t>
      </w:r>
      <w:r w:rsidR="00E93304">
        <w:t>wn home/live independently (</w:t>
      </w:r>
      <w:r w:rsidR="0065201D">
        <w:t>8.8</w:t>
      </w:r>
      <w:r w:rsidR="00650D2A">
        <w:t>%)</w:t>
      </w:r>
      <w:r w:rsidR="00E93304">
        <w:t>, and needing housing suitable for an older/disabled person (7</w:t>
      </w:r>
      <w:r w:rsidR="00521FA5">
        <w:t>.2</w:t>
      </w:r>
      <w:r w:rsidR="00E93304">
        <w:t>%)</w:t>
      </w:r>
      <w:r w:rsidR="00650D2A">
        <w:t>.</w:t>
      </w:r>
    </w:p>
    <w:p w:rsidR="003A6F13" w:rsidRPr="00155C1E" w:rsidRDefault="00967514">
      <w:pPr>
        <w:pStyle w:val="Maintext"/>
        <w:rPr>
          <w:rFonts w:cs="Arial"/>
          <w:iCs/>
        </w:rPr>
      </w:pPr>
      <w:r w:rsidRPr="00155C1E">
        <w:t>Table 3.6</w:t>
      </w:r>
      <w:r w:rsidR="003A6F13" w:rsidRPr="00155C1E">
        <w:t xml:space="preserve"> reviews the tenure choices of households moving within </w:t>
      </w:r>
      <w:r w:rsidR="00E93304" w:rsidRPr="00155C1E">
        <w:t>County Durham.</w:t>
      </w:r>
      <w:r w:rsidR="003A6F13" w:rsidRPr="00155C1E">
        <w:t xml:space="preserve">  Owner-occupiers </w:t>
      </w:r>
      <w:r w:rsidR="00661208" w:rsidRPr="00155C1E">
        <w:t xml:space="preserve">and </w:t>
      </w:r>
      <w:r w:rsidR="006A0E01" w:rsidRPr="00155C1E">
        <w:t>private</w:t>
      </w:r>
      <w:r w:rsidR="00661208" w:rsidRPr="00155C1E">
        <w:t xml:space="preserve"> renters </w:t>
      </w:r>
      <w:r w:rsidR="007734D6" w:rsidRPr="00155C1E">
        <w:t xml:space="preserve">are most likely to remain in the same tenure. </w:t>
      </w:r>
      <w:r w:rsidR="00155C1E" w:rsidRPr="00155C1E">
        <w:t>13.3</w:t>
      </w:r>
      <w:r w:rsidR="00466215" w:rsidRPr="00155C1E">
        <w:t>% of private renters moved into ow</w:t>
      </w:r>
      <w:r w:rsidR="00661208" w:rsidRPr="00155C1E">
        <w:t>n</w:t>
      </w:r>
      <w:r w:rsidR="00155C1E" w:rsidRPr="00155C1E">
        <w:t>er occupation and a further 19.3</w:t>
      </w:r>
      <w:r w:rsidR="00661208" w:rsidRPr="00155C1E">
        <w:t>% in</w:t>
      </w:r>
      <w:r w:rsidR="00466215" w:rsidRPr="00155C1E">
        <w:t>to social renting</w:t>
      </w:r>
      <w:r w:rsidR="00063DAC" w:rsidRPr="00155C1E">
        <w:t>.</w:t>
      </w:r>
      <w:r w:rsidR="00466215" w:rsidRPr="00155C1E">
        <w:t xml:space="preserve"> </w:t>
      </w:r>
      <w:r w:rsidR="003A6F13" w:rsidRPr="00155C1E">
        <w:t>Respondents who had previously lived with family and friends (i.e. newly forming households) tended to move</w:t>
      </w:r>
      <w:r w:rsidR="00661208" w:rsidRPr="00155C1E">
        <w:t xml:space="preserve"> into </w:t>
      </w:r>
      <w:r w:rsidR="00155C1E" w:rsidRPr="00155C1E">
        <w:t>private renting (50.2%), with a further 28.3% moving in to owner occupation and 21.2% into social/affordable/intermediate housing</w:t>
      </w:r>
      <w:r w:rsidR="00661208" w:rsidRPr="00155C1E">
        <w:t>.</w:t>
      </w:r>
      <w:r w:rsidR="00466215" w:rsidRPr="00155C1E">
        <w:t xml:space="preserve"> </w:t>
      </w:r>
    </w:p>
    <w:p w:rsidR="003A6F13" w:rsidRPr="00155C1E" w:rsidRDefault="003A6F13"/>
    <w:p w:rsidR="003A6F13" w:rsidRPr="00155C1E" w:rsidRDefault="003A6F13">
      <w:pPr>
        <w:pStyle w:val="Maintext"/>
        <w:numPr>
          <w:ilvl w:val="0"/>
          <w:numId w:val="0"/>
        </w:numPr>
        <w:ind w:firstLine="709"/>
        <w:jc w:val="left"/>
      </w:pPr>
      <w:r w:rsidRPr="00155C1E">
        <w:rPr>
          <w:b/>
        </w:rPr>
        <w:t>Table 3.</w:t>
      </w:r>
      <w:r w:rsidR="00967514" w:rsidRPr="00155C1E">
        <w:rPr>
          <w:b/>
        </w:rPr>
        <w:t>6</w:t>
      </w:r>
      <w:r w:rsidRPr="00155C1E">
        <w:tab/>
        <w:t>Residential mobility – movement between different tenures</w:t>
      </w:r>
    </w:p>
    <w:tbl>
      <w:tblPr>
        <w:tblW w:w="10021" w:type="dxa"/>
        <w:tblInd w:w="96" w:type="dxa"/>
        <w:tblLook w:val="04A0" w:firstRow="1" w:lastRow="0" w:firstColumn="1" w:lastColumn="0" w:noHBand="0" w:noVBand="1"/>
      </w:tblPr>
      <w:tblGrid>
        <w:gridCol w:w="2140"/>
        <w:gridCol w:w="1389"/>
        <w:gridCol w:w="1134"/>
        <w:gridCol w:w="993"/>
        <w:gridCol w:w="1417"/>
        <w:gridCol w:w="828"/>
        <w:gridCol w:w="960"/>
        <w:gridCol w:w="1160"/>
      </w:tblGrid>
      <w:tr w:rsidR="00155C1E" w:rsidRPr="00155C1E" w:rsidTr="00155C1E">
        <w:trPr>
          <w:trHeight w:val="255"/>
        </w:trPr>
        <w:tc>
          <w:tcPr>
            <w:tcW w:w="2140" w:type="dxa"/>
            <w:tcBorders>
              <w:top w:val="single" w:sz="4" w:space="0" w:color="auto"/>
              <w:left w:val="single" w:sz="4" w:space="0" w:color="auto"/>
              <w:bottom w:val="nil"/>
              <w:right w:val="single" w:sz="4" w:space="0" w:color="auto"/>
            </w:tcBorders>
            <w:shd w:val="clear" w:color="000000" w:fill="008080"/>
            <w:noWrap/>
            <w:vAlign w:val="bottom"/>
            <w:hideMark/>
          </w:tcPr>
          <w:p w:rsidR="00155C1E" w:rsidRPr="00155C1E" w:rsidRDefault="00155C1E" w:rsidP="00155C1E">
            <w:pPr>
              <w:spacing w:before="0" w:after="0"/>
              <w:rPr>
                <w:rFonts w:cs="Arial"/>
                <w:b/>
                <w:bCs/>
                <w:color w:val="FFFFFF"/>
                <w:sz w:val="20"/>
                <w:szCs w:val="20"/>
                <w:lang w:eastAsia="en-GB"/>
              </w:rPr>
            </w:pPr>
            <w:r w:rsidRPr="00155C1E">
              <w:rPr>
                <w:rFonts w:cs="Arial"/>
                <w:b/>
                <w:bCs/>
                <w:color w:val="FFFFFF"/>
                <w:sz w:val="20"/>
                <w:szCs w:val="20"/>
                <w:lang w:eastAsia="en-GB"/>
              </w:rPr>
              <w:t>Current Tenure</w:t>
            </w:r>
          </w:p>
        </w:tc>
        <w:tc>
          <w:tcPr>
            <w:tcW w:w="4933" w:type="dxa"/>
            <w:gridSpan w:val="4"/>
            <w:tcBorders>
              <w:top w:val="single" w:sz="4" w:space="0" w:color="auto"/>
              <w:left w:val="nil"/>
              <w:bottom w:val="single" w:sz="4" w:space="0" w:color="auto"/>
              <w:right w:val="nil"/>
            </w:tcBorders>
            <w:shd w:val="clear" w:color="000000" w:fill="008080"/>
            <w:noWrap/>
            <w:vAlign w:val="bottom"/>
            <w:hideMark/>
          </w:tcPr>
          <w:p w:rsidR="00155C1E" w:rsidRPr="00155C1E" w:rsidRDefault="00155C1E" w:rsidP="00155C1E">
            <w:pPr>
              <w:spacing w:before="0" w:after="0"/>
              <w:rPr>
                <w:rFonts w:cs="Arial"/>
                <w:b/>
                <w:bCs/>
                <w:color w:val="FFFFFF"/>
                <w:sz w:val="20"/>
                <w:szCs w:val="20"/>
                <w:lang w:eastAsia="en-GB"/>
              </w:rPr>
            </w:pPr>
            <w:r w:rsidRPr="00155C1E">
              <w:rPr>
                <w:rFonts w:cs="Arial"/>
                <w:b/>
                <w:bCs/>
                <w:color w:val="FFFFFF"/>
                <w:sz w:val="20"/>
                <w:szCs w:val="20"/>
                <w:lang w:eastAsia="en-GB"/>
              </w:rPr>
              <w:t>Previous Tenure</w:t>
            </w:r>
          </w:p>
        </w:tc>
        <w:tc>
          <w:tcPr>
            <w:tcW w:w="828" w:type="dxa"/>
            <w:tcBorders>
              <w:top w:val="single" w:sz="4" w:space="0" w:color="auto"/>
              <w:left w:val="nil"/>
              <w:bottom w:val="single" w:sz="4" w:space="0" w:color="auto"/>
              <w:right w:val="nil"/>
            </w:tcBorders>
            <w:shd w:val="clear" w:color="000000" w:fill="008080"/>
            <w:noWrap/>
            <w:vAlign w:val="bottom"/>
            <w:hideMark/>
          </w:tcPr>
          <w:p w:rsidR="00155C1E" w:rsidRPr="00155C1E" w:rsidRDefault="00155C1E" w:rsidP="00155C1E">
            <w:pPr>
              <w:spacing w:before="0" w:after="0"/>
              <w:rPr>
                <w:rFonts w:cs="Arial"/>
                <w:color w:val="FFFFFF"/>
                <w:sz w:val="20"/>
                <w:szCs w:val="20"/>
                <w:lang w:eastAsia="en-GB"/>
              </w:rPr>
            </w:pPr>
            <w:r w:rsidRPr="00155C1E">
              <w:rPr>
                <w:rFonts w:cs="Arial"/>
                <w:color w:val="FFFFFF"/>
                <w:sz w:val="20"/>
                <w:szCs w:val="20"/>
                <w:lang w:eastAsia="en-GB"/>
              </w:rPr>
              <w:t> </w:t>
            </w:r>
          </w:p>
        </w:tc>
        <w:tc>
          <w:tcPr>
            <w:tcW w:w="960" w:type="dxa"/>
            <w:tcBorders>
              <w:top w:val="single" w:sz="4" w:space="0" w:color="auto"/>
              <w:left w:val="nil"/>
              <w:bottom w:val="single" w:sz="4" w:space="0" w:color="auto"/>
              <w:right w:val="nil"/>
            </w:tcBorders>
            <w:shd w:val="clear" w:color="000000" w:fill="008080"/>
            <w:noWrap/>
            <w:vAlign w:val="bottom"/>
            <w:hideMark/>
          </w:tcPr>
          <w:p w:rsidR="00155C1E" w:rsidRPr="00155C1E" w:rsidRDefault="00155C1E" w:rsidP="00155C1E">
            <w:pPr>
              <w:spacing w:before="0" w:after="0"/>
              <w:rPr>
                <w:rFonts w:cs="Arial"/>
                <w:color w:val="FFFFFF"/>
                <w:sz w:val="20"/>
                <w:szCs w:val="20"/>
                <w:lang w:eastAsia="en-GB"/>
              </w:rPr>
            </w:pPr>
            <w:r w:rsidRPr="00155C1E">
              <w:rPr>
                <w:rFonts w:cs="Arial"/>
                <w:color w:val="FFFFFF"/>
                <w:sz w:val="20"/>
                <w:szCs w:val="20"/>
                <w:lang w:eastAsia="en-GB"/>
              </w:rPr>
              <w:t> </w:t>
            </w:r>
          </w:p>
        </w:tc>
        <w:tc>
          <w:tcPr>
            <w:tcW w:w="1160" w:type="dxa"/>
            <w:tcBorders>
              <w:top w:val="single" w:sz="4" w:space="0" w:color="auto"/>
              <w:left w:val="nil"/>
              <w:bottom w:val="single" w:sz="4" w:space="0" w:color="auto"/>
              <w:right w:val="single" w:sz="4" w:space="0" w:color="auto"/>
            </w:tcBorders>
            <w:shd w:val="clear" w:color="000000" w:fill="008080"/>
            <w:noWrap/>
            <w:vAlign w:val="bottom"/>
            <w:hideMark/>
          </w:tcPr>
          <w:p w:rsidR="00155C1E" w:rsidRPr="00155C1E" w:rsidRDefault="00155C1E" w:rsidP="00155C1E">
            <w:pPr>
              <w:spacing w:before="0" w:after="0"/>
              <w:rPr>
                <w:rFonts w:cs="Arial"/>
                <w:color w:val="FFFFFF"/>
                <w:sz w:val="20"/>
                <w:szCs w:val="20"/>
                <w:lang w:eastAsia="en-GB"/>
              </w:rPr>
            </w:pPr>
            <w:r w:rsidRPr="00155C1E">
              <w:rPr>
                <w:rFonts w:cs="Arial"/>
                <w:color w:val="FFFFFF"/>
                <w:sz w:val="20"/>
                <w:szCs w:val="20"/>
                <w:lang w:eastAsia="en-GB"/>
              </w:rPr>
              <w:t> </w:t>
            </w:r>
          </w:p>
        </w:tc>
      </w:tr>
      <w:tr w:rsidR="00155C1E" w:rsidRPr="00155C1E" w:rsidTr="00155C1E">
        <w:trPr>
          <w:trHeight w:val="765"/>
        </w:trPr>
        <w:tc>
          <w:tcPr>
            <w:tcW w:w="2140" w:type="dxa"/>
            <w:tcBorders>
              <w:top w:val="nil"/>
              <w:left w:val="single" w:sz="4" w:space="0" w:color="auto"/>
              <w:bottom w:val="single" w:sz="4" w:space="0" w:color="auto"/>
              <w:right w:val="single" w:sz="4" w:space="0" w:color="auto"/>
            </w:tcBorders>
            <w:shd w:val="clear" w:color="000000" w:fill="008080"/>
            <w:noWrap/>
            <w:vAlign w:val="bottom"/>
            <w:hideMark/>
          </w:tcPr>
          <w:p w:rsidR="00155C1E" w:rsidRPr="00155C1E" w:rsidRDefault="00155C1E" w:rsidP="00155C1E">
            <w:pPr>
              <w:spacing w:before="0" w:after="0"/>
              <w:rPr>
                <w:rFonts w:cs="Arial"/>
                <w:color w:val="FFFFFF"/>
                <w:sz w:val="20"/>
                <w:szCs w:val="20"/>
                <w:lang w:eastAsia="en-GB"/>
              </w:rPr>
            </w:pPr>
            <w:r w:rsidRPr="00155C1E">
              <w:rPr>
                <w:rFonts w:cs="Arial"/>
                <w:color w:val="FFFFFF"/>
                <w:sz w:val="20"/>
                <w:szCs w:val="20"/>
                <w:lang w:eastAsia="en-GB"/>
              </w:rPr>
              <w:t> </w:t>
            </w:r>
          </w:p>
        </w:tc>
        <w:tc>
          <w:tcPr>
            <w:tcW w:w="1389" w:type="dxa"/>
            <w:tcBorders>
              <w:top w:val="nil"/>
              <w:left w:val="single" w:sz="4" w:space="0" w:color="auto"/>
              <w:bottom w:val="single" w:sz="4" w:space="0" w:color="auto"/>
              <w:right w:val="single" w:sz="4" w:space="0" w:color="auto"/>
            </w:tcBorders>
            <w:shd w:val="clear" w:color="000000" w:fill="008080"/>
            <w:vAlign w:val="bottom"/>
            <w:hideMark/>
          </w:tcPr>
          <w:p w:rsidR="00155C1E" w:rsidRPr="00155C1E" w:rsidRDefault="00155C1E" w:rsidP="00155C1E">
            <w:pPr>
              <w:spacing w:before="0" w:after="0"/>
              <w:jc w:val="center"/>
              <w:rPr>
                <w:rFonts w:cs="Arial"/>
                <w:color w:val="FFFFFF"/>
                <w:sz w:val="20"/>
                <w:szCs w:val="20"/>
                <w:lang w:eastAsia="en-GB"/>
              </w:rPr>
            </w:pPr>
            <w:r w:rsidRPr="00155C1E">
              <w:rPr>
                <w:rFonts w:cs="Arial"/>
                <w:color w:val="FFFFFF"/>
                <w:sz w:val="20"/>
                <w:szCs w:val="20"/>
                <w:lang w:eastAsia="en-GB"/>
              </w:rPr>
              <w:t>Owner Occupied</w:t>
            </w:r>
          </w:p>
        </w:tc>
        <w:tc>
          <w:tcPr>
            <w:tcW w:w="1134" w:type="dxa"/>
            <w:tcBorders>
              <w:top w:val="nil"/>
              <w:left w:val="nil"/>
              <w:bottom w:val="single" w:sz="4" w:space="0" w:color="auto"/>
              <w:right w:val="single" w:sz="4" w:space="0" w:color="auto"/>
            </w:tcBorders>
            <w:shd w:val="clear" w:color="000000" w:fill="008080"/>
            <w:vAlign w:val="bottom"/>
            <w:hideMark/>
          </w:tcPr>
          <w:p w:rsidR="00155C1E" w:rsidRPr="00155C1E" w:rsidRDefault="00155C1E" w:rsidP="00155C1E">
            <w:pPr>
              <w:spacing w:before="0" w:after="0"/>
              <w:jc w:val="center"/>
              <w:rPr>
                <w:rFonts w:cs="Arial"/>
                <w:color w:val="FFFFFF"/>
                <w:sz w:val="20"/>
                <w:szCs w:val="20"/>
                <w:lang w:eastAsia="en-GB"/>
              </w:rPr>
            </w:pPr>
            <w:r w:rsidRPr="00155C1E">
              <w:rPr>
                <w:rFonts w:cs="Arial"/>
                <w:color w:val="FFFFFF"/>
                <w:sz w:val="20"/>
                <w:szCs w:val="20"/>
                <w:lang w:eastAsia="en-GB"/>
              </w:rPr>
              <w:t>Private Rented</w:t>
            </w:r>
          </w:p>
        </w:tc>
        <w:tc>
          <w:tcPr>
            <w:tcW w:w="993" w:type="dxa"/>
            <w:tcBorders>
              <w:top w:val="nil"/>
              <w:left w:val="nil"/>
              <w:bottom w:val="single" w:sz="4" w:space="0" w:color="auto"/>
              <w:right w:val="single" w:sz="4" w:space="0" w:color="auto"/>
            </w:tcBorders>
            <w:shd w:val="clear" w:color="000000" w:fill="008080"/>
            <w:vAlign w:val="bottom"/>
            <w:hideMark/>
          </w:tcPr>
          <w:p w:rsidR="00155C1E" w:rsidRPr="00155C1E" w:rsidRDefault="00155C1E" w:rsidP="00155C1E">
            <w:pPr>
              <w:spacing w:before="0" w:after="0"/>
              <w:jc w:val="center"/>
              <w:rPr>
                <w:rFonts w:cs="Arial"/>
                <w:color w:val="FFFFFF"/>
                <w:sz w:val="20"/>
                <w:szCs w:val="20"/>
                <w:lang w:eastAsia="en-GB"/>
              </w:rPr>
            </w:pPr>
            <w:r w:rsidRPr="00155C1E">
              <w:rPr>
                <w:rFonts w:cs="Arial"/>
                <w:color w:val="FFFFFF"/>
                <w:sz w:val="20"/>
                <w:szCs w:val="20"/>
                <w:lang w:eastAsia="en-GB"/>
              </w:rPr>
              <w:t>Social Rented</w:t>
            </w:r>
          </w:p>
        </w:tc>
        <w:tc>
          <w:tcPr>
            <w:tcW w:w="1417" w:type="dxa"/>
            <w:tcBorders>
              <w:top w:val="nil"/>
              <w:left w:val="nil"/>
              <w:bottom w:val="single" w:sz="4" w:space="0" w:color="auto"/>
              <w:right w:val="single" w:sz="4" w:space="0" w:color="auto"/>
            </w:tcBorders>
            <w:shd w:val="clear" w:color="000000" w:fill="008080"/>
            <w:vAlign w:val="bottom"/>
            <w:hideMark/>
          </w:tcPr>
          <w:p w:rsidR="00155C1E" w:rsidRPr="00155C1E" w:rsidRDefault="00155C1E" w:rsidP="00155C1E">
            <w:pPr>
              <w:spacing w:before="0" w:after="0"/>
              <w:jc w:val="center"/>
              <w:rPr>
                <w:rFonts w:cs="Arial"/>
                <w:color w:val="FFFFFF"/>
                <w:sz w:val="20"/>
                <w:szCs w:val="20"/>
                <w:lang w:eastAsia="en-GB"/>
              </w:rPr>
            </w:pPr>
            <w:r w:rsidRPr="00155C1E">
              <w:rPr>
                <w:rFonts w:cs="Arial"/>
                <w:color w:val="FFFFFF"/>
                <w:sz w:val="20"/>
                <w:szCs w:val="20"/>
                <w:lang w:eastAsia="en-GB"/>
              </w:rPr>
              <w:t>Living with family / friends</w:t>
            </w:r>
          </w:p>
        </w:tc>
        <w:tc>
          <w:tcPr>
            <w:tcW w:w="828" w:type="dxa"/>
            <w:tcBorders>
              <w:top w:val="nil"/>
              <w:left w:val="nil"/>
              <w:bottom w:val="single" w:sz="4" w:space="0" w:color="auto"/>
              <w:right w:val="single" w:sz="4" w:space="0" w:color="auto"/>
            </w:tcBorders>
            <w:shd w:val="clear" w:color="000000" w:fill="008080"/>
            <w:vAlign w:val="bottom"/>
            <w:hideMark/>
          </w:tcPr>
          <w:p w:rsidR="00155C1E" w:rsidRPr="00155C1E" w:rsidRDefault="00155C1E" w:rsidP="00155C1E">
            <w:pPr>
              <w:spacing w:before="0" w:after="0"/>
              <w:jc w:val="center"/>
              <w:rPr>
                <w:rFonts w:cs="Arial"/>
                <w:color w:val="FFFFFF"/>
                <w:sz w:val="20"/>
                <w:szCs w:val="20"/>
                <w:lang w:eastAsia="en-GB"/>
              </w:rPr>
            </w:pPr>
            <w:r w:rsidRPr="00155C1E">
              <w:rPr>
                <w:rFonts w:cs="Arial"/>
                <w:color w:val="FFFFFF"/>
                <w:sz w:val="20"/>
                <w:szCs w:val="20"/>
                <w:lang w:eastAsia="en-GB"/>
              </w:rPr>
              <w:t>Other</w:t>
            </w:r>
          </w:p>
        </w:tc>
        <w:tc>
          <w:tcPr>
            <w:tcW w:w="960" w:type="dxa"/>
            <w:tcBorders>
              <w:top w:val="nil"/>
              <w:left w:val="nil"/>
              <w:bottom w:val="single" w:sz="4" w:space="0" w:color="auto"/>
              <w:right w:val="single" w:sz="4" w:space="0" w:color="auto"/>
            </w:tcBorders>
            <w:shd w:val="clear" w:color="000000" w:fill="008080"/>
            <w:vAlign w:val="bottom"/>
            <w:hideMark/>
          </w:tcPr>
          <w:p w:rsidR="00155C1E" w:rsidRPr="00155C1E" w:rsidRDefault="00155C1E" w:rsidP="00155C1E">
            <w:pPr>
              <w:spacing w:before="0" w:after="0"/>
              <w:jc w:val="center"/>
              <w:rPr>
                <w:rFonts w:cs="Arial"/>
                <w:color w:val="FFFFFF"/>
                <w:sz w:val="20"/>
                <w:szCs w:val="20"/>
                <w:lang w:eastAsia="en-GB"/>
              </w:rPr>
            </w:pPr>
            <w:r w:rsidRPr="00155C1E">
              <w:rPr>
                <w:rFonts w:cs="Arial"/>
                <w:color w:val="FFFFFF"/>
                <w:sz w:val="20"/>
                <w:szCs w:val="20"/>
                <w:lang w:eastAsia="en-GB"/>
              </w:rPr>
              <w:t>Total</w:t>
            </w:r>
          </w:p>
        </w:tc>
        <w:tc>
          <w:tcPr>
            <w:tcW w:w="1160" w:type="dxa"/>
            <w:tcBorders>
              <w:top w:val="nil"/>
              <w:left w:val="nil"/>
              <w:bottom w:val="single" w:sz="4" w:space="0" w:color="auto"/>
              <w:right w:val="single" w:sz="4" w:space="0" w:color="auto"/>
            </w:tcBorders>
            <w:shd w:val="clear" w:color="000000" w:fill="008080"/>
            <w:vAlign w:val="bottom"/>
            <w:hideMark/>
          </w:tcPr>
          <w:p w:rsidR="00155C1E" w:rsidRPr="00155C1E" w:rsidRDefault="00155C1E" w:rsidP="00155C1E">
            <w:pPr>
              <w:spacing w:before="0" w:after="0"/>
              <w:jc w:val="center"/>
              <w:rPr>
                <w:rFonts w:cs="Arial"/>
                <w:color w:val="FFFFFF"/>
                <w:sz w:val="20"/>
                <w:szCs w:val="20"/>
                <w:lang w:eastAsia="en-GB"/>
              </w:rPr>
            </w:pPr>
            <w:r w:rsidRPr="00155C1E">
              <w:rPr>
                <w:rFonts w:cs="Arial"/>
                <w:color w:val="FFFFFF"/>
                <w:sz w:val="20"/>
                <w:szCs w:val="20"/>
                <w:lang w:eastAsia="en-GB"/>
              </w:rPr>
              <w:t>Base</w:t>
            </w:r>
          </w:p>
        </w:tc>
      </w:tr>
      <w:tr w:rsidR="00155C1E" w:rsidRPr="00155C1E" w:rsidTr="00155C1E">
        <w:trPr>
          <w:trHeight w:val="255"/>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rPr>
                <w:rFonts w:cs="Arial"/>
                <w:sz w:val="20"/>
                <w:szCs w:val="20"/>
                <w:lang w:eastAsia="en-GB"/>
              </w:rPr>
            </w:pPr>
            <w:r w:rsidRPr="00155C1E">
              <w:rPr>
                <w:rFonts w:cs="Arial"/>
                <w:sz w:val="20"/>
                <w:szCs w:val="20"/>
                <w:lang w:eastAsia="en-GB"/>
              </w:rPr>
              <w:t>Owner Occupied</w:t>
            </w:r>
          </w:p>
        </w:tc>
        <w:tc>
          <w:tcPr>
            <w:tcW w:w="1389"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59.9</w:t>
            </w:r>
          </w:p>
        </w:tc>
        <w:tc>
          <w:tcPr>
            <w:tcW w:w="1134"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13.3</w:t>
            </w:r>
          </w:p>
        </w:tc>
        <w:tc>
          <w:tcPr>
            <w:tcW w:w="993"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4.2</w:t>
            </w:r>
          </w:p>
        </w:tc>
        <w:tc>
          <w:tcPr>
            <w:tcW w:w="1417"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28.2</w:t>
            </w:r>
          </w:p>
        </w:tc>
        <w:tc>
          <w:tcPr>
            <w:tcW w:w="828"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9.4</w:t>
            </w:r>
          </w:p>
        </w:tc>
        <w:tc>
          <w:tcPr>
            <w:tcW w:w="9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31.6</w:t>
            </w:r>
          </w:p>
        </w:tc>
        <w:tc>
          <w:tcPr>
            <w:tcW w:w="11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13048</w:t>
            </w:r>
          </w:p>
        </w:tc>
      </w:tr>
      <w:tr w:rsidR="00155C1E" w:rsidRPr="00155C1E" w:rsidTr="00155C1E">
        <w:trPr>
          <w:trHeight w:val="25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rPr>
                <w:rFonts w:cs="Arial"/>
                <w:sz w:val="20"/>
                <w:szCs w:val="20"/>
                <w:lang w:eastAsia="en-GB"/>
              </w:rPr>
            </w:pPr>
            <w:r w:rsidRPr="00155C1E">
              <w:rPr>
                <w:rFonts w:cs="Arial"/>
                <w:sz w:val="20"/>
                <w:szCs w:val="20"/>
                <w:lang w:eastAsia="en-GB"/>
              </w:rPr>
              <w:t>Private Rented</w:t>
            </w:r>
          </w:p>
        </w:tc>
        <w:tc>
          <w:tcPr>
            <w:tcW w:w="1389"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19.2</w:t>
            </w:r>
          </w:p>
        </w:tc>
        <w:tc>
          <w:tcPr>
            <w:tcW w:w="1134"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67.4</w:t>
            </w:r>
          </w:p>
        </w:tc>
        <w:tc>
          <w:tcPr>
            <w:tcW w:w="993"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21.7</w:t>
            </w:r>
          </w:p>
        </w:tc>
        <w:tc>
          <w:tcPr>
            <w:tcW w:w="1417"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50.2</w:t>
            </w:r>
          </w:p>
        </w:tc>
        <w:tc>
          <w:tcPr>
            <w:tcW w:w="828"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60.0</w:t>
            </w:r>
          </w:p>
        </w:tc>
        <w:tc>
          <w:tcPr>
            <w:tcW w:w="9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39.6</w:t>
            </w:r>
          </w:p>
        </w:tc>
        <w:tc>
          <w:tcPr>
            <w:tcW w:w="11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16378</w:t>
            </w:r>
          </w:p>
        </w:tc>
      </w:tr>
      <w:tr w:rsidR="00155C1E" w:rsidRPr="00155C1E" w:rsidTr="00155C1E">
        <w:trPr>
          <w:trHeight w:val="25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55C1E" w:rsidRDefault="00155C1E" w:rsidP="00155C1E">
            <w:pPr>
              <w:spacing w:before="0" w:after="0"/>
              <w:rPr>
                <w:rFonts w:cs="Arial"/>
                <w:sz w:val="20"/>
                <w:szCs w:val="20"/>
                <w:lang w:eastAsia="en-GB"/>
              </w:rPr>
            </w:pPr>
            <w:r w:rsidRPr="00155C1E">
              <w:rPr>
                <w:rFonts w:cs="Arial"/>
                <w:sz w:val="20"/>
                <w:szCs w:val="20"/>
                <w:lang w:eastAsia="en-GB"/>
              </w:rPr>
              <w:t xml:space="preserve">Social/Affordable </w:t>
            </w:r>
          </w:p>
          <w:p w:rsidR="00155C1E" w:rsidRPr="00155C1E" w:rsidRDefault="00155C1E" w:rsidP="00155C1E">
            <w:pPr>
              <w:spacing w:before="0" w:after="0"/>
              <w:rPr>
                <w:rFonts w:cs="Arial"/>
                <w:sz w:val="20"/>
                <w:szCs w:val="20"/>
                <w:lang w:eastAsia="en-GB"/>
              </w:rPr>
            </w:pPr>
            <w:r w:rsidRPr="00155C1E">
              <w:rPr>
                <w:rFonts w:cs="Arial"/>
                <w:sz w:val="20"/>
                <w:szCs w:val="20"/>
                <w:lang w:eastAsia="en-GB"/>
              </w:rPr>
              <w:t>Rented/Intermediate</w:t>
            </w:r>
          </w:p>
        </w:tc>
        <w:tc>
          <w:tcPr>
            <w:tcW w:w="1389"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20.9</w:t>
            </w:r>
          </w:p>
        </w:tc>
        <w:tc>
          <w:tcPr>
            <w:tcW w:w="1134"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19.3</w:t>
            </w:r>
          </w:p>
        </w:tc>
        <w:tc>
          <w:tcPr>
            <w:tcW w:w="993"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74.1</w:t>
            </w:r>
          </w:p>
        </w:tc>
        <w:tc>
          <w:tcPr>
            <w:tcW w:w="1417"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21.6</w:t>
            </w:r>
          </w:p>
        </w:tc>
        <w:tc>
          <w:tcPr>
            <w:tcW w:w="828"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30.6</w:t>
            </w:r>
          </w:p>
        </w:tc>
        <w:tc>
          <w:tcPr>
            <w:tcW w:w="9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28.8</w:t>
            </w:r>
          </w:p>
        </w:tc>
        <w:tc>
          <w:tcPr>
            <w:tcW w:w="11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11890</w:t>
            </w:r>
          </w:p>
        </w:tc>
      </w:tr>
      <w:tr w:rsidR="00155C1E" w:rsidRPr="00155C1E" w:rsidTr="00155C1E">
        <w:trPr>
          <w:trHeight w:val="25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rPr>
                <w:rFonts w:cs="Arial"/>
                <w:sz w:val="20"/>
                <w:szCs w:val="20"/>
                <w:lang w:eastAsia="en-GB"/>
              </w:rPr>
            </w:pPr>
            <w:r w:rsidRPr="00155C1E">
              <w:rPr>
                <w:rFonts w:cs="Arial"/>
                <w:sz w:val="20"/>
                <w:szCs w:val="20"/>
                <w:lang w:eastAsia="en-GB"/>
              </w:rPr>
              <w:t>Total</w:t>
            </w:r>
          </w:p>
        </w:tc>
        <w:tc>
          <w:tcPr>
            <w:tcW w:w="1389"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100.0</w:t>
            </w:r>
          </w:p>
        </w:tc>
        <w:tc>
          <w:tcPr>
            <w:tcW w:w="993"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100.0</w:t>
            </w:r>
          </w:p>
        </w:tc>
        <w:tc>
          <w:tcPr>
            <w:tcW w:w="828"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100.0</w:t>
            </w:r>
          </w:p>
        </w:tc>
        <w:tc>
          <w:tcPr>
            <w:tcW w:w="9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100.0</w:t>
            </w:r>
          </w:p>
        </w:tc>
        <w:tc>
          <w:tcPr>
            <w:tcW w:w="11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41316</w:t>
            </w:r>
          </w:p>
        </w:tc>
      </w:tr>
      <w:tr w:rsidR="00155C1E" w:rsidRPr="00155C1E" w:rsidTr="00155C1E">
        <w:trPr>
          <w:trHeight w:val="25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rPr>
                <w:rFonts w:cs="Arial"/>
                <w:sz w:val="20"/>
                <w:szCs w:val="20"/>
                <w:lang w:eastAsia="en-GB"/>
              </w:rPr>
            </w:pPr>
            <w:r w:rsidRPr="00155C1E">
              <w:rPr>
                <w:rFonts w:cs="Arial"/>
                <w:sz w:val="20"/>
                <w:szCs w:val="20"/>
                <w:lang w:eastAsia="en-GB"/>
              </w:rPr>
              <w:t>Base</w:t>
            </w:r>
          </w:p>
        </w:tc>
        <w:tc>
          <w:tcPr>
            <w:tcW w:w="1389"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15410</w:t>
            </w:r>
          </w:p>
        </w:tc>
        <w:tc>
          <w:tcPr>
            <w:tcW w:w="1134"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12210</w:t>
            </w:r>
          </w:p>
        </w:tc>
        <w:tc>
          <w:tcPr>
            <w:tcW w:w="993"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6231</w:t>
            </w:r>
          </w:p>
        </w:tc>
        <w:tc>
          <w:tcPr>
            <w:tcW w:w="1417"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6571</w:t>
            </w:r>
          </w:p>
        </w:tc>
        <w:tc>
          <w:tcPr>
            <w:tcW w:w="828"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894</w:t>
            </w:r>
          </w:p>
        </w:tc>
        <w:tc>
          <w:tcPr>
            <w:tcW w:w="9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41316</w:t>
            </w:r>
          </w:p>
        </w:tc>
        <w:tc>
          <w:tcPr>
            <w:tcW w:w="1160" w:type="dxa"/>
            <w:tcBorders>
              <w:top w:val="nil"/>
              <w:left w:val="nil"/>
              <w:bottom w:val="single" w:sz="4" w:space="0" w:color="auto"/>
              <w:right w:val="single" w:sz="4" w:space="0" w:color="auto"/>
            </w:tcBorders>
            <w:shd w:val="clear" w:color="auto" w:fill="auto"/>
            <w:noWrap/>
            <w:vAlign w:val="bottom"/>
            <w:hideMark/>
          </w:tcPr>
          <w:p w:rsidR="00155C1E" w:rsidRPr="00155C1E" w:rsidRDefault="00155C1E" w:rsidP="00155C1E">
            <w:pPr>
              <w:spacing w:before="0" w:after="0"/>
              <w:jc w:val="center"/>
              <w:rPr>
                <w:rFonts w:cs="Arial"/>
                <w:sz w:val="20"/>
                <w:szCs w:val="20"/>
                <w:lang w:eastAsia="en-GB"/>
              </w:rPr>
            </w:pPr>
            <w:r w:rsidRPr="00155C1E">
              <w:rPr>
                <w:rFonts w:cs="Arial"/>
                <w:sz w:val="20"/>
                <w:szCs w:val="20"/>
                <w:lang w:eastAsia="en-GB"/>
              </w:rPr>
              <w:t> </w:t>
            </w:r>
          </w:p>
        </w:tc>
      </w:tr>
    </w:tbl>
    <w:p w:rsidR="003A6F13" w:rsidRDefault="00E93304" w:rsidP="00155C1E">
      <w:pPr>
        <w:rPr>
          <w:sz w:val="20"/>
          <w:szCs w:val="20"/>
        </w:rPr>
      </w:pPr>
      <w:r>
        <w:rPr>
          <w:sz w:val="20"/>
          <w:szCs w:val="20"/>
        </w:rPr>
        <w:t>Source: 2012</w:t>
      </w:r>
      <w:r w:rsidR="00E54933">
        <w:rPr>
          <w:sz w:val="20"/>
          <w:szCs w:val="20"/>
        </w:rPr>
        <w:t xml:space="preserve"> Household Survey</w:t>
      </w:r>
      <w:r w:rsidR="000F2888">
        <w:rPr>
          <w:sz w:val="20"/>
          <w:szCs w:val="20"/>
        </w:rPr>
        <w:t>, rebased to 2011 census</w:t>
      </w:r>
    </w:p>
    <w:p w:rsidR="003A6F13" w:rsidRDefault="003A6F13"/>
    <w:p w:rsidR="001251F0" w:rsidRDefault="00967514" w:rsidP="001251F0">
      <w:pPr>
        <w:pStyle w:val="Maintext"/>
        <w:rPr>
          <w:iCs/>
        </w:rPr>
      </w:pPr>
      <w:r>
        <w:t>Table 3.7</w:t>
      </w:r>
      <w:r w:rsidR="001251F0">
        <w:t xml:space="preserve"> considers the profile of dwellings being moved into by households moving within </w:t>
      </w:r>
      <w:r w:rsidR="00E93304">
        <w:t>County Durham</w:t>
      </w:r>
      <w:r w:rsidR="001251F0">
        <w:t>.  Households are moving into a variety of dwelling types and sizes, most notably to: two (</w:t>
      </w:r>
      <w:r w:rsidR="00EA3A13">
        <w:t>44.3</w:t>
      </w:r>
      <w:r w:rsidR="00E93304">
        <w:t>%) and three (</w:t>
      </w:r>
      <w:r w:rsidR="00EA3A13">
        <w:t>33.4</w:t>
      </w:r>
      <w:r w:rsidR="001251F0">
        <w:t xml:space="preserve">%) bedroom dwellings; </w:t>
      </w:r>
      <w:r w:rsidR="00661208">
        <w:t>semi-detached houses (</w:t>
      </w:r>
      <w:r w:rsidR="00EA3A13">
        <w:t>25.7</w:t>
      </w:r>
      <w:r w:rsidR="00661208">
        <w:t>%), terraced</w:t>
      </w:r>
      <w:r w:rsidR="004C6B37">
        <w:t>/town houses (</w:t>
      </w:r>
      <w:r w:rsidR="00EA3A13">
        <w:t>29.4</w:t>
      </w:r>
      <w:r w:rsidR="00661208">
        <w:t>%)</w:t>
      </w:r>
      <w:r w:rsidR="004C6B37">
        <w:t>, detached houses (</w:t>
      </w:r>
      <w:r w:rsidR="00EA3A13">
        <w:t>14.2</w:t>
      </w:r>
      <w:r w:rsidR="004C6B37">
        <w:t>%), bungalows (</w:t>
      </w:r>
      <w:r w:rsidR="00EA3A13">
        <w:t>18.7</w:t>
      </w:r>
      <w:r w:rsidR="004C6B37">
        <w:t>%), flats/apartments (</w:t>
      </w:r>
      <w:r w:rsidR="00EA3A13">
        <w:t>11.2</w:t>
      </w:r>
      <w:r w:rsidR="00661208">
        <w:t>%)</w:t>
      </w:r>
      <w:r w:rsidR="004C6B37">
        <w:t xml:space="preserve"> and other </w:t>
      </w:r>
      <w:r w:rsidR="00EA3A13">
        <w:t>types (0.7</w:t>
      </w:r>
      <w:r w:rsidR="004C6B37">
        <w:t>%).</w:t>
      </w:r>
    </w:p>
    <w:p w:rsidR="00C64021" w:rsidRDefault="00C64021" w:rsidP="00661208">
      <w:pPr>
        <w:pStyle w:val="Maintext"/>
        <w:numPr>
          <w:ilvl w:val="0"/>
          <w:numId w:val="0"/>
        </w:numPr>
        <w:ind w:left="2160" w:hanging="1451"/>
        <w:rPr>
          <w:b/>
        </w:rPr>
      </w:pPr>
    </w:p>
    <w:p w:rsidR="003E3BDC" w:rsidRDefault="003E3BDC">
      <w:pPr>
        <w:spacing w:before="0" w:after="0"/>
        <w:rPr>
          <w:b/>
        </w:rPr>
      </w:pPr>
      <w:r>
        <w:rPr>
          <w:b/>
        </w:rPr>
        <w:br w:type="page"/>
      </w:r>
    </w:p>
    <w:p w:rsidR="00661208" w:rsidRDefault="00967514" w:rsidP="00661208">
      <w:pPr>
        <w:pStyle w:val="Maintext"/>
        <w:numPr>
          <w:ilvl w:val="0"/>
          <w:numId w:val="0"/>
        </w:numPr>
        <w:ind w:left="2160" w:hanging="1451"/>
      </w:pPr>
      <w:r>
        <w:rPr>
          <w:b/>
        </w:rPr>
        <w:t>Table 3.7</w:t>
      </w:r>
      <w:r w:rsidR="003A6F13">
        <w:rPr>
          <w:b/>
        </w:rPr>
        <w:tab/>
      </w:r>
      <w:r w:rsidR="003A6F13">
        <w:t>Residential mobility – profile of properties moved into by type and size</w:t>
      </w:r>
    </w:p>
    <w:tbl>
      <w:tblPr>
        <w:tblW w:w="8698" w:type="dxa"/>
        <w:tblInd w:w="817" w:type="dxa"/>
        <w:tblLook w:val="04A0" w:firstRow="1" w:lastRow="0" w:firstColumn="1" w:lastColumn="0" w:noHBand="0" w:noVBand="1"/>
      </w:tblPr>
      <w:tblGrid>
        <w:gridCol w:w="1276"/>
        <w:gridCol w:w="1087"/>
        <w:gridCol w:w="1039"/>
        <w:gridCol w:w="1276"/>
        <w:gridCol w:w="1134"/>
        <w:gridCol w:w="1280"/>
        <w:gridCol w:w="853"/>
        <w:gridCol w:w="753"/>
      </w:tblGrid>
      <w:tr w:rsidR="00EA3A13" w:rsidRPr="00EA3A13" w:rsidTr="00EA3A13">
        <w:trPr>
          <w:trHeight w:val="255"/>
        </w:trPr>
        <w:tc>
          <w:tcPr>
            <w:tcW w:w="1276" w:type="dxa"/>
            <w:tcBorders>
              <w:top w:val="single" w:sz="4" w:space="0" w:color="auto"/>
              <w:left w:val="single" w:sz="4" w:space="0" w:color="auto"/>
              <w:bottom w:val="nil"/>
              <w:right w:val="single" w:sz="4" w:space="0" w:color="auto"/>
            </w:tcBorders>
            <w:shd w:val="clear" w:color="000000" w:fill="008080"/>
            <w:noWrap/>
            <w:vAlign w:val="bottom"/>
            <w:hideMark/>
          </w:tcPr>
          <w:p w:rsidR="00EA3A13" w:rsidRPr="00EA3A13" w:rsidRDefault="00EA3A13" w:rsidP="00EA3A13">
            <w:pPr>
              <w:spacing w:before="0" w:after="0"/>
              <w:rPr>
                <w:rFonts w:cs="Arial"/>
                <w:b/>
                <w:bCs/>
                <w:color w:val="FFFFFF"/>
                <w:sz w:val="20"/>
                <w:szCs w:val="20"/>
                <w:lang w:eastAsia="en-GB"/>
              </w:rPr>
            </w:pPr>
            <w:r w:rsidRPr="00EA3A13">
              <w:rPr>
                <w:rFonts w:cs="Arial"/>
                <w:b/>
                <w:bCs/>
                <w:color w:val="FFFFFF"/>
                <w:sz w:val="20"/>
                <w:szCs w:val="20"/>
                <w:lang w:eastAsia="en-GB"/>
              </w:rPr>
              <w:t>No. Bedrooms</w:t>
            </w:r>
          </w:p>
        </w:tc>
        <w:tc>
          <w:tcPr>
            <w:tcW w:w="3402" w:type="dxa"/>
            <w:gridSpan w:val="3"/>
            <w:tcBorders>
              <w:top w:val="single" w:sz="4" w:space="0" w:color="auto"/>
              <w:left w:val="single" w:sz="4" w:space="0" w:color="auto"/>
              <w:bottom w:val="single" w:sz="4" w:space="0" w:color="auto"/>
              <w:right w:val="nil"/>
            </w:tcBorders>
            <w:shd w:val="clear" w:color="000000" w:fill="008080"/>
            <w:noWrap/>
            <w:vAlign w:val="bottom"/>
            <w:hideMark/>
          </w:tcPr>
          <w:p w:rsidR="00EA3A13" w:rsidRPr="00EA3A13" w:rsidRDefault="00EA3A13" w:rsidP="00EA3A13">
            <w:pPr>
              <w:spacing w:before="0" w:after="0"/>
              <w:rPr>
                <w:rFonts w:cs="Arial"/>
                <w:b/>
                <w:bCs/>
                <w:color w:val="FFFFFF"/>
                <w:sz w:val="20"/>
                <w:szCs w:val="20"/>
                <w:lang w:eastAsia="en-GB"/>
              </w:rPr>
            </w:pPr>
            <w:r w:rsidRPr="00EA3A13">
              <w:rPr>
                <w:rFonts w:cs="Arial"/>
                <w:b/>
                <w:bCs/>
                <w:color w:val="FFFFFF"/>
                <w:sz w:val="20"/>
                <w:szCs w:val="20"/>
                <w:lang w:eastAsia="en-GB"/>
              </w:rPr>
              <w:t>Property type (Table %)</w:t>
            </w:r>
          </w:p>
        </w:tc>
        <w:tc>
          <w:tcPr>
            <w:tcW w:w="1134" w:type="dxa"/>
            <w:tcBorders>
              <w:top w:val="single" w:sz="4" w:space="0" w:color="auto"/>
              <w:left w:val="nil"/>
              <w:bottom w:val="single" w:sz="4" w:space="0" w:color="auto"/>
              <w:right w:val="nil"/>
            </w:tcBorders>
            <w:shd w:val="clear" w:color="000000" w:fill="008080"/>
            <w:noWrap/>
            <w:vAlign w:val="bottom"/>
            <w:hideMark/>
          </w:tcPr>
          <w:p w:rsidR="00EA3A13" w:rsidRPr="00EA3A13" w:rsidRDefault="00EA3A13" w:rsidP="00EA3A13">
            <w:pPr>
              <w:spacing w:before="0" w:after="0"/>
              <w:rPr>
                <w:rFonts w:cs="Arial"/>
                <w:color w:val="FFFFFF"/>
                <w:sz w:val="20"/>
                <w:szCs w:val="20"/>
                <w:lang w:eastAsia="en-GB"/>
              </w:rPr>
            </w:pPr>
            <w:r w:rsidRPr="00EA3A13">
              <w:rPr>
                <w:rFonts w:cs="Arial"/>
                <w:color w:val="FFFFFF"/>
                <w:sz w:val="20"/>
                <w:szCs w:val="20"/>
                <w:lang w:eastAsia="en-GB"/>
              </w:rPr>
              <w:t> </w:t>
            </w:r>
          </w:p>
        </w:tc>
        <w:tc>
          <w:tcPr>
            <w:tcW w:w="1280" w:type="dxa"/>
            <w:tcBorders>
              <w:top w:val="single" w:sz="4" w:space="0" w:color="auto"/>
              <w:left w:val="nil"/>
              <w:bottom w:val="single" w:sz="4" w:space="0" w:color="auto"/>
              <w:right w:val="nil"/>
            </w:tcBorders>
            <w:shd w:val="clear" w:color="000000" w:fill="008080"/>
            <w:noWrap/>
            <w:vAlign w:val="bottom"/>
            <w:hideMark/>
          </w:tcPr>
          <w:p w:rsidR="00EA3A13" w:rsidRPr="00EA3A13" w:rsidRDefault="00EA3A13" w:rsidP="00EA3A13">
            <w:pPr>
              <w:spacing w:before="0" w:after="0"/>
              <w:rPr>
                <w:rFonts w:cs="Arial"/>
                <w:color w:val="FFFFFF"/>
                <w:sz w:val="20"/>
                <w:szCs w:val="20"/>
                <w:lang w:eastAsia="en-GB"/>
              </w:rPr>
            </w:pPr>
            <w:r w:rsidRPr="00EA3A13">
              <w:rPr>
                <w:rFonts w:cs="Arial"/>
                <w:color w:val="FFFFFF"/>
                <w:sz w:val="20"/>
                <w:szCs w:val="20"/>
                <w:lang w:eastAsia="en-GB"/>
              </w:rPr>
              <w:t> </w:t>
            </w:r>
          </w:p>
        </w:tc>
        <w:tc>
          <w:tcPr>
            <w:tcW w:w="853" w:type="dxa"/>
            <w:tcBorders>
              <w:top w:val="single" w:sz="4" w:space="0" w:color="auto"/>
              <w:left w:val="nil"/>
              <w:bottom w:val="single" w:sz="4" w:space="0" w:color="auto"/>
              <w:right w:val="nil"/>
            </w:tcBorders>
            <w:shd w:val="clear" w:color="000000" w:fill="008080"/>
            <w:noWrap/>
            <w:vAlign w:val="bottom"/>
            <w:hideMark/>
          </w:tcPr>
          <w:p w:rsidR="00EA3A13" w:rsidRPr="00EA3A13" w:rsidRDefault="00EA3A13" w:rsidP="00EA3A13">
            <w:pPr>
              <w:spacing w:before="0" w:after="0"/>
              <w:rPr>
                <w:rFonts w:cs="Arial"/>
                <w:color w:val="FFFFFF"/>
                <w:sz w:val="20"/>
                <w:szCs w:val="20"/>
                <w:lang w:eastAsia="en-GB"/>
              </w:rPr>
            </w:pPr>
            <w:r w:rsidRPr="00EA3A13">
              <w:rPr>
                <w:rFonts w:cs="Arial"/>
                <w:color w:val="FFFFFF"/>
                <w:sz w:val="20"/>
                <w:szCs w:val="20"/>
                <w:lang w:eastAsia="en-GB"/>
              </w:rPr>
              <w:t> </w:t>
            </w:r>
          </w:p>
        </w:tc>
        <w:tc>
          <w:tcPr>
            <w:tcW w:w="753" w:type="dxa"/>
            <w:tcBorders>
              <w:top w:val="single" w:sz="4" w:space="0" w:color="auto"/>
              <w:left w:val="nil"/>
              <w:bottom w:val="single" w:sz="4" w:space="0" w:color="auto"/>
              <w:right w:val="single" w:sz="4" w:space="0" w:color="auto"/>
            </w:tcBorders>
            <w:shd w:val="clear" w:color="000000" w:fill="008080"/>
            <w:noWrap/>
            <w:vAlign w:val="bottom"/>
            <w:hideMark/>
          </w:tcPr>
          <w:p w:rsidR="00EA3A13" w:rsidRPr="00EA3A13" w:rsidRDefault="00EA3A13" w:rsidP="00EA3A13">
            <w:pPr>
              <w:spacing w:before="0" w:after="0"/>
              <w:rPr>
                <w:rFonts w:cs="Arial"/>
                <w:color w:val="FFFFFF"/>
                <w:sz w:val="20"/>
                <w:szCs w:val="20"/>
                <w:lang w:eastAsia="en-GB"/>
              </w:rPr>
            </w:pPr>
            <w:r w:rsidRPr="00EA3A13">
              <w:rPr>
                <w:rFonts w:cs="Arial"/>
                <w:color w:val="FFFFFF"/>
                <w:sz w:val="20"/>
                <w:szCs w:val="20"/>
                <w:lang w:eastAsia="en-GB"/>
              </w:rPr>
              <w:t> </w:t>
            </w:r>
          </w:p>
        </w:tc>
      </w:tr>
      <w:tr w:rsidR="00EA3A13" w:rsidRPr="00EA3A13" w:rsidTr="00EA3A13">
        <w:trPr>
          <w:trHeight w:val="765"/>
        </w:trPr>
        <w:tc>
          <w:tcPr>
            <w:tcW w:w="1276" w:type="dxa"/>
            <w:tcBorders>
              <w:top w:val="nil"/>
              <w:left w:val="single" w:sz="4" w:space="0" w:color="auto"/>
              <w:bottom w:val="single" w:sz="4" w:space="0" w:color="auto"/>
              <w:right w:val="single" w:sz="4" w:space="0" w:color="auto"/>
            </w:tcBorders>
            <w:shd w:val="clear" w:color="000000" w:fill="008080"/>
            <w:noWrap/>
            <w:vAlign w:val="bottom"/>
            <w:hideMark/>
          </w:tcPr>
          <w:p w:rsidR="00EA3A13" w:rsidRPr="00EA3A13" w:rsidRDefault="00EA3A13" w:rsidP="00EA3A13">
            <w:pPr>
              <w:spacing w:before="0" w:after="0"/>
              <w:rPr>
                <w:rFonts w:cs="Arial"/>
                <w:color w:val="FFFFFF"/>
                <w:sz w:val="20"/>
                <w:szCs w:val="20"/>
                <w:lang w:eastAsia="en-GB"/>
              </w:rPr>
            </w:pPr>
            <w:r w:rsidRPr="00EA3A13">
              <w:rPr>
                <w:rFonts w:cs="Arial"/>
                <w:color w:val="FFFFFF"/>
                <w:sz w:val="20"/>
                <w:szCs w:val="20"/>
                <w:lang w:eastAsia="en-GB"/>
              </w:rPr>
              <w:t> </w:t>
            </w:r>
          </w:p>
        </w:tc>
        <w:tc>
          <w:tcPr>
            <w:tcW w:w="1087" w:type="dxa"/>
            <w:tcBorders>
              <w:top w:val="nil"/>
              <w:left w:val="nil"/>
              <w:bottom w:val="single" w:sz="4" w:space="0" w:color="auto"/>
              <w:right w:val="single" w:sz="4" w:space="0" w:color="auto"/>
            </w:tcBorders>
            <w:shd w:val="clear" w:color="000000" w:fill="008080"/>
            <w:vAlign w:val="bottom"/>
            <w:hideMark/>
          </w:tcPr>
          <w:p w:rsidR="00EA3A13" w:rsidRPr="00EA3A13" w:rsidRDefault="00EA3A13" w:rsidP="00EA3A13">
            <w:pPr>
              <w:spacing w:before="0" w:after="0"/>
              <w:jc w:val="center"/>
              <w:rPr>
                <w:rFonts w:cs="Arial"/>
                <w:color w:val="FFFFFF"/>
                <w:sz w:val="20"/>
                <w:szCs w:val="20"/>
                <w:lang w:eastAsia="en-GB"/>
              </w:rPr>
            </w:pPr>
            <w:r w:rsidRPr="00EA3A13">
              <w:rPr>
                <w:rFonts w:cs="Arial"/>
                <w:color w:val="FFFFFF"/>
                <w:sz w:val="20"/>
                <w:szCs w:val="20"/>
                <w:lang w:eastAsia="en-GB"/>
              </w:rPr>
              <w:t>Detached</w:t>
            </w:r>
          </w:p>
        </w:tc>
        <w:tc>
          <w:tcPr>
            <w:tcW w:w="1039" w:type="dxa"/>
            <w:tcBorders>
              <w:top w:val="nil"/>
              <w:left w:val="nil"/>
              <w:bottom w:val="single" w:sz="4" w:space="0" w:color="auto"/>
              <w:right w:val="single" w:sz="4" w:space="0" w:color="auto"/>
            </w:tcBorders>
            <w:shd w:val="clear" w:color="000000" w:fill="008080"/>
            <w:vAlign w:val="bottom"/>
            <w:hideMark/>
          </w:tcPr>
          <w:p w:rsidR="00EA3A13" w:rsidRPr="00EA3A13" w:rsidRDefault="00EA3A13" w:rsidP="00EA3A13">
            <w:pPr>
              <w:spacing w:before="0" w:after="0"/>
              <w:jc w:val="center"/>
              <w:rPr>
                <w:rFonts w:cs="Arial"/>
                <w:color w:val="FFFFFF"/>
                <w:sz w:val="20"/>
                <w:szCs w:val="20"/>
                <w:lang w:eastAsia="en-GB"/>
              </w:rPr>
            </w:pPr>
            <w:r w:rsidRPr="00EA3A13">
              <w:rPr>
                <w:rFonts w:cs="Arial"/>
                <w:color w:val="FFFFFF"/>
                <w:sz w:val="20"/>
                <w:szCs w:val="20"/>
                <w:lang w:eastAsia="en-GB"/>
              </w:rPr>
              <w:t>Semi-detached</w:t>
            </w:r>
          </w:p>
        </w:tc>
        <w:tc>
          <w:tcPr>
            <w:tcW w:w="1276" w:type="dxa"/>
            <w:tcBorders>
              <w:top w:val="nil"/>
              <w:left w:val="nil"/>
              <w:bottom w:val="single" w:sz="4" w:space="0" w:color="auto"/>
              <w:right w:val="single" w:sz="4" w:space="0" w:color="auto"/>
            </w:tcBorders>
            <w:shd w:val="clear" w:color="000000" w:fill="008080"/>
            <w:vAlign w:val="bottom"/>
            <w:hideMark/>
          </w:tcPr>
          <w:p w:rsidR="00EA3A13" w:rsidRPr="00EA3A13" w:rsidRDefault="00EA3A13" w:rsidP="00EA3A13">
            <w:pPr>
              <w:spacing w:before="0" w:after="0"/>
              <w:jc w:val="center"/>
              <w:rPr>
                <w:rFonts w:cs="Arial"/>
                <w:color w:val="FFFFFF"/>
                <w:sz w:val="20"/>
                <w:szCs w:val="20"/>
                <w:lang w:eastAsia="en-GB"/>
              </w:rPr>
            </w:pPr>
            <w:r w:rsidRPr="00EA3A13">
              <w:rPr>
                <w:rFonts w:cs="Arial"/>
                <w:color w:val="FFFFFF"/>
                <w:sz w:val="20"/>
                <w:szCs w:val="20"/>
                <w:lang w:eastAsia="en-GB"/>
              </w:rPr>
              <w:t>Terraced house/town house</w:t>
            </w:r>
          </w:p>
        </w:tc>
        <w:tc>
          <w:tcPr>
            <w:tcW w:w="1134" w:type="dxa"/>
            <w:tcBorders>
              <w:top w:val="nil"/>
              <w:left w:val="nil"/>
              <w:bottom w:val="single" w:sz="4" w:space="0" w:color="auto"/>
              <w:right w:val="single" w:sz="4" w:space="0" w:color="auto"/>
            </w:tcBorders>
            <w:shd w:val="clear" w:color="000000" w:fill="008080"/>
            <w:vAlign w:val="bottom"/>
            <w:hideMark/>
          </w:tcPr>
          <w:p w:rsidR="00EA3A13" w:rsidRPr="00EA3A13" w:rsidRDefault="00EA3A13" w:rsidP="00EA3A13">
            <w:pPr>
              <w:spacing w:before="0" w:after="0"/>
              <w:jc w:val="center"/>
              <w:rPr>
                <w:rFonts w:cs="Arial"/>
                <w:color w:val="FFFFFF"/>
                <w:sz w:val="20"/>
                <w:szCs w:val="20"/>
                <w:lang w:eastAsia="en-GB"/>
              </w:rPr>
            </w:pPr>
            <w:r w:rsidRPr="00EA3A13">
              <w:rPr>
                <w:rFonts w:cs="Arial"/>
                <w:color w:val="FFFFFF"/>
                <w:sz w:val="20"/>
                <w:szCs w:val="20"/>
                <w:lang w:eastAsia="en-GB"/>
              </w:rPr>
              <w:t>Bungalow</w:t>
            </w:r>
          </w:p>
        </w:tc>
        <w:tc>
          <w:tcPr>
            <w:tcW w:w="1280" w:type="dxa"/>
            <w:tcBorders>
              <w:top w:val="nil"/>
              <w:left w:val="nil"/>
              <w:bottom w:val="single" w:sz="4" w:space="0" w:color="auto"/>
              <w:right w:val="single" w:sz="4" w:space="0" w:color="auto"/>
            </w:tcBorders>
            <w:shd w:val="clear" w:color="000000" w:fill="008080"/>
            <w:vAlign w:val="bottom"/>
            <w:hideMark/>
          </w:tcPr>
          <w:p w:rsidR="00EA3A13" w:rsidRPr="00EA3A13" w:rsidRDefault="00EA3A13" w:rsidP="00EA3A13">
            <w:pPr>
              <w:spacing w:before="0" w:after="0"/>
              <w:jc w:val="center"/>
              <w:rPr>
                <w:rFonts w:cs="Arial"/>
                <w:color w:val="FFFFFF"/>
                <w:sz w:val="20"/>
                <w:szCs w:val="20"/>
                <w:lang w:eastAsia="en-GB"/>
              </w:rPr>
            </w:pPr>
            <w:r w:rsidRPr="00EA3A13">
              <w:rPr>
                <w:rFonts w:cs="Arial"/>
                <w:color w:val="FFFFFF"/>
                <w:sz w:val="20"/>
                <w:szCs w:val="20"/>
                <w:lang w:eastAsia="en-GB"/>
              </w:rPr>
              <w:t>Flat/ Maisonette</w:t>
            </w:r>
          </w:p>
        </w:tc>
        <w:tc>
          <w:tcPr>
            <w:tcW w:w="853" w:type="dxa"/>
            <w:tcBorders>
              <w:top w:val="nil"/>
              <w:left w:val="nil"/>
              <w:bottom w:val="single" w:sz="4" w:space="0" w:color="auto"/>
              <w:right w:val="single" w:sz="4" w:space="0" w:color="auto"/>
            </w:tcBorders>
            <w:shd w:val="clear" w:color="000000" w:fill="008080"/>
            <w:vAlign w:val="bottom"/>
            <w:hideMark/>
          </w:tcPr>
          <w:p w:rsidR="00EA3A13" w:rsidRPr="00EA3A13" w:rsidRDefault="00EA3A13" w:rsidP="00EA3A13">
            <w:pPr>
              <w:spacing w:before="0" w:after="0"/>
              <w:jc w:val="center"/>
              <w:rPr>
                <w:rFonts w:cs="Arial"/>
                <w:color w:val="FFFFFF"/>
                <w:sz w:val="20"/>
                <w:szCs w:val="20"/>
                <w:lang w:eastAsia="en-GB"/>
              </w:rPr>
            </w:pPr>
            <w:r w:rsidRPr="00EA3A13">
              <w:rPr>
                <w:rFonts w:cs="Arial"/>
                <w:color w:val="FFFFFF"/>
                <w:sz w:val="20"/>
                <w:szCs w:val="20"/>
                <w:lang w:eastAsia="en-GB"/>
              </w:rPr>
              <w:t>Other</w:t>
            </w:r>
          </w:p>
        </w:tc>
        <w:tc>
          <w:tcPr>
            <w:tcW w:w="753" w:type="dxa"/>
            <w:tcBorders>
              <w:top w:val="nil"/>
              <w:left w:val="nil"/>
              <w:bottom w:val="single" w:sz="4" w:space="0" w:color="auto"/>
              <w:right w:val="single" w:sz="4" w:space="0" w:color="auto"/>
            </w:tcBorders>
            <w:shd w:val="clear" w:color="000000" w:fill="008080"/>
            <w:vAlign w:val="bottom"/>
            <w:hideMark/>
          </w:tcPr>
          <w:p w:rsidR="00EA3A13" w:rsidRPr="00EA3A13" w:rsidRDefault="00EA3A13" w:rsidP="00EA3A13">
            <w:pPr>
              <w:spacing w:before="0" w:after="0"/>
              <w:jc w:val="center"/>
              <w:rPr>
                <w:rFonts w:cs="Arial"/>
                <w:color w:val="FFFFFF"/>
                <w:sz w:val="20"/>
                <w:szCs w:val="20"/>
                <w:lang w:eastAsia="en-GB"/>
              </w:rPr>
            </w:pPr>
            <w:r w:rsidRPr="00EA3A13">
              <w:rPr>
                <w:rFonts w:cs="Arial"/>
                <w:color w:val="FFFFFF"/>
                <w:sz w:val="20"/>
                <w:szCs w:val="20"/>
                <w:lang w:eastAsia="en-GB"/>
              </w:rPr>
              <w:t>Total</w:t>
            </w:r>
          </w:p>
        </w:tc>
      </w:tr>
      <w:tr w:rsidR="00EA3A13" w:rsidRPr="00EA3A13" w:rsidTr="00EA3A13">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One</w:t>
            </w:r>
          </w:p>
        </w:tc>
        <w:tc>
          <w:tcPr>
            <w:tcW w:w="1087"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0.3</w:t>
            </w:r>
          </w:p>
        </w:tc>
        <w:tc>
          <w:tcPr>
            <w:tcW w:w="1039"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0.0</w:t>
            </w:r>
          </w:p>
        </w:tc>
        <w:tc>
          <w:tcPr>
            <w:tcW w:w="1276"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0.6</w:t>
            </w:r>
          </w:p>
        </w:tc>
        <w:tc>
          <w:tcPr>
            <w:tcW w:w="1134"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6.1</w:t>
            </w:r>
          </w:p>
        </w:tc>
        <w:tc>
          <w:tcPr>
            <w:tcW w:w="1280"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4.3</w:t>
            </w:r>
          </w:p>
        </w:tc>
        <w:tc>
          <w:tcPr>
            <w:tcW w:w="8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0.0</w:t>
            </w:r>
          </w:p>
        </w:tc>
        <w:tc>
          <w:tcPr>
            <w:tcW w:w="7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11.4</w:t>
            </w:r>
          </w:p>
        </w:tc>
      </w:tr>
      <w:tr w:rsidR="00EA3A13" w:rsidRPr="00EA3A13" w:rsidTr="00EA3A13">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Two</w:t>
            </w:r>
          </w:p>
        </w:tc>
        <w:tc>
          <w:tcPr>
            <w:tcW w:w="1087"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0.9</w:t>
            </w:r>
          </w:p>
        </w:tc>
        <w:tc>
          <w:tcPr>
            <w:tcW w:w="1039"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10.5</w:t>
            </w:r>
          </w:p>
        </w:tc>
        <w:tc>
          <w:tcPr>
            <w:tcW w:w="1276"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15.6</w:t>
            </w:r>
          </w:p>
        </w:tc>
        <w:tc>
          <w:tcPr>
            <w:tcW w:w="1134"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10.4</w:t>
            </w:r>
          </w:p>
        </w:tc>
        <w:tc>
          <w:tcPr>
            <w:tcW w:w="1280"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6.3</w:t>
            </w:r>
          </w:p>
        </w:tc>
        <w:tc>
          <w:tcPr>
            <w:tcW w:w="8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0.6</w:t>
            </w:r>
          </w:p>
        </w:tc>
        <w:tc>
          <w:tcPr>
            <w:tcW w:w="7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44.3</w:t>
            </w:r>
          </w:p>
        </w:tc>
      </w:tr>
      <w:tr w:rsidR="00EA3A13" w:rsidRPr="00EA3A13" w:rsidTr="00EA3A13">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Three</w:t>
            </w:r>
          </w:p>
        </w:tc>
        <w:tc>
          <w:tcPr>
            <w:tcW w:w="1087"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5.9</w:t>
            </w:r>
          </w:p>
        </w:tc>
        <w:tc>
          <w:tcPr>
            <w:tcW w:w="1039"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13.5</w:t>
            </w:r>
          </w:p>
        </w:tc>
        <w:tc>
          <w:tcPr>
            <w:tcW w:w="1276"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11.0</w:t>
            </w:r>
          </w:p>
        </w:tc>
        <w:tc>
          <w:tcPr>
            <w:tcW w:w="1134"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2.2</w:t>
            </w:r>
          </w:p>
        </w:tc>
        <w:tc>
          <w:tcPr>
            <w:tcW w:w="1280"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0.6</w:t>
            </w:r>
          </w:p>
        </w:tc>
        <w:tc>
          <w:tcPr>
            <w:tcW w:w="8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0.1</w:t>
            </w:r>
          </w:p>
        </w:tc>
        <w:tc>
          <w:tcPr>
            <w:tcW w:w="7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33.4</w:t>
            </w:r>
          </w:p>
        </w:tc>
      </w:tr>
      <w:tr w:rsidR="00EA3A13" w:rsidRPr="00EA3A13" w:rsidTr="00EA3A13">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Four</w:t>
            </w:r>
          </w:p>
        </w:tc>
        <w:tc>
          <w:tcPr>
            <w:tcW w:w="1087"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6.0</w:t>
            </w:r>
          </w:p>
        </w:tc>
        <w:tc>
          <w:tcPr>
            <w:tcW w:w="1039"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1.3</w:t>
            </w:r>
          </w:p>
        </w:tc>
        <w:tc>
          <w:tcPr>
            <w:tcW w:w="1276"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2.1</w:t>
            </w:r>
          </w:p>
        </w:tc>
        <w:tc>
          <w:tcPr>
            <w:tcW w:w="1134"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0.0</w:t>
            </w:r>
          </w:p>
        </w:tc>
        <w:tc>
          <w:tcPr>
            <w:tcW w:w="8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0.0</w:t>
            </w:r>
          </w:p>
        </w:tc>
        <w:tc>
          <w:tcPr>
            <w:tcW w:w="7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9.4</w:t>
            </w:r>
          </w:p>
        </w:tc>
      </w:tr>
      <w:tr w:rsidR="00EA3A13" w:rsidRPr="00EA3A13" w:rsidTr="00EA3A13">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Five or more</w:t>
            </w:r>
          </w:p>
        </w:tc>
        <w:tc>
          <w:tcPr>
            <w:tcW w:w="1087"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1.1</w:t>
            </w:r>
          </w:p>
        </w:tc>
        <w:tc>
          <w:tcPr>
            <w:tcW w:w="1039"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0.4</w:t>
            </w:r>
          </w:p>
        </w:tc>
        <w:tc>
          <w:tcPr>
            <w:tcW w:w="1276"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0.1</w:t>
            </w:r>
          </w:p>
        </w:tc>
        <w:tc>
          <w:tcPr>
            <w:tcW w:w="1134"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0.0</w:t>
            </w:r>
          </w:p>
        </w:tc>
        <w:tc>
          <w:tcPr>
            <w:tcW w:w="8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0.0</w:t>
            </w:r>
          </w:p>
        </w:tc>
        <w:tc>
          <w:tcPr>
            <w:tcW w:w="7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1.6</w:t>
            </w:r>
          </w:p>
        </w:tc>
      </w:tr>
      <w:tr w:rsidR="00EA3A13" w:rsidRPr="00EA3A13" w:rsidTr="00EA3A13">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Total</w:t>
            </w:r>
          </w:p>
        </w:tc>
        <w:tc>
          <w:tcPr>
            <w:tcW w:w="1087"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14.2</w:t>
            </w:r>
          </w:p>
        </w:tc>
        <w:tc>
          <w:tcPr>
            <w:tcW w:w="1039"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25.7</w:t>
            </w:r>
          </w:p>
        </w:tc>
        <w:tc>
          <w:tcPr>
            <w:tcW w:w="1276"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29.4</w:t>
            </w:r>
          </w:p>
        </w:tc>
        <w:tc>
          <w:tcPr>
            <w:tcW w:w="1134"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18.7</w:t>
            </w:r>
          </w:p>
        </w:tc>
        <w:tc>
          <w:tcPr>
            <w:tcW w:w="1280"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11.2</w:t>
            </w:r>
          </w:p>
        </w:tc>
        <w:tc>
          <w:tcPr>
            <w:tcW w:w="8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0.7</w:t>
            </w:r>
          </w:p>
        </w:tc>
        <w:tc>
          <w:tcPr>
            <w:tcW w:w="753"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100.0</w:t>
            </w:r>
          </w:p>
        </w:tc>
      </w:tr>
      <w:tr w:rsidR="00EA3A13" w:rsidRPr="00EA3A13" w:rsidTr="00EA3A13">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Base</w:t>
            </w:r>
          </w:p>
        </w:tc>
        <w:tc>
          <w:tcPr>
            <w:tcW w:w="1087"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40486</w:t>
            </w:r>
          </w:p>
        </w:tc>
        <w:tc>
          <w:tcPr>
            <w:tcW w:w="1039" w:type="dxa"/>
            <w:tcBorders>
              <w:top w:val="nil"/>
              <w:left w:val="nil"/>
              <w:bottom w:val="nil"/>
              <w:right w:val="nil"/>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p>
        </w:tc>
        <w:tc>
          <w:tcPr>
            <w:tcW w:w="1276" w:type="dxa"/>
            <w:tcBorders>
              <w:top w:val="nil"/>
              <w:left w:val="nil"/>
              <w:bottom w:val="nil"/>
              <w:right w:val="nil"/>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p>
        </w:tc>
        <w:tc>
          <w:tcPr>
            <w:tcW w:w="1134" w:type="dxa"/>
            <w:tcBorders>
              <w:top w:val="nil"/>
              <w:left w:val="nil"/>
              <w:bottom w:val="nil"/>
              <w:right w:val="nil"/>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p>
        </w:tc>
        <w:tc>
          <w:tcPr>
            <w:tcW w:w="1280" w:type="dxa"/>
            <w:tcBorders>
              <w:top w:val="nil"/>
              <w:left w:val="nil"/>
              <w:bottom w:val="nil"/>
              <w:right w:val="nil"/>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p>
        </w:tc>
        <w:tc>
          <w:tcPr>
            <w:tcW w:w="853" w:type="dxa"/>
            <w:tcBorders>
              <w:top w:val="nil"/>
              <w:left w:val="nil"/>
              <w:bottom w:val="nil"/>
              <w:right w:val="nil"/>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p>
        </w:tc>
        <w:tc>
          <w:tcPr>
            <w:tcW w:w="753" w:type="dxa"/>
            <w:tcBorders>
              <w:top w:val="nil"/>
              <w:left w:val="nil"/>
              <w:bottom w:val="nil"/>
              <w:right w:val="nil"/>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p>
        </w:tc>
      </w:tr>
    </w:tbl>
    <w:p w:rsidR="003A6F13" w:rsidRDefault="00E93304" w:rsidP="00E93304">
      <w:pPr>
        <w:ind w:firstLine="709"/>
        <w:rPr>
          <w:sz w:val="20"/>
          <w:szCs w:val="20"/>
        </w:rPr>
      </w:pPr>
      <w:r>
        <w:rPr>
          <w:sz w:val="20"/>
          <w:szCs w:val="20"/>
        </w:rPr>
        <w:t>Source: 2012</w:t>
      </w:r>
      <w:r w:rsidR="00E54933">
        <w:rPr>
          <w:sz w:val="20"/>
          <w:szCs w:val="20"/>
        </w:rPr>
        <w:t xml:space="preserve"> Household Survey</w:t>
      </w:r>
      <w:r w:rsidR="00EA3A13">
        <w:rPr>
          <w:sz w:val="20"/>
          <w:szCs w:val="20"/>
        </w:rPr>
        <w:t>, rebased to 2011 Census</w:t>
      </w:r>
    </w:p>
    <w:p w:rsidR="003A6F13" w:rsidRDefault="003A6F13"/>
    <w:p w:rsidR="003A6F13" w:rsidRDefault="003A6F13" w:rsidP="00E24296">
      <w:pPr>
        <w:pStyle w:val="Heading2"/>
      </w:pPr>
      <w:bookmarkStart w:id="82" w:name="_Toc333507754"/>
      <w:bookmarkEnd w:id="81"/>
      <w:r>
        <w:t>Households planning to move</w:t>
      </w:r>
      <w:bookmarkEnd w:id="82"/>
    </w:p>
    <w:p w:rsidR="004F1E19" w:rsidRDefault="007D4194" w:rsidP="001042ED">
      <w:pPr>
        <w:pStyle w:val="Maintext"/>
      </w:pPr>
      <w:r>
        <w:t xml:space="preserve">Around </w:t>
      </w:r>
      <w:r w:rsidR="00122EDA">
        <w:t>30,500</w:t>
      </w:r>
      <w:r>
        <w:t xml:space="preserve"> households plan</w:t>
      </w:r>
      <w:r w:rsidR="00FC4AA7">
        <w:t xml:space="preserve"> to move in </w:t>
      </w:r>
      <w:r w:rsidR="00FB026D">
        <w:t xml:space="preserve">the open market </w:t>
      </w:r>
      <w:r w:rsidR="00FC4AA7">
        <w:t>the next five years.</w:t>
      </w:r>
      <w:r>
        <w:t xml:space="preserve"> </w:t>
      </w:r>
      <w:r w:rsidR="00967514">
        <w:t xml:space="preserve">Table 3.8 </w:t>
      </w:r>
      <w:r>
        <w:t xml:space="preserve">summarises the </w:t>
      </w:r>
      <w:r w:rsidR="00E264FC">
        <w:t xml:space="preserve">aspirational </w:t>
      </w:r>
      <w:r>
        <w:t xml:space="preserve">moving intentions of households based on the first </w:t>
      </w:r>
      <w:r w:rsidR="00FC4AA7">
        <w:t xml:space="preserve">and second </w:t>
      </w:r>
      <w:r>
        <w:t>prefe</w:t>
      </w:r>
      <w:r w:rsidR="004F1E19">
        <w:t>rence they stated</w:t>
      </w:r>
      <w:r w:rsidR="00267853">
        <w:t xml:space="preserve"> and further</w:t>
      </w:r>
      <w:r w:rsidR="005159AA">
        <w:t xml:space="preserve"> detail is provided in Table 3.8</w:t>
      </w:r>
      <w:r w:rsidR="00267853">
        <w:t>.</w:t>
      </w:r>
      <w:r w:rsidR="004F1E19">
        <w:t xml:space="preserve"> Overall, </w:t>
      </w:r>
      <w:r w:rsidR="00122EDA">
        <w:t>77.2</w:t>
      </w:r>
      <w:r>
        <w:t>% of households intend on r</w:t>
      </w:r>
      <w:r w:rsidR="00EC7605">
        <w:t>emaining in</w:t>
      </w:r>
      <w:r w:rsidR="00FC4AA7">
        <w:t xml:space="preserve"> County Durham</w:t>
      </w:r>
      <w:r w:rsidR="004F1E19">
        <w:t xml:space="preserve"> and </w:t>
      </w:r>
      <w:r w:rsidR="00122EDA">
        <w:t>22.8</w:t>
      </w:r>
      <w:r w:rsidR="004F1E19">
        <w:t>% intend to move out</w:t>
      </w:r>
      <w:r w:rsidR="00FC4AA7">
        <w:t xml:space="preserve">. </w:t>
      </w:r>
      <w:r w:rsidR="00196C6C">
        <w:t xml:space="preserve">Of those intending on remaining in County Durham, Central Durham was most frequently mentioned as a place of destination (by </w:t>
      </w:r>
      <w:r w:rsidR="00122EDA">
        <w:t>31</w:t>
      </w:r>
      <w:r w:rsidR="00196C6C">
        <w:t xml:space="preserve">.7% of moving households), followed by </w:t>
      </w:r>
      <w:r w:rsidR="00122EDA">
        <w:t>North</w:t>
      </w:r>
      <w:r w:rsidR="00196C6C">
        <w:t xml:space="preserve"> Durham (14</w:t>
      </w:r>
      <w:r w:rsidR="00122EDA">
        <w:t>.1</w:t>
      </w:r>
      <w:r w:rsidR="00196C6C">
        <w:t xml:space="preserve">%) and </w:t>
      </w:r>
      <w:r w:rsidR="00122EDA">
        <w:t>East Durham (12.6</w:t>
      </w:r>
      <w:r w:rsidR="00196C6C">
        <w:t>%).</w:t>
      </w:r>
    </w:p>
    <w:p w:rsidR="001042ED" w:rsidRPr="003E638F" w:rsidRDefault="001042ED" w:rsidP="001042ED">
      <w:pPr>
        <w:pStyle w:val="Maintext"/>
        <w:rPr>
          <w:iCs/>
        </w:rPr>
      </w:pPr>
      <w:r>
        <w:t>Of all households p</w:t>
      </w:r>
      <w:r w:rsidR="00122EDA">
        <w:t xml:space="preserve">lanning to move out, 6.0% were </w:t>
      </w:r>
      <w:r>
        <w:t>conside</w:t>
      </w:r>
      <w:r w:rsidR="004115CE">
        <w:t xml:space="preserve">ring moving to Tyne and Wear, </w:t>
      </w:r>
      <w:r w:rsidR="00122EDA">
        <w:t>2.5</w:t>
      </w:r>
      <w:r>
        <w:t xml:space="preserve">% to Tees Valley, </w:t>
      </w:r>
      <w:r w:rsidR="00122EDA">
        <w:t>2.6</w:t>
      </w:r>
      <w:r>
        <w:t xml:space="preserve">% to Northumberland, </w:t>
      </w:r>
      <w:r w:rsidR="00122EDA">
        <w:t>3.0</w:t>
      </w:r>
      <w:r>
        <w:t>% to Yorkshire and the Hum</w:t>
      </w:r>
      <w:r w:rsidR="00122EDA">
        <w:t>ber, 0.8% to the North West, 7.0% to elsewhere in the UK and 1.0</w:t>
      </w:r>
      <w:r>
        <w:t xml:space="preserve">% to outside the UK. </w:t>
      </w:r>
    </w:p>
    <w:p w:rsidR="001042ED" w:rsidRPr="00444357" w:rsidRDefault="001042ED" w:rsidP="001042ED">
      <w:pPr>
        <w:pStyle w:val="Maintext"/>
      </w:pPr>
      <w:r w:rsidRPr="001042ED">
        <w:rPr>
          <w:iCs/>
        </w:rPr>
        <w:t xml:space="preserve">The main reasons why households plan to move out of County Durham </w:t>
      </w:r>
      <w:r w:rsidR="00516652">
        <w:rPr>
          <w:iCs/>
        </w:rPr>
        <w:t>is</w:t>
      </w:r>
      <w:r w:rsidRPr="001042ED">
        <w:rPr>
          <w:iCs/>
        </w:rPr>
        <w:t xml:space="preserve"> to move to a larger/better property (</w:t>
      </w:r>
      <w:r w:rsidR="00516652">
        <w:rPr>
          <w:iCs/>
        </w:rPr>
        <w:t>21.8</w:t>
      </w:r>
      <w:r w:rsidRPr="001042ED">
        <w:rPr>
          <w:iCs/>
        </w:rPr>
        <w:t>%), to be closer to work/new job (</w:t>
      </w:r>
      <w:r w:rsidR="00516652">
        <w:rPr>
          <w:iCs/>
        </w:rPr>
        <w:t>13.9</w:t>
      </w:r>
      <w:r w:rsidRPr="001042ED">
        <w:rPr>
          <w:iCs/>
        </w:rPr>
        <w:t>%)</w:t>
      </w:r>
      <w:r w:rsidR="00516652">
        <w:rPr>
          <w:iCs/>
        </w:rPr>
        <w:t xml:space="preserve"> and to move to a better neighbourhood (12.8%)</w:t>
      </w:r>
      <w:r w:rsidRPr="001042ED">
        <w:rPr>
          <w:iCs/>
        </w:rPr>
        <w:t xml:space="preserve">. </w:t>
      </w:r>
    </w:p>
    <w:p w:rsidR="00C64021" w:rsidRDefault="00C64021" w:rsidP="004F1E19">
      <w:pPr>
        <w:pStyle w:val="Maintext"/>
        <w:numPr>
          <w:ilvl w:val="0"/>
          <w:numId w:val="0"/>
        </w:numPr>
        <w:ind w:left="720"/>
        <w:rPr>
          <w:b/>
        </w:rPr>
      </w:pPr>
    </w:p>
    <w:p w:rsidR="003E3BDC" w:rsidRDefault="003E3BDC">
      <w:pPr>
        <w:spacing w:before="0" w:after="0"/>
        <w:rPr>
          <w:b/>
        </w:rPr>
      </w:pPr>
      <w:r>
        <w:rPr>
          <w:b/>
        </w:rPr>
        <w:br w:type="page"/>
      </w:r>
    </w:p>
    <w:p w:rsidR="004F1E19" w:rsidRDefault="004F1E19" w:rsidP="00196C6C">
      <w:pPr>
        <w:pStyle w:val="Maintext"/>
        <w:numPr>
          <w:ilvl w:val="0"/>
          <w:numId w:val="0"/>
        </w:numPr>
        <w:ind w:left="2160" w:hanging="1440"/>
      </w:pPr>
      <w:r w:rsidRPr="004F1E19">
        <w:rPr>
          <w:b/>
        </w:rPr>
        <w:t>Table 3.</w:t>
      </w:r>
      <w:r w:rsidR="00967514">
        <w:rPr>
          <w:b/>
        </w:rPr>
        <w:t>8</w:t>
      </w:r>
      <w:r>
        <w:tab/>
        <w:t xml:space="preserve">First </w:t>
      </w:r>
      <w:r w:rsidR="00FC4AA7">
        <w:t xml:space="preserve">and second </w:t>
      </w:r>
      <w:r>
        <w:t>choice destination of households planning to move in next five years</w:t>
      </w:r>
    </w:p>
    <w:tbl>
      <w:tblPr>
        <w:tblW w:w="6095" w:type="dxa"/>
        <w:tblInd w:w="817" w:type="dxa"/>
        <w:tblLook w:val="04A0" w:firstRow="1" w:lastRow="0" w:firstColumn="1" w:lastColumn="0" w:noHBand="0" w:noVBand="1"/>
      </w:tblPr>
      <w:tblGrid>
        <w:gridCol w:w="3402"/>
        <w:gridCol w:w="1418"/>
        <w:gridCol w:w="1275"/>
      </w:tblGrid>
      <w:tr w:rsidR="00EA3A13" w:rsidRPr="00EA3A13" w:rsidTr="003E3BDC">
        <w:trPr>
          <w:trHeight w:val="255"/>
        </w:trPr>
        <w:tc>
          <w:tcPr>
            <w:tcW w:w="3402"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EA3A13" w:rsidRPr="00EA3A13" w:rsidRDefault="00EA3A13" w:rsidP="00EA3A13">
            <w:pPr>
              <w:spacing w:before="0" w:after="0"/>
              <w:rPr>
                <w:rFonts w:cs="Arial"/>
                <w:b/>
                <w:bCs/>
                <w:color w:val="FFFFFF"/>
                <w:sz w:val="20"/>
                <w:szCs w:val="20"/>
                <w:lang w:eastAsia="en-GB"/>
              </w:rPr>
            </w:pPr>
            <w:r w:rsidRPr="00EA3A13">
              <w:rPr>
                <w:rFonts w:cs="Arial"/>
                <w:b/>
                <w:bCs/>
                <w:color w:val="FFFFFF"/>
                <w:sz w:val="20"/>
                <w:szCs w:val="20"/>
                <w:lang w:eastAsia="en-GB"/>
              </w:rPr>
              <w:t>Destination</w:t>
            </w:r>
          </w:p>
        </w:tc>
        <w:tc>
          <w:tcPr>
            <w:tcW w:w="1418" w:type="dxa"/>
            <w:tcBorders>
              <w:top w:val="single" w:sz="4" w:space="0" w:color="auto"/>
              <w:left w:val="nil"/>
              <w:bottom w:val="single" w:sz="4" w:space="0" w:color="auto"/>
              <w:right w:val="single" w:sz="4" w:space="0" w:color="auto"/>
            </w:tcBorders>
            <w:shd w:val="clear" w:color="000000" w:fill="008080"/>
            <w:noWrap/>
            <w:vAlign w:val="bottom"/>
            <w:hideMark/>
          </w:tcPr>
          <w:p w:rsidR="00EA3A13" w:rsidRPr="00EA3A13" w:rsidRDefault="00EA3A13" w:rsidP="00EA3A13">
            <w:pPr>
              <w:spacing w:before="0" w:after="0"/>
              <w:jc w:val="center"/>
              <w:rPr>
                <w:rFonts w:cs="Arial"/>
                <w:b/>
                <w:bCs/>
                <w:color w:val="FFFFFF"/>
                <w:sz w:val="20"/>
                <w:szCs w:val="20"/>
                <w:lang w:eastAsia="en-GB"/>
              </w:rPr>
            </w:pPr>
            <w:r w:rsidRPr="00EA3A13">
              <w:rPr>
                <w:rFonts w:cs="Arial"/>
                <w:b/>
                <w:bCs/>
                <w:color w:val="FFFFFF"/>
                <w:sz w:val="20"/>
                <w:szCs w:val="20"/>
                <w:lang w:eastAsia="en-GB"/>
              </w:rPr>
              <w:t>No. responses</w:t>
            </w:r>
          </w:p>
        </w:tc>
        <w:tc>
          <w:tcPr>
            <w:tcW w:w="1275" w:type="dxa"/>
            <w:tcBorders>
              <w:top w:val="single" w:sz="4" w:space="0" w:color="auto"/>
              <w:left w:val="nil"/>
              <w:bottom w:val="single" w:sz="4" w:space="0" w:color="auto"/>
              <w:right w:val="single" w:sz="4" w:space="0" w:color="auto"/>
            </w:tcBorders>
            <w:shd w:val="clear" w:color="000000" w:fill="008080"/>
            <w:noWrap/>
            <w:vAlign w:val="bottom"/>
            <w:hideMark/>
          </w:tcPr>
          <w:p w:rsidR="00EA3A13" w:rsidRPr="00EA3A13" w:rsidRDefault="00EA3A13" w:rsidP="00EA3A13">
            <w:pPr>
              <w:spacing w:before="0" w:after="0"/>
              <w:jc w:val="center"/>
              <w:rPr>
                <w:rFonts w:cs="Arial"/>
                <w:b/>
                <w:bCs/>
                <w:color w:val="FFFFFF"/>
                <w:sz w:val="20"/>
                <w:szCs w:val="20"/>
                <w:lang w:eastAsia="en-GB"/>
              </w:rPr>
            </w:pPr>
            <w:r w:rsidRPr="00EA3A13">
              <w:rPr>
                <w:rFonts w:cs="Arial"/>
                <w:b/>
                <w:bCs/>
                <w:color w:val="FFFFFF"/>
                <w:sz w:val="20"/>
                <w:szCs w:val="20"/>
                <w:lang w:eastAsia="en-GB"/>
              </w:rPr>
              <w:t>% choices</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Within Co. Durham</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Central</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14040</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31.7</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East</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5594</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12.6</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North</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6224</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14.1</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South</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4655</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10.5</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The Dales</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1939</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4.4</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Not specified</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1720</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3.9</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Outside Co. Durham</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Darlington</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538</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1.2</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Hartlepool</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310</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0.7</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Stockton on Tees</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91</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0.2</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Middlesbrough/Redcar and Cleveland</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67</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0.2</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Tees Valley (not specified)</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82</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0.2</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Sunderland</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1455</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3.3</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South Tyneside</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135</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0.3</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Gateshead</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450</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Newcastle/North Tyneside</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544</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1.2</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Tyne and Wear (not specified)</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60</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0.1</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Northumberland</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1135</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2.6</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Yorkshire and the Humber</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1308</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3.0</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North West</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367</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0.8</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Elsewhere in the UK</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3116</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7.0</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Outside UK</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427</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Total Choices</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44258</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100.0</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Base (Moving households)</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30495</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r>
      <w:tr w:rsidR="00EA3A13" w:rsidRPr="00EA3A13" w:rsidTr="003E3BDC">
        <w:trPr>
          <w:trHeight w:val="255"/>
        </w:trPr>
        <w:tc>
          <w:tcPr>
            <w:tcW w:w="3402" w:type="dxa"/>
            <w:tcBorders>
              <w:top w:val="nil"/>
              <w:left w:val="single" w:sz="4" w:space="0" w:color="auto"/>
              <w:bottom w:val="single" w:sz="4" w:space="0" w:color="auto"/>
              <w:right w:val="nil"/>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 </w:t>
            </w:r>
          </w:p>
        </w:tc>
        <w:tc>
          <w:tcPr>
            <w:tcW w:w="1418" w:type="dxa"/>
            <w:tcBorders>
              <w:top w:val="nil"/>
              <w:left w:val="nil"/>
              <w:bottom w:val="single" w:sz="4" w:space="0" w:color="auto"/>
              <w:right w:val="nil"/>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 </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Within County Durham</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34172</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77.2</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Outside County Durham</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10085</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22.8</w:t>
            </w:r>
          </w:p>
        </w:tc>
      </w:tr>
      <w:tr w:rsidR="00EA3A13" w:rsidRPr="00EA3A13" w:rsidTr="003E3BDC">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rPr>
                <w:rFonts w:cs="Arial"/>
                <w:sz w:val="20"/>
                <w:szCs w:val="20"/>
                <w:lang w:eastAsia="en-GB"/>
              </w:rPr>
            </w:pPr>
            <w:r w:rsidRPr="00EA3A13">
              <w:rPr>
                <w:rFonts w:cs="Arial"/>
                <w:sz w:val="20"/>
                <w:szCs w:val="20"/>
                <w:lang w:eastAsia="en-GB"/>
              </w:rPr>
              <w:t>Total Choices</w:t>
            </w:r>
          </w:p>
        </w:tc>
        <w:tc>
          <w:tcPr>
            <w:tcW w:w="1418"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44258</w:t>
            </w:r>
          </w:p>
        </w:tc>
        <w:tc>
          <w:tcPr>
            <w:tcW w:w="1275" w:type="dxa"/>
            <w:tcBorders>
              <w:top w:val="nil"/>
              <w:left w:val="nil"/>
              <w:bottom w:val="single" w:sz="4" w:space="0" w:color="auto"/>
              <w:right w:val="single" w:sz="4" w:space="0" w:color="auto"/>
            </w:tcBorders>
            <w:shd w:val="clear" w:color="auto" w:fill="auto"/>
            <w:noWrap/>
            <w:vAlign w:val="bottom"/>
            <w:hideMark/>
          </w:tcPr>
          <w:p w:rsidR="00EA3A13" w:rsidRPr="00EA3A13" w:rsidRDefault="00EA3A13" w:rsidP="00EA3A13">
            <w:pPr>
              <w:spacing w:before="0" w:after="0"/>
              <w:jc w:val="center"/>
              <w:rPr>
                <w:rFonts w:cs="Arial"/>
                <w:sz w:val="20"/>
                <w:szCs w:val="20"/>
                <w:lang w:eastAsia="en-GB"/>
              </w:rPr>
            </w:pPr>
            <w:r w:rsidRPr="00EA3A13">
              <w:rPr>
                <w:rFonts w:cs="Arial"/>
                <w:sz w:val="20"/>
                <w:szCs w:val="20"/>
                <w:lang w:eastAsia="en-GB"/>
              </w:rPr>
              <w:t>100.0</w:t>
            </w:r>
          </w:p>
        </w:tc>
      </w:tr>
    </w:tbl>
    <w:p w:rsidR="006F112C" w:rsidRPr="003E3BDC" w:rsidRDefault="001042ED" w:rsidP="003E3BDC">
      <w:pPr>
        <w:ind w:firstLine="720"/>
        <w:rPr>
          <w:sz w:val="20"/>
          <w:szCs w:val="20"/>
        </w:rPr>
      </w:pPr>
      <w:r w:rsidRPr="003E3BDC">
        <w:rPr>
          <w:sz w:val="20"/>
          <w:szCs w:val="20"/>
        </w:rPr>
        <w:t>Source: 2012</w:t>
      </w:r>
      <w:r w:rsidR="00E54933" w:rsidRPr="003E3BDC">
        <w:rPr>
          <w:sz w:val="20"/>
          <w:szCs w:val="20"/>
        </w:rPr>
        <w:t xml:space="preserve"> Household Survey</w:t>
      </w:r>
      <w:bookmarkStart w:id="83" w:name="_Toc225941533"/>
      <w:r w:rsidR="003E3BDC">
        <w:rPr>
          <w:sz w:val="20"/>
          <w:szCs w:val="20"/>
        </w:rPr>
        <w:t>, rebased to 2011 Census</w:t>
      </w:r>
    </w:p>
    <w:p w:rsidR="00516652" w:rsidRDefault="00516652" w:rsidP="00E24296">
      <w:pPr>
        <w:pStyle w:val="Heading2"/>
        <w:ind w:left="0"/>
      </w:pPr>
    </w:p>
    <w:p w:rsidR="003A6F13" w:rsidRDefault="003A6F13" w:rsidP="00E24296">
      <w:pPr>
        <w:pStyle w:val="Heading2"/>
        <w:ind w:left="0"/>
      </w:pPr>
      <w:r>
        <w:tab/>
      </w:r>
      <w:bookmarkStart w:id="84" w:name="_Toc333507755"/>
      <w:r>
        <w:t>Travel to work trends</w:t>
      </w:r>
      <w:bookmarkEnd w:id="83"/>
      <w:bookmarkEnd w:id="84"/>
    </w:p>
    <w:p w:rsidR="002673BA" w:rsidRDefault="002673BA" w:rsidP="005966E0">
      <w:pPr>
        <w:pStyle w:val="Maintext"/>
      </w:pPr>
      <w:r>
        <w:t xml:space="preserve">The 2012 household survey identified the workplace of </w:t>
      </w:r>
      <w:r w:rsidR="002F2C47">
        <w:t>176,683</w:t>
      </w:r>
      <w:r>
        <w:t xml:space="preserve"> County Durham residents of County Durham</w:t>
      </w:r>
      <w:r w:rsidR="00381E1B">
        <w:rPr>
          <w:rStyle w:val="FootnoteReference"/>
        </w:rPr>
        <w:footnoteReference w:id="12"/>
      </w:r>
      <w:r>
        <w:t xml:space="preserve"> </w:t>
      </w:r>
      <w:r w:rsidR="00967514">
        <w:t xml:space="preserve">(Table 3.9) </w:t>
      </w:r>
      <w:r>
        <w:t>which indicated that:</w:t>
      </w:r>
    </w:p>
    <w:p w:rsidR="002673BA" w:rsidRDefault="00B735DE" w:rsidP="002673BA">
      <w:pPr>
        <w:pStyle w:val="Maintext"/>
        <w:numPr>
          <w:ilvl w:val="2"/>
          <w:numId w:val="2"/>
        </w:numPr>
      </w:pPr>
      <w:r>
        <w:t>65.2</w:t>
      </w:r>
      <w:r w:rsidR="004F1C09">
        <w:t>%</w:t>
      </w:r>
      <w:r w:rsidR="002673BA">
        <w:t xml:space="preserve"> lived and worked in </w:t>
      </w:r>
      <w:r w:rsidR="004F1C09">
        <w:rPr>
          <w:rFonts w:cs="Arial"/>
          <w:iCs/>
        </w:rPr>
        <w:t>County Durham</w:t>
      </w:r>
      <w:r w:rsidR="002673BA">
        <w:t>; and</w:t>
      </w:r>
    </w:p>
    <w:p w:rsidR="002673BA" w:rsidRDefault="00B735DE" w:rsidP="002673BA">
      <w:pPr>
        <w:pStyle w:val="Maintext"/>
        <w:numPr>
          <w:ilvl w:val="2"/>
          <w:numId w:val="2"/>
        </w:numPr>
      </w:pPr>
      <w:r>
        <w:t>34.8</w:t>
      </w:r>
      <w:r w:rsidR="004F1C09">
        <w:t xml:space="preserve">% </w:t>
      </w:r>
      <w:r w:rsidR="002673BA">
        <w:t xml:space="preserve">lived in </w:t>
      </w:r>
      <w:r w:rsidR="004F1C09">
        <w:t xml:space="preserve">County Durham but </w:t>
      </w:r>
      <w:r w:rsidR="002673BA">
        <w:t xml:space="preserve">worked elsewhere. </w:t>
      </w:r>
    </w:p>
    <w:p w:rsidR="00CB2740" w:rsidRDefault="002673BA" w:rsidP="002673BA">
      <w:pPr>
        <w:pStyle w:val="Maintext"/>
      </w:pPr>
      <w:r>
        <w:t xml:space="preserve">Of those working outside </w:t>
      </w:r>
      <w:r w:rsidR="00CB2740">
        <w:t>County D</w:t>
      </w:r>
      <w:r w:rsidR="00B735DE">
        <w:t>urham, 19.8% worked in Tyne and Wear, 9.4% in Tees Valley, 0.8</w:t>
      </w:r>
      <w:r w:rsidR="00CB2740">
        <w:t>% elsewhere in the North East</w:t>
      </w:r>
      <w:r w:rsidR="00B735DE">
        <w:t>, 1.2% Yorkshire and Humber</w:t>
      </w:r>
      <w:r w:rsidR="00CB2740">
        <w:t xml:space="preserve"> and 2.9% elsewhere. </w:t>
      </w:r>
    </w:p>
    <w:p w:rsidR="00CB2740" w:rsidRDefault="002673BA" w:rsidP="002673BA">
      <w:pPr>
        <w:pStyle w:val="Maintext"/>
      </w:pPr>
      <w:r>
        <w:t xml:space="preserve">The proportion of economically active residents working outside </w:t>
      </w:r>
      <w:r w:rsidR="00CB2740">
        <w:t xml:space="preserve">County Durham was highest in </w:t>
      </w:r>
      <w:r w:rsidR="002F2C47">
        <w:t>North Durham (44.6%) and East Durham (40.9</w:t>
      </w:r>
      <w:r w:rsidR="00196C6C">
        <w:t>%)</w:t>
      </w:r>
      <w:r w:rsidR="00CB2740">
        <w:t xml:space="preserve">. </w:t>
      </w:r>
    </w:p>
    <w:p w:rsidR="002673BA" w:rsidRDefault="002673BA" w:rsidP="00CB2740">
      <w:pPr>
        <w:pStyle w:val="Maintext"/>
        <w:numPr>
          <w:ilvl w:val="0"/>
          <w:numId w:val="0"/>
        </w:numPr>
      </w:pPr>
    </w:p>
    <w:p w:rsidR="00196C6C" w:rsidRDefault="00196C6C" w:rsidP="00196C6C">
      <w:pPr>
        <w:ind w:left="709"/>
      </w:pPr>
      <w:r>
        <w:rPr>
          <w:b/>
        </w:rPr>
        <w:t>Table 3.9</w:t>
      </w:r>
      <w:r>
        <w:tab/>
        <w:t xml:space="preserve">Workplace of County Durham residents by </w:t>
      </w:r>
      <w:r w:rsidR="0083534C">
        <w:t>survey area</w:t>
      </w:r>
    </w:p>
    <w:tbl>
      <w:tblPr>
        <w:tblW w:w="8789" w:type="dxa"/>
        <w:tblInd w:w="817" w:type="dxa"/>
        <w:tblLook w:val="04A0" w:firstRow="1" w:lastRow="0" w:firstColumn="1" w:lastColumn="0" w:noHBand="0" w:noVBand="1"/>
      </w:tblPr>
      <w:tblGrid>
        <w:gridCol w:w="2126"/>
        <w:gridCol w:w="1418"/>
        <w:gridCol w:w="1276"/>
        <w:gridCol w:w="1417"/>
        <w:gridCol w:w="1276"/>
        <w:gridCol w:w="1276"/>
      </w:tblGrid>
      <w:tr w:rsidR="000A79E8" w:rsidRPr="000A79E8" w:rsidTr="000A79E8">
        <w:trPr>
          <w:trHeight w:val="255"/>
        </w:trPr>
        <w:tc>
          <w:tcPr>
            <w:tcW w:w="2126" w:type="dxa"/>
            <w:tcBorders>
              <w:top w:val="single" w:sz="4" w:space="0" w:color="auto"/>
              <w:left w:val="single" w:sz="4" w:space="0" w:color="auto"/>
              <w:bottom w:val="nil"/>
              <w:right w:val="single" w:sz="4" w:space="0" w:color="auto"/>
            </w:tcBorders>
            <w:shd w:val="clear" w:color="000000" w:fill="008080"/>
            <w:noWrap/>
            <w:vAlign w:val="bottom"/>
            <w:hideMark/>
          </w:tcPr>
          <w:p w:rsidR="000A79E8" w:rsidRPr="000A79E8" w:rsidRDefault="000A79E8" w:rsidP="000A79E8">
            <w:pPr>
              <w:spacing w:before="0" w:after="0"/>
              <w:rPr>
                <w:rFonts w:cs="Arial"/>
                <w:b/>
                <w:bCs/>
                <w:color w:val="FFFFFF"/>
                <w:sz w:val="20"/>
                <w:szCs w:val="20"/>
                <w:lang w:eastAsia="en-GB"/>
              </w:rPr>
            </w:pPr>
            <w:r w:rsidRPr="000A79E8">
              <w:rPr>
                <w:rFonts w:cs="Arial"/>
                <w:b/>
                <w:bCs/>
                <w:color w:val="FFFFFF"/>
                <w:sz w:val="20"/>
                <w:szCs w:val="20"/>
                <w:lang w:eastAsia="en-GB"/>
              </w:rPr>
              <w:t>Delivery Area</w:t>
            </w:r>
          </w:p>
        </w:tc>
        <w:tc>
          <w:tcPr>
            <w:tcW w:w="1418" w:type="dxa"/>
            <w:tcBorders>
              <w:top w:val="single" w:sz="4" w:space="0" w:color="auto"/>
              <w:left w:val="nil"/>
              <w:bottom w:val="single" w:sz="4" w:space="0" w:color="auto"/>
              <w:right w:val="nil"/>
            </w:tcBorders>
            <w:shd w:val="clear" w:color="000000" w:fill="008080"/>
            <w:noWrap/>
            <w:vAlign w:val="bottom"/>
            <w:hideMark/>
          </w:tcPr>
          <w:p w:rsidR="000A79E8" w:rsidRPr="000A79E8" w:rsidRDefault="000A79E8" w:rsidP="000A79E8">
            <w:pPr>
              <w:spacing w:before="0" w:after="0"/>
              <w:rPr>
                <w:rFonts w:cs="Arial"/>
                <w:b/>
                <w:bCs/>
                <w:color w:val="FFFFFF"/>
                <w:sz w:val="20"/>
                <w:szCs w:val="20"/>
                <w:lang w:eastAsia="en-GB"/>
              </w:rPr>
            </w:pPr>
            <w:r w:rsidRPr="000A79E8">
              <w:rPr>
                <w:rFonts w:cs="Arial"/>
                <w:b/>
                <w:bCs/>
                <w:color w:val="FFFFFF"/>
                <w:sz w:val="20"/>
                <w:szCs w:val="20"/>
                <w:lang w:eastAsia="en-GB"/>
              </w:rPr>
              <w:t>Workplace</w:t>
            </w:r>
          </w:p>
        </w:tc>
        <w:tc>
          <w:tcPr>
            <w:tcW w:w="1276" w:type="dxa"/>
            <w:tcBorders>
              <w:top w:val="single" w:sz="4" w:space="0" w:color="auto"/>
              <w:left w:val="nil"/>
              <w:bottom w:val="single" w:sz="4" w:space="0" w:color="auto"/>
              <w:right w:val="nil"/>
            </w:tcBorders>
            <w:shd w:val="clear" w:color="000000" w:fill="008080"/>
            <w:noWrap/>
            <w:vAlign w:val="bottom"/>
            <w:hideMark/>
          </w:tcPr>
          <w:p w:rsidR="000A79E8" w:rsidRPr="000A79E8" w:rsidRDefault="000A79E8" w:rsidP="000A79E8">
            <w:pPr>
              <w:spacing w:before="0" w:after="0"/>
              <w:rPr>
                <w:rFonts w:cs="Arial"/>
                <w:color w:val="FFFFFF"/>
                <w:sz w:val="20"/>
                <w:szCs w:val="20"/>
                <w:lang w:eastAsia="en-GB"/>
              </w:rPr>
            </w:pPr>
            <w:r w:rsidRPr="000A79E8">
              <w:rPr>
                <w:rFonts w:cs="Arial"/>
                <w:color w:val="FFFFFF"/>
                <w:sz w:val="20"/>
                <w:szCs w:val="20"/>
                <w:lang w:eastAsia="en-GB"/>
              </w:rPr>
              <w:t> </w:t>
            </w:r>
          </w:p>
        </w:tc>
        <w:tc>
          <w:tcPr>
            <w:tcW w:w="1417" w:type="dxa"/>
            <w:tcBorders>
              <w:top w:val="single" w:sz="4" w:space="0" w:color="auto"/>
              <w:left w:val="nil"/>
              <w:bottom w:val="single" w:sz="4" w:space="0" w:color="auto"/>
              <w:right w:val="nil"/>
            </w:tcBorders>
            <w:shd w:val="clear" w:color="000000" w:fill="008080"/>
            <w:noWrap/>
            <w:vAlign w:val="bottom"/>
            <w:hideMark/>
          </w:tcPr>
          <w:p w:rsidR="000A79E8" w:rsidRPr="000A79E8" w:rsidRDefault="000A79E8" w:rsidP="000A79E8">
            <w:pPr>
              <w:spacing w:before="0" w:after="0"/>
              <w:rPr>
                <w:rFonts w:cs="Arial"/>
                <w:color w:val="FFFFFF"/>
                <w:sz w:val="20"/>
                <w:szCs w:val="20"/>
                <w:lang w:eastAsia="en-GB"/>
              </w:rPr>
            </w:pPr>
            <w:r w:rsidRPr="000A79E8">
              <w:rPr>
                <w:rFonts w:cs="Arial"/>
                <w:color w:val="FFFFFF"/>
                <w:sz w:val="20"/>
                <w:szCs w:val="20"/>
                <w:lang w:eastAsia="en-GB"/>
              </w:rPr>
              <w:t> </w:t>
            </w:r>
          </w:p>
        </w:tc>
        <w:tc>
          <w:tcPr>
            <w:tcW w:w="1276" w:type="dxa"/>
            <w:tcBorders>
              <w:top w:val="single" w:sz="4" w:space="0" w:color="auto"/>
              <w:left w:val="nil"/>
              <w:bottom w:val="single" w:sz="4" w:space="0" w:color="auto"/>
              <w:right w:val="nil"/>
            </w:tcBorders>
            <w:shd w:val="clear" w:color="000000" w:fill="008080"/>
            <w:noWrap/>
            <w:vAlign w:val="bottom"/>
            <w:hideMark/>
          </w:tcPr>
          <w:p w:rsidR="000A79E8" w:rsidRPr="000A79E8" w:rsidRDefault="000A79E8" w:rsidP="000A79E8">
            <w:pPr>
              <w:spacing w:before="0" w:after="0"/>
              <w:rPr>
                <w:rFonts w:cs="Arial"/>
                <w:color w:val="FFFFFF"/>
                <w:sz w:val="20"/>
                <w:szCs w:val="20"/>
                <w:lang w:eastAsia="en-GB"/>
              </w:rPr>
            </w:pPr>
            <w:r w:rsidRPr="000A79E8">
              <w:rPr>
                <w:rFonts w:cs="Arial"/>
                <w:color w:val="FFFFFF"/>
                <w:sz w:val="20"/>
                <w:szCs w:val="20"/>
                <w:lang w:eastAsia="en-GB"/>
              </w:rPr>
              <w:t> </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0A79E8" w:rsidRPr="000A79E8" w:rsidRDefault="000A79E8" w:rsidP="000A79E8">
            <w:pPr>
              <w:spacing w:before="0" w:after="0"/>
              <w:rPr>
                <w:rFonts w:cs="Arial"/>
                <w:color w:val="FFFFFF"/>
                <w:sz w:val="20"/>
                <w:szCs w:val="20"/>
                <w:lang w:eastAsia="en-GB"/>
              </w:rPr>
            </w:pPr>
            <w:r w:rsidRPr="000A79E8">
              <w:rPr>
                <w:rFonts w:cs="Arial"/>
                <w:color w:val="FFFFFF"/>
                <w:sz w:val="20"/>
                <w:szCs w:val="20"/>
                <w:lang w:eastAsia="en-GB"/>
              </w:rPr>
              <w:t> </w:t>
            </w:r>
          </w:p>
        </w:tc>
      </w:tr>
      <w:tr w:rsidR="000A79E8" w:rsidRPr="000A79E8" w:rsidTr="000A79E8">
        <w:trPr>
          <w:trHeight w:val="1275"/>
        </w:trPr>
        <w:tc>
          <w:tcPr>
            <w:tcW w:w="2126" w:type="dxa"/>
            <w:tcBorders>
              <w:top w:val="nil"/>
              <w:left w:val="single" w:sz="4" w:space="0" w:color="auto"/>
              <w:bottom w:val="single" w:sz="4" w:space="0" w:color="auto"/>
              <w:right w:val="single" w:sz="4" w:space="0" w:color="auto"/>
            </w:tcBorders>
            <w:shd w:val="clear" w:color="000000" w:fill="008080"/>
            <w:noWrap/>
            <w:vAlign w:val="bottom"/>
            <w:hideMark/>
          </w:tcPr>
          <w:p w:rsidR="000A79E8" w:rsidRPr="000A79E8" w:rsidRDefault="000A79E8" w:rsidP="000A79E8">
            <w:pPr>
              <w:spacing w:before="0" w:after="0"/>
              <w:rPr>
                <w:rFonts w:cs="Arial"/>
                <w:color w:val="FFFFFF"/>
                <w:sz w:val="20"/>
                <w:szCs w:val="20"/>
                <w:lang w:eastAsia="en-GB"/>
              </w:rPr>
            </w:pPr>
            <w:r w:rsidRPr="000A79E8">
              <w:rPr>
                <w:rFonts w:cs="Arial"/>
                <w:color w:val="FFFFFF"/>
                <w:sz w:val="20"/>
                <w:szCs w:val="20"/>
                <w:lang w:eastAsia="en-GB"/>
              </w:rPr>
              <w:t> </w:t>
            </w:r>
          </w:p>
        </w:tc>
        <w:tc>
          <w:tcPr>
            <w:tcW w:w="1418" w:type="dxa"/>
            <w:tcBorders>
              <w:top w:val="nil"/>
              <w:left w:val="nil"/>
              <w:bottom w:val="single" w:sz="4" w:space="0" w:color="auto"/>
              <w:right w:val="single" w:sz="4" w:space="0" w:color="auto"/>
            </w:tcBorders>
            <w:shd w:val="clear" w:color="000000" w:fill="008080"/>
            <w:vAlign w:val="bottom"/>
            <w:hideMark/>
          </w:tcPr>
          <w:p w:rsidR="000A79E8" w:rsidRPr="000A79E8" w:rsidRDefault="000A79E8" w:rsidP="000A79E8">
            <w:pPr>
              <w:spacing w:before="0" w:after="0"/>
              <w:jc w:val="center"/>
              <w:rPr>
                <w:rFonts w:cs="Arial"/>
                <w:color w:val="FFFFFF"/>
                <w:sz w:val="20"/>
                <w:szCs w:val="20"/>
                <w:lang w:eastAsia="en-GB"/>
              </w:rPr>
            </w:pPr>
            <w:r w:rsidRPr="000A79E8">
              <w:rPr>
                <w:rFonts w:cs="Arial"/>
                <w:color w:val="FFFFFF"/>
                <w:sz w:val="20"/>
                <w:szCs w:val="20"/>
                <w:lang w:eastAsia="en-GB"/>
              </w:rPr>
              <w:t>Same  Delivery Area</w:t>
            </w:r>
          </w:p>
        </w:tc>
        <w:tc>
          <w:tcPr>
            <w:tcW w:w="1276" w:type="dxa"/>
            <w:tcBorders>
              <w:top w:val="nil"/>
              <w:left w:val="nil"/>
              <w:bottom w:val="single" w:sz="4" w:space="0" w:color="auto"/>
              <w:right w:val="single" w:sz="4" w:space="0" w:color="auto"/>
            </w:tcBorders>
            <w:shd w:val="clear" w:color="000000" w:fill="008080"/>
            <w:vAlign w:val="bottom"/>
            <w:hideMark/>
          </w:tcPr>
          <w:p w:rsidR="000A79E8" w:rsidRPr="000A79E8" w:rsidRDefault="000A79E8" w:rsidP="000A79E8">
            <w:pPr>
              <w:spacing w:before="0" w:after="0"/>
              <w:jc w:val="center"/>
              <w:rPr>
                <w:rFonts w:cs="Arial"/>
                <w:color w:val="FFFFFF"/>
                <w:sz w:val="20"/>
                <w:szCs w:val="20"/>
                <w:lang w:eastAsia="en-GB"/>
              </w:rPr>
            </w:pPr>
            <w:r w:rsidRPr="000A79E8">
              <w:rPr>
                <w:rFonts w:cs="Arial"/>
                <w:color w:val="FFFFFF"/>
                <w:sz w:val="20"/>
                <w:szCs w:val="20"/>
                <w:lang w:eastAsia="en-GB"/>
              </w:rPr>
              <w:t>Elsewhere in Co. Durham</w:t>
            </w:r>
          </w:p>
        </w:tc>
        <w:tc>
          <w:tcPr>
            <w:tcW w:w="1417" w:type="dxa"/>
            <w:tcBorders>
              <w:top w:val="nil"/>
              <w:left w:val="nil"/>
              <w:bottom w:val="single" w:sz="4" w:space="0" w:color="auto"/>
              <w:right w:val="single" w:sz="4" w:space="0" w:color="auto"/>
            </w:tcBorders>
            <w:shd w:val="clear" w:color="000000" w:fill="008080"/>
            <w:vAlign w:val="bottom"/>
            <w:hideMark/>
          </w:tcPr>
          <w:p w:rsidR="000A79E8" w:rsidRPr="000A79E8" w:rsidRDefault="000A79E8" w:rsidP="000A79E8">
            <w:pPr>
              <w:spacing w:before="0" w:after="0"/>
              <w:jc w:val="center"/>
              <w:rPr>
                <w:rFonts w:cs="Arial"/>
                <w:color w:val="FFFFFF"/>
                <w:sz w:val="20"/>
                <w:szCs w:val="20"/>
                <w:lang w:eastAsia="en-GB"/>
              </w:rPr>
            </w:pPr>
            <w:r w:rsidRPr="000A79E8">
              <w:rPr>
                <w:rFonts w:cs="Arial"/>
                <w:color w:val="FFFFFF"/>
                <w:sz w:val="20"/>
                <w:szCs w:val="20"/>
                <w:lang w:eastAsia="en-GB"/>
              </w:rPr>
              <w:t>% within Co. Durham</w:t>
            </w:r>
          </w:p>
        </w:tc>
        <w:tc>
          <w:tcPr>
            <w:tcW w:w="1276" w:type="dxa"/>
            <w:tcBorders>
              <w:top w:val="nil"/>
              <w:left w:val="nil"/>
              <w:bottom w:val="single" w:sz="4" w:space="0" w:color="auto"/>
              <w:right w:val="single" w:sz="4" w:space="0" w:color="auto"/>
            </w:tcBorders>
            <w:shd w:val="clear" w:color="000000" w:fill="008080"/>
            <w:vAlign w:val="bottom"/>
            <w:hideMark/>
          </w:tcPr>
          <w:p w:rsidR="000A79E8" w:rsidRPr="000A79E8" w:rsidRDefault="000A79E8" w:rsidP="000A79E8">
            <w:pPr>
              <w:spacing w:before="0" w:after="0"/>
              <w:jc w:val="center"/>
              <w:rPr>
                <w:rFonts w:cs="Arial"/>
                <w:color w:val="FFFFFF"/>
                <w:sz w:val="20"/>
                <w:szCs w:val="20"/>
                <w:lang w:eastAsia="en-GB"/>
              </w:rPr>
            </w:pPr>
            <w:r w:rsidRPr="000A79E8">
              <w:rPr>
                <w:rFonts w:cs="Arial"/>
                <w:color w:val="FFFFFF"/>
                <w:sz w:val="20"/>
                <w:szCs w:val="20"/>
                <w:lang w:eastAsia="en-GB"/>
              </w:rPr>
              <w:t>% outside Co. Durham</w:t>
            </w:r>
          </w:p>
        </w:tc>
        <w:tc>
          <w:tcPr>
            <w:tcW w:w="1276" w:type="dxa"/>
            <w:tcBorders>
              <w:top w:val="nil"/>
              <w:left w:val="nil"/>
              <w:bottom w:val="single" w:sz="4" w:space="0" w:color="auto"/>
              <w:right w:val="single" w:sz="4" w:space="0" w:color="auto"/>
            </w:tcBorders>
            <w:shd w:val="clear" w:color="000000" w:fill="008080"/>
            <w:vAlign w:val="bottom"/>
            <w:hideMark/>
          </w:tcPr>
          <w:p w:rsidR="000A79E8" w:rsidRPr="000A79E8" w:rsidRDefault="000A79E8" w:rsidP="000A79E8">
            <w:pPr>
              <w:spacing w:before="0" w:after="0"/>
              <w:jc w:val="center"/>
              <w:rPr>
                <w:rFonts w:cs="Arial"/>
                <w:color w:val="FFFFFF"/>
                <w:sz w:val="20"/>
                <w:szCs w:val="20"/>
                <w:lang w:eastAsia="en-GB"/>
              </w:rPr>
            </w:pPr>
            <w:r w:rsidRPr="000A79E8">
              <w:rPr>
                <w:rFonts w:cs="Arial"/>
                <w:color w:val="FFFFFF"/>
                <w:sz w:val="20"/>
                <w:szCs w:val="20"/>
                <w:lang w:eastAsia="en-GB"/>
              </w:rPr>
              <w:t>Base (oldest and next oldest working in h'hold)</w:t>
            </w:r>
          </w:p>
        </w:tc>
      </w:tr>
      <w:tr w:rsidR="000A79E8" w:rsidRPr="000A79E8" w:rsidTr="000A79E8">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rPr>
                <w:rFonts w:cs="Arial"/>
                <w:color w:val="000000"/>
                <w:sz w:val="22"/>
                <w:szCs w:val="22"/>
                <w:lang w:eastAsia="en-GB"/>
              </w:rPr>
            </w:pPr>
            <w:r w:rsidRPr="000A79E8">
              <w:rPr>
                <w:rFonts w:cs="Arial"/>
                <w:color w:val="000000"/>
                <w:sz w:val="22"/>
                <w:szCs w:val="22"/>
                <w:lang w:eastAsia="en-GB"/>
              </w:rPr>
              <w:t>North Durham</w:t>
            </w:r>
          </w:p>
        </w:tc>
        <w:tc>
          <w:tcPr>
            <w:tcW w:w="1418"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32.8</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22.7</w:t>
            </w:r>
          </w:p>
        </w:tc>
        <w:tc>
          <w:tcPr>
            <w:tcW w:w="1417"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55.4</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44.6</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47802</w:t>
            </w:r>
          </w:p>
        </w:tc>
      </w:tr>
      <w:tr w:rsidR="000A79E8" w:rsidRPr="000A79E8" w:rsidTr="000A79E8">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rPr>
                <w:rFonts w:cs="Arial"/>
                <w:color w:val="000000"/>
                <w:sz w:val="22"/>
                <w:szCs w:val="22"/>
                <w:lang w:eastAsia="en-GB"/>
              </w:rPr>
            </w:pPr>
            <w:r w:rsidRPr="000A79E8">
              <w:rPr>
                <w:rFonts w:cs="Arial"/>
                <w:color w:val="000000"/>
                <w:sz w:val="22"/>
                <w:szCs w:val="22"/>
                <w:lang w:eastAsia="en-GB"/>
              </w:rPr>
              <w:t>Central Durham</w:t>
            </w:r>
          </w:p>
        </w:tc>
        <w:tc>
          <w:tcPr>
            <w:tcW w:w="1418"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58.0</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13.2</w:t>
            </w:r>
          </w:p>
        </w:tc>
        <w:tc>
          <w:tcPr>
            <w:tcW w:w="1417"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71.3</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28.7</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36067</w:t>
            </w:r>
          </w:p>
        </w:tc>
      </w:tr>
      <w:tr w:rsidR="000A79E8" w:rsidRPr="000A79E8" w:rsidTr="000A79E8">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rPr>
                <w:rFonts w:cs="Arial"/>
                <w:color w:val="000000"/>
                <w:sz w:val="22"/>
                <w:szCs w:val="22"/>
                <w:lang w:eastAsia="en-GB"/>
              </w:rPr>
            </w:pPr>
            <w:r w:rsidRPr="000A79E8">
              <w:rPr>
                <w:rFonts w:cs="Arial"/>
                <w:color w:val="000000"/>
                <w:sz w:val="22"/>
                <w:szCs w:val="22"/>
                <w:lang w:eastAsia="en-GB"/>
              </w:rPr>
              <w:t>East Durham</w:t>
            </w:r>
          </w:p>
        </w:tc>
        <w:tc>
          <w:tcPr>
            <w:tcW w:w="1418"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44.9</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14.2</w:t>
            </w:r>
          </w:p>
        </w:tc>
        <w:tc>
          <w:tcPr>
            <w:tcW w:w="1417"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59.1</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40.9</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30166</w:t>
            </w:r>
          </w:p>
        </w:tc>
      </w:tr>
      <w:tr w:rsidR="000A79E8" w:rsidRPr="000A79E8" w:rsidTr="000A79E8">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rPr>
                <w:rFonts w:cs="Arial"/>
                <w:color w:val="000000"/>
                <w:sz w:val="22"/>
                <w:szCs w:val="22"/>
                <w:lang w:eastAsia="en-GB"/>
              </w:rPr>
            </w:pPr>
            <w:r w:rsidRPr="000A79E8">
              <w:rPr>
                <w:rFonts w:cs="Arial"/>
                <w:color w:val="000000"/>
                <w:sz w:val="22"/>
                <w:szCs w:val="22"/>
                <w:lang w:eastAsia="en-GB"/>
              </w:rPr>
              <w:t>The Dales</w:t>
            </w:r>
          </w:p>
        </w:tc>
        <w:tc>
          <w:tcPr>
            <w:tcW w:w="1418"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52.8</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22.2</w:t>
            </w:r>
          </w:p>
        </w:tc>
        <w:tc>
          <w:tcPr>
            <w:tcW w:w="1417"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75.0</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25.0</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12842</w:t>
            </w:r>
          </w:p>
        </w:tc>
      </w:tr>
      <w:tr w:rsidR="000A79E8" w:rsidRPr="000A79E8" w:rsidTr="000A79E8">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rPr>
                <w:rFonts w:cs="Arial"/>
                <w:color w:val="000000"/>
                <w:sz w:val="22"/>
                <w:szCs w:val="22"/>
                <w:lang w:eastAsia="en-GB"/>
              </w:rPr>
            </w:pPr>
            <w:r w:rsidRPr="000A79E8">
              <w:rPr>
                <w:rFonts w:cs="Arial"/>
                <w:color w:val="000000"/>
                <w:sz w:val="22"/>
                <w:szCs w:val="22"/>
                <w:lang w:eastAsia="en-GB"/>
              </w:rPr>
              <w:t>South Durham</w:t>
            </w:r>
          </w:p>
        </w:tc>
        <w:tc>
          <w:tcPr>
            <w:tcW w:w="1418"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41.8</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29.7</w:t>
            </w:r>
          </w:p>
        </w:tc>
        <w:tc>
          <w:tcPr>
            <w:tcW w:w="1417"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71.5</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28.5</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49805</w:t>
            </w:r>
          </w:p>
        </w:tc>
      </w:tr>
      <w:tr w:rsidR="000A79E8" w:rsidRPr="000A79E8" w:rsidTr="000A79E8">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rPr>
                <w:rFonts w:cs="Arial"/>
                <w:b/>
                <w:bCs/>
                <w:color w:val="000000"/>
                <w:sz w:val="22"/>
                <w:szCs w:val="22"/>
                <w:lang w:eastAsia="en-GB"/>
              </w:rPr>
            </w:pPr>
            <w:r w:rsidRPr="000A79E8">
              <w:rPr>
                <w:rFonts w:cs="Arial"/>
                <w:b/>
                <w:bCs/>
                <w:color w:val="000000"/>
                <w:sz w:val="22"/>
                <w:szCs w:val="22"/>
                <w:lang w:eastAsia="en-GB"/>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p>
        </w:tc>
        <w:tc>
          <w:tcPr>
            <w:tcW w:w="1417"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65.2</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34.8</w:t>
            </w:r>
          </w:p>
        </w:tc>
        <w:tc>
          <w:tcPr>
            <w:tcW w:w="1276" w:type="dxa"/>
            <w:tcBorders>
              <w:top w:val="nil"/>
              <w:left w:val="nil"/>
              <w:bottom w:val="single" w:sz="4" w:space="0" w:color="auto"/>
              <w:right w:val="single" w:sz="4" w:space="0" w:color="auto"/>
            </w:tcBorders>
            <w:shd w:val="clear" w:color="auto" w:fill="auto"/>
            <w:noWrap/>
            <w:vAlign w:val="bottom"/>
            <w:hideMark/>
          </w:tcPr>
          <w:p w:rsidR="000A79E8" w:rsidRPr="000A79E8" w:rsidRDefault="000A79E8" w:rsidP="000A79E8">
            <w:pPr>
              <w:spacing w:before="0" w:after="0"/>
              <w:jc w:val="center"/>
              <w:rPr>
                <w:rFonts w:cs="Arial"/>
                <w:color w:val="000000"/>
                <w:sz w:val="22"/>
                <w:szCs w:val="22"/>
                <w:lang w:eastAsia="en-GB"/>
              </w:rPr>
            </w:pPr>
            <w:r w:rsidRPr="000A79E8">
              <w:rPr>
                <w:rFonts w:cs="Arial"/>
                <w:color w:val="000000"/>
                <w:sz w:val="22"/>
                <w:szCs w:val="22"/>
                <w:lang w:eastAsia="en-GB"/>
              </w:rPr>
              <w:t>176683</w:t>
            </w:r>
          </w:p>
        </w:tc>
      </w:tr>
    </w:tbl>
    <w:p w:rsidR="00196C6C" w:rsidRDefault="00516652" w:rsidP="000A79E8">
      <w:pPr>
        <w:pStyle w:val="Maintext"/>
        <w:numPr>
          <w:ilvl w:val="0"/>
          <w:numId w:val="0"/>
        </w:numPr>
        <w:ind w:firstLine="709"/>
      </w:pPr>
      <w:r>
        <w:rPr>
          <w:sz w:val="20"/>
          <w:szCs w:val="20"/>
        </w:rPr>
        <w:t>Source: 2012 Household S</w:t>
      </w:r>
      <w:r w:rsidR="00196C6C">
        <w:rPr>
          <w:sz w:val="20"/>
          <w:szCs w:val="20"/>
        </w:rPr>
        <w:t>urvey</w:t>
      </w:r>
      <w:r>
        <w:rPr>
          <w:sz w:val="20"/>
          <w:szCs w:val="20"/>
        </w:rPr>
        <w:t>, rebased to 2011 Census</w:t>
      </w:r>
    </w:p>
    <w:p w:rsidR="00196C6C" w:rsidRDefault="00196C6C" w:rsidP="00CB2740">
      <w:pPr>
        <w:pStyle w:val="Maintext"/>
        <w:numPr>
          <w:ilvl w:val="0"/>
          <w:numId w:val="0"/>
        </w:numPr>
      </w:pPr>
    </w:p>
    <w:p w:rsidR="00967514" w:rsidRDefault="003F4D3B" w:rsidP="00967514">
      <w:pPr>
        <w:pStyle w:val="Heading2"/>
        <w:ind w:left="0"/>
      </w:pPr>
      <w:r>
        <w:tab/>
      </w:r>
      <w:bookmarkStart w:id="85" w:name="_Toc333507756"/>
      <w:r w:rsidR="00967514">
        <w:t>Concluding comments</w:t>
      </w:r>
      <w:bookmarkEnd w:id="85"/>
      <w:r w:rsidR="00967514">
        <w:t xml:space="preserve"> </w:t>
      </w:r>
    </w:p>
    <w:p w:rsidR="00967514" w:rsidRDefault="00967514" w:rsidP="00967514">
      <w:pPr>
        <w:pStyle w:val="Maintext"/>
      </w:pPr>
      <w:r>
        <w:t xml:space="preserve">The purpose of this chapter has been to consider the general housing market context of County Durham </w:t>
      </w:r>
      <w:r>
        <w:rPr>
          <w:rFonts w:cs="Arial"/>
          <w:iCs/>
        </w:rPr>
        <w:t xml:space="preserve">and its </w:t>
      </w:r>
      <w:r>
        <w:t xml:space="preserve">inter-relationships with other areas.  By reviewing house prices, migration and travel to work patterns, a picture of the market dynamics emerges.  </w:t>
      </w:r>
    </w:p>
    <w:p w:rsidR="00967514" w:rsidRPr="00155C1E" w:rsidRDefault="00967514" w:rsidP="00967514">
      <w:pPr>
        <w:pStyle w:val="Maintext"/>
      </w:pPr>
      <w:r>
        <w:t xml:space="preserve">The Department of Communities and Local Government (CLG) suggests that a housing market is self-contained if upwards of 70% of moves (migration and travel to work) take place within a defined area. An analysis of migration data </w:t>
      </w:r>
      <w:r w:rsidRPr="00155C1E">
        <w:t xml:space="preserve">indicates that </w:t>
      </w:r>
      <w:r w:rsidR="00155C1E" w:rsidRPr="00155C1E">
        <w:t>77.5</w:t>
      </w:r>
      <w:r w:rsidRPr="00155C1E">
        <w:t xml:space="preserve">% of households moving originated within County Durham, suggesting that the County is a self-contained </w:t>
      </w:r>
      <w:r w:rsidR="005D7D0B" w:rsidRPr="00155C1E">
        <w:t>housing market</w:t>
      </w:r>
      <w:r w:rsidR="00B440F0" w:rsidRPr="00155C1E">
        <w:t xml:space="preserve"> area</w:t>
      </w:r>
      <w:r w:rsidRPr="00155C1E">
        <w:t xml:space="preserve">. That said, there are areas which exhibit strong migration interactions with other localities (for instance </w:t>
      </w:r>
      <w:r w:rsidR="00196C6C" w:rsidRPr="00155C1E">
        <w:t>North and East Durham with Tyne and Wear and South Durham with Tees Valley)</w:t>
      </w:r>
      <w:r w:rsidRPr="00155C1E">
        <w:t xml:space="preserve">. On balance, County Durham can be described as a self contained </w:t>
      </w:r>
      <w:r w:rsidR="005D7D0B" w:rsidRPr="00155C1E">
        <w:t>d</w:t>
      </w:r>
      <w:r w:rsidR="00B440F0" w:rsidRPr="00155C1E">
        <w:t>elivery area</w:t>
      </w:r>
      <w:r w:rsidRPr="00155C1E">
        <w:t xml:space="preserve"> in terms of migration, with some areas exhibiting strong </w:t>
      </w:r>
      <w:r w:rsidR="00EB0375" w:rsidRPr="00155C1E">
        <w:t>interactions with other areas.</w:t>
      </w:r>
    </w:p>
    <w:p w:rsidR="00967514" w:rsidRPr="00155C1E" w:rsidRDefault="00967514" w:rsidP="00967514">
      <w:pPr>
        <w:pStyle w:val="Maintext"/>
      </w:pPr>
      <w:r w:rsidRPr="00155C1E">
        <w:t>In terms of travel to work, County Durham is part of a broader functional market which extends into Tyne and Wear and Tees Valley.</w:t>
      </w:r>
    </w:p>
    <w:p w:rsidR="00034CAB" w:rsidRPr="00155C1E" w:rsidRDefault="00034CAB" w:rsidP="00967514">
      <w:pPr>
        <w:pStyle w:val="Maintext"/>
      </w:pPr>
      <w:r w:rsidRPr="00155C1E">
        <w:t xml:space="preserve">Given the geographical size of County Durham, for housing delivery and policy making areas, the County has been divided into five </w:t>
      </w:r>
      <w:r w:rsidR="00EB0375" w:rsidRPr="00155C1E">
        <w:t>sub-</w:t>
      </w:r>
      <w:r w:rsidR="0083534C" w:rsidRPr="00155C1E">
        <w:t>area</w:t>
      </w:r>
      <w:r w:rsidRPr="00155C1E">
        <w:t xml:space="preserve">s. These </w:t>
      </w:r>
      <w:r w:rsidR="0083534C" w:rsidRPr="00155C1E">
        <w:t>survey area</w:t>
      </w:r>
      <w:r w:rsidRPr="00155C1E">
        <w:t xml:space="preserve">s have distinctive characteristics which are explored in greater detail in Appendix B.  </w:t>
      </w:r>
    </w:p>
    <w:p w:rsidR="00967514" w:rsidRDefault="00967514" w:rsidP="00CB2740">
      <w:pPr>
        <w:pStyle w:val="Maintext"/>
        <w:numPr>
          <w:ilvl w:val="0"/>
          <w:numId w:val="0"/>
        </w:numPr>
      </w:pPr>
    </w:p>
    <w:p w:rsidR="005966E0" w:rsidRDefault="005966E0" w:rsidP="005966E0">
      <w:pPr>
        <w:ind w:left="709"/>
        <w:rPr>
          <w:b/>
        </w:rPr>
      </w:pPr>
    </w:p>
    <w:p w:rsidR="002673BA" w:rsidRDefault="002673BA" w:rsidP="005966E0">
      <w:pPr>
        <w:ind w:left="709"/>
        <w:rPr>
          <w:b/>
        </w:rPr>
        <w:sectPr w:rsidR="002673BA" w:rsidSect="009445F7">
          <w:headerReference w:type="default" r:id="rId18"/>
          <w:footerReference w:type="default" r:id="rId19"/>
          <w:pgSz w:w="11907" w:h="16840" w:code="9"/>
          <w:pgMar w:top="1304" w:right="1304" w:bottom="1559" w:left="1304" w:header="720" w:footer="567" w:gutter="0"/>
          <w:cols w:space="708"/>
          <w:noEndnote/>
          <w:docGrid w:linePitch="261"/>
        </w:sectPr>
      </w:pPr>
    </w:p>
    <w:p w:rsidR="003A6F13" w:rsidRDefault="003A6F13" w:rsidP="00967514">
      <w:pPr>
        <w:pStyle w:val="Heading1"/>
      </w:pPr>
      <w:bookmarkStart w:id="86" w:name="_Toc225941535"/>
      <w:bookmarkStart w:id="87" w:name="_Toc333507757"/>
      <w:r>
        <w:t>Strategic Housing Market Assessment Core Outputs</w:t>
      </w:r>
      <w:bookmarkEnd w:id="86"/>
      <w:bookmarkEnd w:id="87"/>
    </w:p>
    <w:p w:rsidR="003A6F13" w:rsidRDefault="003A6F13">
      <w:pPr>
        <w:rPr>
          <w:rFonts w:cs="Arial"/>
          <w:b/>
          <w:bCs/>
          <w:color w:val="FFFFFF"/>
          <w:sz w:val="20"/>
          <w:szCs w:val="20"/>
          <w:lang w:eastAsia="en-GB"/>
        </w:rPr>
      </w:pPr>
    </w:p>
    <w:p w:rsidR="003A6F13" w:rsidRDefault="003A6F13">
      <w:pPr>
        <w:pStyle w:val="Heading2"/>
      </w:pPr>
      <w:bookmarkStart w:id="88" w:name="_Toc225941536"/>
      <w:bookmarkStart w:id="89" w:name="_Toc333507758"/>
      <w:r>
        <w:t>Introduction</w:t>
      </w:r>
      <w:bookmarkEnd w:id="88"/>
      <w:bookmarkEnd w:id="89"/>
    </w:p>
    <w:p w:rsidR="003A6F13" w:rsidRDefault="003A6F13"/>
    <w:p w:rsidR="003A6F13" w:rsidRDefault="003A6F13">
      <w:pPr>
        <w:pStyle w:val="Maintext"/>
      </w:pPr>
      <w:r>
        <w:t xml:space="preserve">The purpose of this chapter is to present the core outputs required by the SHMA guidance relating to </w:t>
      </w:r>
      <w:r w:rsidR="000B0F10">
        <w:t>County Durham</w:t>
      </w:r>
      <w:r w:rsidR="00F255BD">
        <w:t>.</w:t>
      </w:r>
      <w:r>
        <w:t xml:space="preserve"> The chapter provides a summary of more detailed work and evidence, which is presented at Technical Appendices A-F. </w:t>
      </w:r>
    </w:p>
    <w:p w:rsidR="003A6F13" w:rsidRDefault="003A6F13"/>
    <w:p w:rsidR="003A6F13" w:rsidRDefault="003A6F13">
      <w:pPr>
        <w:pStyle w:val="Heading2"/>
        <w:ind w:left="2880" w:hanging="2171"/>
      </w:pPr>
      <w:bookmarkStart w:id="90" w:name="_Toc214433422"/>
      <w:bookmarkStart w:id="91" w:name="_Toc225941537"/>
      <w:bookmarkStart w:id="92" w:name="_Toc333507759"/>
      <w:r>
        <w:t xml:space="preserve">Core Output 1: </w:t>
      </w:r>
      <w:r>
        <w:tab/>
        <w:t>Estimates of current dwellings in terms of size, type, condition, tenure</w:t>
      </w:r>
      <w:bookmarkEnd w:id="90"/>
      <w:bookmarkEnd w:id="91"/>
      <w:bookmarkEnd w:id="92"/>
    </w:p>
    <w:p w:rsidR="003A6F13" w:rsidRDefault="003A6F13"/>
    <w:p w:rsidR="004021B9" w:rsidRDefault="003A6F13" w:rsidP="004338FC">
      <w:pPr>
        <w:pStyle w:val="Maintext"/>
      </w:pPr>
      <w:r>
        <w:t xml:space="preserve">This study assumes a total of </w:t>
      </w:r>
      <w:r w:rsidR="00EB0375">
        <w:t>236,082</w:t>
      </w:r>
      <w:r>
        <w:t xml:space="preserve"> dwellings in </w:t>
      </w:r>
      <w:r w:rsidR="00F35249">
        <w:t xml:space="preserve">County Durham </w:t>
      </w:r>
      <w:r>
        <w:t xml:space="preserve">of which </w:t>
      </w:r>
      <w:r w:rsidR="00861061">
        <w:t>2,169 are second homes, 10,110 vacant and 223,</w:t>
      </w:r>
      <w:r w:rsidR="00EB0375">
        <w:t>803</w:t>
      </w:r>
      <w:r w:rsidR="00F35249">
        <w:t xml:space="preserve"> are occupied (of whi</w:t>
      </w:r>
      <w:r w:rsidR="00861061">
        <w:t>ch 1,504 are student households</w:t>
      </w:r>
      <w:r w:rsidR="00EB0375">
        <w:t>)</w:t>
      </w:r>
      <w:r w:rsidR="00861061">
        <w:t xml:space="preserve"> </w:t>
      </w:r>
      <w:r w:rsidR="00FB6F89">
        <w:t>(Table 4.1)</w:t>
      </w:r>
      <w:r w:rsidR="004338FC">
        <w:t xml:space="preserve">. </w:t>
      </w:r>
      <w:r w:rsidR="00F80E00">
        <w:t xml:space="preserve"> The overall vacancy </w:t>
      </w:r>
      <w:r w:rsidR="00A443D1">
        <w:t xml:space="preserve">rate is </w:t>
      </w:r>
      <w:r w:rsidR="004338FC">
        <w:t>4.</w:t>
      </w:r>
      <w:r w:rsidR="00972981">
        <w:t>5</w:t>
      </w:r>
      <w:r>
        <w:t xml:space="preserve">%.  This varies within </w:t>
      </w:r>
      <w:r w:rsidR="00F35249">
        <w:t xml:space="preserve">the County </w:t>
      </w:r>
      <w:r w:rsidR="003F3246">
        <w:t xml:space="preserve">and is highest in </w:t>
      </w:r>
      <w:r w:rsidR="00012518">
        <w:t xml:space="preserve">the </w:t>
      </w:r>
      <w:r w:rsidR="004338FC">
        <w:t>East</w:t>
      </w:r>
      <w:r w:rsidR="00012518">
        <w:t xml:space="preserve"> Durham </w:t>
      </w:r>
      <w:r w:rsidR="005D7D0B">
        <w:t>d</w:t>
      </w:r>
      <w:r w:rsidR="00B440F0">
        <w:t>elivery area</w:t>
      </w:r>
      <w:r w:rsidR="004338FC">
        <w:t xml:space="preserve"> (4.8</w:t>
      </w:r>
      <w:r w:rsidR="00012518">
        <w:t>%) a</w:t>
      </w:r>
      <w:r w:rsidR="0029556F">
        <w:t xml:space="preserve">nd </w:t>
      </w:r>
      <w:r w:rsidR="004338FC">
        <w:t>Central Durham (4.4</w:t>
      </w:r>
      <w:r w:rsidR="0029556F">
        <w:t xml:space="preserve">%) and </w:t>
      </w:r>
      <w:r w:rsidR="004338FC">
        <w:t>The Dales</w:t>
      </w:r>
      <w:r w:rsidR="00861061">
        <w:t xml:space="preserve"> (</w:t>
      </w:r>
      <w:r w:rsidR="004338FC">
        <w:t>4.4</w:t>
      </w:r>
      <w:r w:rsidR="00861061">
        <w:t>%). O</w:t>
      </w:r>
      <w:r w:rsidR="00655E7F">
        <w:t>verall</w:t>
      </w:r>
      <w:r w:rsidR="00861061">
        <w:t>,</w:t>
      </w:r>
      <w:r w:rsidR="00655E7F">
        <w:t xml:space="preserve"> vacancy rates are higher than for the North East region (3.6%) and England (2.8%)</w:t>
      </w:r>
      <w:r w:rsidR="00861061">
        <w:rPr>
          <w:rStyle w:val="FootnoteReference"/>
        </w:rPr>
        <w:footnoteReference w:id="13"/>
      </w:r>
      <w:r w:rsidR="00655E7F">
        <w:t>.</w:t>
      </w:r>
    </w:p>
    <w:p w:rsidR="004021B9" w:rsidRDefault="004021B9" w:rsidP="004021B9">
      <w:pPr>
        <w:pStyle w:val="Maintext"/>
        <w:numPr>
          <w:ilvl w:val="0"/>
          <w:numId w:val="0"/>
        </w:numPr>
        <w:ind w:left="709"/>
      </w:pPr>
    </w:p>
    <w:p w:rsidR="003F3246" w:rsidRDefault="00FB6F89" w:rsidP="004021B9">
      <w:pPr>
        <w:pStyle w:val="Maintext"/>
        <w:numPr>
          <w:ilvl w:val="0"/>
          <w:numId w:val="0"/>
        </w:numPr>
        <w:ind w:left="709"/>
      </w:pPr>
      <w:r>
        <w:rPr>
          <w:b/>
        </w:rPr>
        <w:t>Table 4</w:t>
      </w:r>
      <w:r w:rsidR="003F3246" w:rsidRPr="003F3246">
        <w:rPr>
          <w:b/>
        </w:rPr>
        <w:t>.1</w:t>
      </w:r>
      <w:r w:rsidR="003F3246">
        <w:tab/>
        <w:t xml:space="preserve">Dwelling stock and vacancy by </w:t>
      </w:r>
      <w:r w:rsidR="004338FC">
        <w:t>delivery area</w:t>
      </w:r>
    </w:p>
    <w:tbl>
      <w:tblPr>
        <w:tblW w:w="9639" w:type="dxa"/>
        <w:tblInd w:w="817" w:type="dxa"/>
        <w:tblLayout w:type="fixed"/>
        <w:tblLook w:val="04A0" w:firstRow="1" w:lastRow="0" w:firstColumn="1" w:lastColumn="0" w:noHBand="0" w:noVBand="1"/>
      </w:tblPr>
      <w:tblGrid>
        <w:gridCol w:w="1134"/>
        <w:gridCol w:w="1276"/>
        <w:gridCol w:w="992"/>
        <w:gridCol w:w="992"/>
        <w:gridCol w:w="993"/>
        <w:gridCol w:w="1134"/>
        <w:gridCol w:w="992"/>
        <w:gridCol w:w="1134"/>
        <w:gridCol w:w="992"/>
      </w:tblGrid>
      <w:tr w:rsidR="00EB0375" w:rsidRPr="00EB0375" w:rsidTr="008F7F75">
        <w:trPr>
          <w:trHeight w:val="600"/>
        </w:trPr>
        <w:tc>
          <w:tcPr>
            <w:tcW w:w="1134"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EB0375" w:rsidRPr="00EB0375" w:rsidRDefault="00EB0375" w:rsidP="00EB0375">
            <w:pPr>
              <w:spacing w:before="0" w:after="0"/>
              <w:rPr>
                <w:rFonts w:cs="Arial"/>
                <w:b/>
                <w:bCs/>
                <w:color w:val="FFFFFF"/>
                <w:sz w:val="20"/>
                <w:szCs w:val="20"/>
                <w:lang w:eastAsia="en-GB"/>
              </w:rPr>
            </w:pPr>
            <w:r w:rsidRPr="00EB0375">
              <w:rPr>
                <w:rFonts w:cs="Arial"/>
                <w:b/>
                <w:bCs/>
                <w:color w:val="FFFFFF"/>
                <w:sz w:val="20"/>
                <w:szCs w:val="20"/>
                <w:lang w:eastAsia="en-GB"/>
              </w:rPr>
              <w:t>Delivery area</w:t>
            </w:r>
          </w:p>
        </w:tc>
        <w:tc>
          <w:tcPr>
            <w:tcW w:w="1276" w:type="dxa"/>
            <w:tcBorders>
              <w:top w:val="single" w:sz="4" w:space="0" w:color="auto"/>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Total Dwellings</w:t>
            </w:r>
          </w:p>
        </w:tc>
        <w:tc>
          <w:tcPr>
            <w:tcW w:w="1984" w:type="dxa"/>
            <w:gridSpan w:val="2"/>
            <w:tcBorders>
              <w:top w:val="single" w:sz="4" w:space="0" w:color="auto"/>
              <w:left w:val="nil"/>
              <w:bottom w:val="single" w:sz="4" w:space="0" w:color="auto"/>
              <w:right w:val="single" w:sz="4" w:space="0" w:color="000000"/>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Occupied Dwellings</w:t>
            </w:r>
          </w:p>
        </w:tc>
        <w:tc>
          <w:tcPr>
            <w:tcW w:w="3119" w:type="dxa"/>
            <w:gridSpan w:val="3"/>
            <w:tcBorders>
              <w:top w:val="single" w:sz="4" w:space="0" w:color="auto"/>
              <w:left w:val="nil"/>
              <w:bottom w:val="single" w:sz="4" w:space="0" w:color="auto"/>
              <w:right w:val="single" w:sz="4" w:space="0" w:color="000000"/>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Unoccupied Dwellings</w:t>
            </w:r>
          </w:p>
        </w:tc>
        <w:tc>
          <w:tcPr>
            <w:tcW w:w="1134" w:type="dxa"/>
            <w:tcBorders>
              <w:top w:val="single" w:sz="4" w:space="0" w:color="auto"/>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 Second</w:t>
            </w:r>
          </w:p>
        </w:tc>
        <w:tc>
          <w:tcPr>
            <w:tcW w:w="992" w:type="dxa"/>
            <w:tcBorders>
              <w:top w:val="single" w:sz="4" w:space="0" w:color="auto"/>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 Empty</w:t>
            </w:r>
          </w:p>
        </w:tc>
      </w:tr>
      <w:tr w:rsidR="008F7F75" w:rsidRPr="00EB0375" w:rsidTr="004338FC">
        <w:trPr>
          <w:trHeight w:val="600"/>
        </w:trPr>
        <w:tc>
          <w:tcPr>
            <w:tcW w:w="1134" w:type="dxa"/>
            <w:tcBorders>
              <w:top w:val="nil"/>
              <w:left w:val="single" w:sz="4" w:space="0" w:color="auto"/>
              <w:bottom w:val="single" w:sz="4" w:space="0" w:color="auto"/>
              <w:right w:val="single" w:sz="4" w:space="0" w:color="auto"/>
            </w:tcBorders>
            <w:shd w:val="clear" w:color="000000" w:fill="008080"/>
            <w:vAlign w:val="bottom"/>
            <w:hideMark/>
          </w:tcPr>
          <w:p w:rsidR="00EB0375" w:rsidRPr="00EB0375" w:rsidRDefault="00EB0375" w:rsidP="00EB0375">
            <w:pPr>
              <w:spacing w:before="0" w:after="0"/>
              <w:rPr>
                <w:rFonts w:cs="Arial"/>
                <w:b/>
                <w:bCs/>
                <w:color w:val="FFFFFF"/>
                <w:sz w:val="20"/>
                <w:szCs w:val="20"/>
                <w:lang w:eastAsia="en-GB"/>
              </w:rPr>
            </w:pPr>
            <w:r w:rsidRPr="00EB0375">
              <w:rPr>
                <w:rFonts w:cs="Arial"/>
                <w:b/>
                <w:bCs/>
                <w:color w:val="FFFFFF"/>
                <w:sz w:val="20"/>
                <w:szCs w:val="20"/>
                <w:lang w:eastAsia="en-GB"/>
              </w:rPr>
              <w:t> </w:t>
            </w:r>
          </w:p>
        </w:tc>
        <w:tc>
          <w:tcPr>
            <w:tcW w:w="1276"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 </w:t>
            </w:r>
          </w:p>
        </w:tc>
        <w:tc>
          <w:tcPr>
            <w:tcW w:w="992"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Total</w:t>
            </w:r>
          </w:p>
        </w:tc>
        <w:tc>
          <w:tcPr>
            <w:tcW w:w="992"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Of Which: Student lets</w:t>
            </w:r>
          </w:p>
        </w:tc>
        <w:tc>
          <w:tcPr>
            <w:tcW w:w="993"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Total</w:t>
            </w:r>
          </w:p>
        </w:tc>
        <w:tc>
          <w:tcPr>
            <w:tcW w:w="1134"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Second Homes</w:t>
            </w:r>
          </w:p>
        </w:tc>
        <w:tc>
          <w:tcPr>
            <w:tcW w:w="992"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Empty Homes</w:t>
            </w:r>
          </w:p>
        </w:tc>
        <w:tc>
          <w:tcPr>
            <w:tcW w:w="1134"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 </w:t>
            </w:r>
          </w:p>
        </w:tc>
        <w:tc>
          <w:tcPr>
            <w:tcW w:w="992" w:type="dxa"/>
            <w:tcBorders>
              <w:top w:val="nil"/>
              <w:left w:val="nil"/>
              <w:bottom w:val="single" w:sz="4" w:space="0" w:color="auto"/>
              <w:right w:val="single" w:sz="4" w:space="0" w:color="auto"/>
            </w:tcBorders>
            <w:shd w:val="clear" w:color="000000" w:fill="008080"/>
            <w:vAlign w:val="bottom"/>
            <w:hideMark/>
          </w:tcPr>
          <w:p w:rsidR="00EB0375" w:rsidRPr="00EB0375" w:rsidRDefault="00EB0375" w:rsidP="00EB0375">
            <w:pPr>
              <w:spacing w:before="0" w:after="0"/>
              <w:jc w:val="center"/>
              <w:rPr>
                <w:rFonts w:cs="Arial"/>
                <w:b/>
                <w:bCs/>
                <w:color w:val="FFFFFF"/>
                <w:sz w:val="20"/>
                <w:szCs w:val="20"/>
                <w:lang w:eastAsia="en-GB"/>
              </w:rPr>
            </w:pPr>
            <w:r w:rsidRPr="00EB0375">
              <w:rPr>
                <w:rFonts w:cs="Arial"/>
                <w:b/>
                <w:bCs/>
                <w:color w:val="FFFFFF"/>
                <w:sz w:val="20"/>
                <w:szCs w:val="20"/>
                <w:lang w:eastAsia="en-GB"/>
              </w:rPr>
              <w:t> </w:t>
            </w:r>
          </w:p>
        </w:tc>
      </w:tr>
      <w:tr w:rsidR="008F7F75" w:rsidRPr="00EB0375" w:rsidTr="004338FC">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rPr>
                <w:rFonts w:cs="Arial"/>
                <w:sz w:val="20"/>
                <w:szCs w:val="20"/>
                <w:lang w:eastAsia="en-GB"/>
              </w:rPr>
            </w:pPr>
            <w:r w:rsidRPr="00EB0375">
              <w:rPr>
                <w:rFonts w:cs="Arial"/>
                <w:sz w:val="20"/>
                <w:szCs w:val="20"/>
                <w:lang w:eastAsia="en-GB"/>
              </w:rPr>
              <w:t>Central Durham</w:t>
            </w:r>
          </w:p>
        </w:tc>
        <w:tc>
          <w:tcPr>
            <w:tcW w:w="1276"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45596</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42905</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631</w:t>
            </w:r>
          </w:p>
        </w:tc>
        <w:tc>
          <w:tcPr>
            <w:tcW w:w="993"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2691</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663</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2028</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1.5</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4.4</w:t>
            </w:r>
          </w:p>
        </w:tc>
      </w:tr>
      <w:tr w:rsidR="008F7F75" w:rsidRPr="00EB0375" w:rsidTr="004338FC">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rPr>
                <w:rFonts w:cs="Arial"/>
                <w:sz w:val="20"/>
                <w:szCs w:val="20"/>
                <w:lang w:eastAsia="en-GB"/>
              </w:rPr>
            </w:pPr>
            <w:r w:rsidRPr="00EB0375">
              <w:rPr>
                <w:rFonts w:cs="Arial"/>
                <w:sz w:val="20"/>
                <w:szCs w:val="20"/>
                <w:lang w:eastAsia="en-GB"/>
              </w:rPr>
              <w:t>East Durham</w:t>
            </w:r>
          </w:p>
        </w:tc>
        <w:tc>
          <w:tcPr>
            <w:tcW w:w="1276"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43861</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41416</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325</w:t>
            </w:r>
          </w:p>
        </w:tc>
        <w:tc>
          <w:tcPr>
            <w:tcW w:w="993"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2445</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327</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2118</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0.7</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4.8</w:t>
            </w:r>
          </w:p>
        </w:tc>
      </w:tr>
      <w:tr w:rsidR="008F7F75" w:rsidRPr="00EB0375" w:rsidTr="004338FC">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rPr>
                <w:rFonts w:cs="Arial"/>
                <w:sz w:val="20"/>
                <w:szCs w:val="20"/>
                <w:lang w:eastAsia="en-GB"/>
              </w:rPr>
            </w:pPr>
            <w:r w:rsidRPr="00EB0375">
              <w:rPr>
                <w:rFonts w:cs="Arial"/>
                <w:sz w:val="20"/>
                <w:szCs w:val="20"/>
                <w:lang w:eastAsia="en-GB"/>
              </w:rPr>
              <w:t>North Durham</w:t>
            </w:r>
          </w:p>
        </w:tc>
        <w:tc>
          <w:tcPr>
            <w:tcW w:w="1276"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62945</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60151</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321</w:t>
            </w:r>
          </w:p>
        </w:tc>
        <w:tc>
          <w:tcPr>
            <w:tcW w:w="993"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2794</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440</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2354</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0.7</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3.7</w:t>
            </w:r>
          </w:p>
        </w:tc>
      </w:tr>
      <w:tr w:rsidR="008F7F75" w:rsidRPr="00EB0375" w:rsidTr="004338FC">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rPr>
                <w:rFonts w:cs="Arial"/>
                <w:sz w:val="20"/>
                <w:szCs w:val="20"/>
                <w:lang w:eastAsia="en-GB"/>
              </w:rPr>
            </w:pPr>
            <w:r w:rsidRPr="00EB0375">
              <w:rPr>
                <w:rFonts w:cs="Arial"/>
                <w:sz w:val="20"/>
                <w:szCs w:val="20"/>
                <w:lang w:eastAsia="en-GB"/>
              </w:rPr>
              <w:t>South Durham</w:t>
            </w:r>
          </w:p>
        </w:tc>
        <w:tc>
          <w:tcPr>
            <w:tcW w:w="1276"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67805</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64520</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191</w:t>
            </w:r>
          </w:p>
        </w:tc>
        <w:tc>
          <w:tcPr>
            <w:tcW w:w="993"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3285</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368</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2917</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0.5</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4.3</w:t>
            </w:r>
          </w:p>
        </w:tc>
      </w:tr>
      <w:tr w:rsidR="008F7F75" w:rsidRPr="00EB0375" w:rsidTr="004338FC">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rPr>
                <w:rFonts w:cs="Arial"/>
                <w:sz w:val="20"/>
                <w:szCs w:val="20"/>
                <w:lang w:eastAsia="en-GB"/>
              </w:rPr>
            </w:pPr>
            <w:r w:rsidRPr="00EB0375">
              <w:rPr>
                <w:rFonts w:cs="Arial"/>
                <w:sz w:val="20"/>
                <w:szCs w:val="20"/>
                <w:lang w:eastAsia="en-GB"/>
              </w:rPr>
              <w:t>The Dales</w:t>
            </w:r>
          </w:p>
        </w:tc>
        <w:tc>
          <w:tcPr>
            <w:tcW w:w="1276"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15875</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14811</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36</w:t>
            </w:r>
          </w:p>
        </w:tc>
        <w:tc>
          <w:tcPr>
            <w:tcW w:w="993"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1064</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371</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693</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2.3</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sz w:val="20"/>
                <w:szCs w:val="20"/>
                <w:lang w:eastAsia="en-GB"/>
              </w:rPr>
            </w:pPr>
            <w:r w:rsidRPr="00EB0375">
              <w:rPr>
                <w:rFonts w:cs="Arial"/>
                <w:sz w:val="20"/>
                <w:szCs w:val="20"/>
                <w:lang w:eastAsia="en-GB"/>
              </w:rPr>
              <w:t>4.4</w:t>
            </w:r>
          </w:p>
        </w:tc>
      </w:tr>
      <w:tr w:rsidR="008F7F75" w:rsidRPr="00EB0375" w:rsidTr="004338FC">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rPr>
                <w:rFonts w:cs="Arial"/>
                <w:b/>
                <w:bCs/>
                <w:sz w:val="20"/>
                <w:szCs w:val="20"/>
                <w:lang w:eastAsia="en-GB"/>
              </w:rPr>
            </w:pPr>
            <w:r w:rsidRPr="00EB0375">
              <w:rPr>
                <w:rFonts w:cs="Arial"/>
                <w:b/>
                <w:bCs/>
                <w:sz w:val="20"/>
                <w:szCs w:val="20"/>
                <w:lang w:eastAsia="en-GB"/>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236082</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223803</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1504</w:t>
            </w:r>
          </w:p>
        </w:tc>
        <w:tc>
          <w:tcPr>
            <w:tcW w:w="993"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12279</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2169</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10110</w:t>
            </w:r>
          </w:p>
        </w:tc>
        <w:tc>
          <w:tcPr>
            <w:tcW w:w="1134"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0.9</w:t>
            </w:r>
          </w:p>
        </w:tc>
        <w:tc>
          <w:tcPr>
            <w:tcW w:w="992" w:type="dxa"/>
            <w:tcBorders>
              <w:top w:val="nil"/>
              <w:left w:val="nil"/>
              <w:bottom w:val="single" w:sz="4" w:space="0" w:color="auto"/>
              <w:right w:val="single" w:sz="4" w:space="0" w:color="auto"/>
            </w:tcBorders>
            <w:shd w:val="clear" w:color="auto" w:fill="auto"/>
            <w:noWrap/>
            <w:vAlign w:val="bottom"/>
            <w:hideMark/>
          </w:tcPr>
          <w:p w:rsidR="00EB0375" w:rsidRPr="00EB0375" w:rsidRDefault="00EB0375" w:rsidP="00EB0375">
            <w:pPr>
              <w:spacing w:before="0" w:after="0"/>
              <w:jc w:val="center"/>
              <w:rPr>
                <w:rFonts w:cs="Arial"/>
                <w:b/>
                <w:bCs/>
                <w:sz w:val="20"/>
                <w:szCs w:val="20"/>
                <w:lang w:eastAsia="en-GB"/>
              </w:rPr>
            </w:pPr>
            <w:r w:rsidRPr="00EB0375">
              <w:rPr>
                <w:rFonts w:cs="Arial"/>
                <w:b/>
                <w:bCs/>
                <w:sz w:val="20"/>
                <w:szCs w:val="20"/>
                <w:lang w:eastAsia="en-GB"/>
              </w:rPr>
              <w:t>4.3</w:t>
            </w:r>
          </w:p>
        </w:tc>
      </w:tr>
    </w:tbl>
    <w:p w:rsidR="00AE4DA1" w:rsidRPr="008F76D8" w:rsidRDefault="008F76D8" w:rsidP="00EB0375">
      <w:pPr>
        <w:pStyle w:val="Maintext"/>
        <w:numPr>
          <w:ilvl w:val="0"/>
          <w:numId w:val="0"/>
        </w:numPr>
        <w:ind w:firstLine="709"/>
        <w:rPr>
          <w:sz w:val="20"/>
          <w:szCs w:val="20"/>
        </w:rPr>
      </w:pPr>
      <w:r w:rsidRPr="008F76D8">
        <w:rPr>
          <w:sz w:val="20"/>
          <w:szCs w:val="20"/>
        </w:rPr>
        <w:t xml:space="preserve">Source: 2011 </w:t>
      </w:r>
      <w:r w:rsidR="00EB0375">
        <w:rPr>
          <w:sz w:val="20"/>
          <w:szCs w:val="20"/>
        </w:rPr>
        <w:t xml:space="preserve">Census; 2011 </w:t>
      </w:r>
      <w:r w:rsidRPr="008F76D8">
        <w:rPr>
          <w:sz w:val="20"/>
          <w:szCs w:val="20"/>
        </w:rPr>
        <w:t>Council Tax</w:t>
      </w:r>
    </w:p>
    <w:p w:rsidR="00194AD4" w:rsidRDefault="00194AD4" w:rsidP="00194AD4">
      <w:pPr>
        <w:ind w:firstLine="709"/>
      </w:pPr>
    </w:p>
    <w:p w:rsidR="003A6F13" w:rsidRPr="00194AD4" w:rsidRDefault="003A6F13" w:rsidP="00194AD4">
      <w:pPr>
        <w:ind w:firstLine="709"/>
      </w:pPr>
      <w:r>
        <w:rPr>
          <w:b/>
        </w:rPr>
        <w:t>Property size and type</w:t>
      </w:r>
    </w:p>
    <w:p w:rsidR="0021263D" w:rsidRDefault="0021263D">
      <w:pPr>
        <w:pStyle w:val="Maintext"/>
      </w:pPr>
      <w:r>
        <w:t>Table 4.2 reviews the profile of all dwelling stock based on Valuation Office</w:t>
      </w:r>
      <w:r w:rsidR="00012518">
        <w:t xml:space="preserve"> Agency data for County Durham which shows that 83.9% of all dwellings have two or three bedrooms and the commonest dwelling type are terraced and semi-detached which together account for 66.3% of dwelling stock.</w:t>
      </w:r>
    </w:p>
    <w:p w:rsidR="0021263D" w:rsidRDefault="0021263D" w:rsidP="0021263D">
      <w:pPr>
        <w:pStyle w:val="Maintext"/>
        <w:numPr>
          <w:ilvl w:val="0"/>
          <w:numId w:val="0"/>
        </w:numPr>
        <w:ind w:left="709"/>
      </w:pPr>
    </w:p>
    <w:p w:rsidR="0021263D" w:rsidRDefault="0021263D" w:rsidP="0021263D">
      <w:pPr>
        <w:ind w:firstLine="709"/>
      </w:pPr>
      <w:r>
        <w:rPr>
          <w:b/>
        </w:rPr>
        <w:t>Table 4.2</w:t>
      </w:r>
      <w:r>
        <w:rPr>
          <w:b/>
        </w:rPr>
        <w:tab/>
      </w:r>
      <w:r>
        <w:t>Property type and size of all dwellings: County Durham</w:t>
      </w:r>
    </w:p>
    <w:tbl>
      <w:tblPr>
        <w:tblW w:w="7335" w:type="dxa"/>
        <w:tblInd w:w="720" w:type="dxa"/>
        <w:tblLook w:val="04A0" w:firstRow="1" w:lastRow="0" w:firstColumn="1" w:lastColumn="0" w:noHBand="0" w:noVBand="1"/>
      </w:tblPr>
      <w:tblGrid>
        <w:gridCol w:w="2260"/>
        <w:gridCol w:w="695"/>
        <w:gridCol w:w="945"/>
        <w:gridCol w:w="820"/>
        <w:gridCol w:w="820"/>
        <w:gridCol w:w="975"/>
        <w:gridCol w:w="820"/>
      </w:tblGrid>
      <w:tr w:rsidR="00142BDA" w:rsidRPr="00142BDA" w:rsidTr="00142BDA">
        <w:trPr>
          <w:trHeight w:val="270"/>
        </w:trPr>
        <w:tc>
          <w:tcPr>
            <w:tcW w:w="2260" w:type="dxa"/>
            <w:tcBorders>
              <w:top w:val="single" w:sz="8" w:space="0" w:color="auto"/>
              <w:left w:val="single" w:sz="8" w:space="0" w:color="auto"/>
              <w:bottom w:val="nil"/>
              <w:right w:val="single" w:sz="8" w:space="0" w:color="auto"/>
            </w:tcBorders>
            <w:shd w:val="clear" w:color="000000" w:fill="008080"/>
            <w:noWrap/>
            <w:vAlign w:val="bottom"/>
            <w:hideMark/>
          </w:tcPr>
          <w:p w:rsidR="00142BDA" w:rsidRPr="00142BDA" w:rsidRDefault="00142BDA" w:rsidP="00142BDA">
            <w:pPr>
              <w:spacing w:before="0" w:after="0"/>
              <w:rPr>
                <w:rFonts w:cs="Arial"/>
                <w:b/>
                <w:bCs/>
                <w:color w:val="FFFFFF"/>
                <w:sz w:val="20"/>
                <w:szCs w:val="20"/>
                <w:lang w:eastAsia="en-GB"/>
              </w:rPr>
            </w:pPr>
            <w:r w:rsidRPr="00142BDA">
              <w:rPr>
                <w:rFonts w:cs="Arial"/>
                <w:b/>
                <w:bCs/>
                <w:color w:val="FFFFFF"/>
                <w:sz w:val="20"/>
                <w:szCs w:val="20"/>
                <w:lang w:eastAsia="en-GB"/>
              </w:rPr>
              <w:t>Property type</w:t>
            </w:r>
          </w:p>
        </w:tc>
        <w:tc>
          <w:tcPr>
            <w:tcW w:w="1640" w:type="dxa"/>
            <w:gridSpan w:val="2"/>
            <w:tcBorders>
              <w:top w:val="single" w:sz="8" w:space="0" w:color="auto"/>
              <w:left w:val="nil"/>
              <w:bottom w:val="single" w:sz="8" w:space="0" w:color="auto"/>
              <w:right w:val="nil"/>
            </w:tcBorders>
            <w:shd w:val="clear" w:color="000000" w:fill="008080"/>
            <w:noWrap/>
            <w:vAlign w:val="bottom"/>
            <w:hideMark/>
          </w:tcPr>
          <w:p w:rsidR="00142BDA" w:rsidRPr="00142BDA" w:rsidRDefault="00142BDA" w:rsidP="00142BDA">
            <w:pPr>
              <w:spacing w:before="0" w:after="0"/>
              <w:rPr>
                <w:rFonts w:cs="Arial"/>
                <w:b/>
                <w:bCs/>
                <w:color w:val="FFFFFF"/>
                <w:sz w:val="20"/>
                <w:szCs w:val="20"/>
                <w:lang w:eastAsia="en-GB"/>
              </w:rPr>
            </w:pPr>
            <w:r w:rsidRPr="00142BDA">
              <w:rPr>
                <w:rFonts w:cs="Arial"/>
                <w:b/>
                <w:bCs/>
                <w:color w:val="FFFFFF"/>
                <w:sz w:val="20"/>
                <w:szCs w:val="20"/>
                <w:lang w:eastAsia="en-GB"/>
              </w:rPr>
              <w:t>No. Bedrooms</w:t>
            </w:r>
          </w:p>
        </w:tc>
        <w:tc>
          <w:tcPr>
            <w:tcW w:w="820" w:type="dxa"/>
            <w:tcBorders>
              <w:top w:val="single" w:sz="8" w:space="0" w:color="auto"/>
              <w:left w:val="nil"/>
              <w:bottom w:val="single" w:sz="8" w:space="0" w:color="auto"/>
              <w:right w:val="nil"/>
            </w:tcBorders>
            <w:shd w:val="clear" w:color="000000" w:fill="008080"/>
            <w:noWrap/>
            <w:vAlign w:val="bottom"/>
            <w:hideMark/>
          </w:tcPr>
          <w:p w:rsidR="00142BDA" w:rsidRPr="00142BDA" w:rsidRDefault="00142BDA" w:rsidP="00142BDA">
            <w:pPr>
              <w:spacing w:before="0" w:after="0"/>
              <w:rPr>
                <w:rFonts w:cs="Arial"/>
                <w:color w:val="FFFFFF"/>
                <w:sz w:val="20"/>
                <w:szCs w:val="20"/>
                <w:lang w:eastAsia="en-GB"/>
              </w:rPr>
            </w:pPr>
            <w:r w:rsidRPr="00142BDA">
              <w:rPr>
                <w:rFonts w:cs="Arial"/>
                <w:color w:val="FFFFFF"/>
                <w:sz w:val="20"/>
                <w:szCs w:val="20"/>
                <w:lang w:eastAsia="en-GB"/>
              </w:rPr>
              <w:t> </w:t>
            </w:r>
          </w:p>
        </w:tc>
        <w:tc>
          <w:tcPr>
            <w:tcW w:w="820" w:type="dxa"/>
            <w:tcBorders>
              <w:top w:val="single" w:sz="8" w:space="0" w:color="auto"/>
              <w:left w:val="nil"/>
              <w:bottom w:val="single" w:sz="8" w:space="0" w:color="auto"/>
              <w:right w:val="nil"/>
            </w:tcBorders>
            <w:shd w:val="clear" w:color="000000" w:fill="008080"/>
            <w:noWrap/>
            <w:vAlign w:val="bottom"/>
            <w:hideMark/>
          </w:tcPr>
          <w:p w:rsidR="00142BDA" w:rsidRPr="00142BDA" w:rsidRDefault="00142BDA" w:rsidP="00142BDA">
            <w:pPr>
              <w:spacing w:before="0" w:after="0"/>
              <w:rPr>
                <w:rFonts w:cs="Arial"/>
                <w:color w:val="FFFFFF"/>
                <w:sz w:val="20"/>
                <w:szCs w:val="20"/>
                <w:lang w:eastAsia="en-GB"/>
              </w:rPr>
            </w:pPr>
            <w:r w:rsidRPr="00142BDA">
              <w:rPr>
                <w:rFonts w:cs="Arial"/>
                <w:color w:val="FFFFFF"/>
                <w:sz w:val="20"/>
                <w:szCs w:val="20"/>
                <w:lang w:eastAsia="en-GB"/>
              </w:rPr>
              <w:t> </w:t>
            </w:r>
          </w:p>
        </w:tc>
        <w:tc>
          <w:tcPr>
            <w:tcW w:w="975" w:type="dxa"/>
            <w:tcBorders>
              <w:top w:val="single" w:sz="8" w:space="0" w:color="auto"/>
              <w:left w:val="nil"/>
              <w:bottom w:val="single" w:sz="8" w:space="0" w:color="auto"/>
              <w:right w:val="nil"/>
            </w:tcBorders>
            <w:shd w:val="clear" w:color="000000" w:fill="008080"/>
            <w:noWrap/>
            <w:vAlign w:val="bottom"/>
            <w:hideMark/>
          </w:tcPr>
          <w:p w:rsidR="00142BDA" w:rsidRPr="00142BDA" w:rsidRDefault="00142BDA" w:rsidP="00142BDA">
            <w:pPr>
              <w:spacing w:before="0" w:after="0"/>
              <w:rPr>
                <w:rFonts w:cs="Arial"/>
                <w:color w:val="FFFFFF"/>
                <w:sz w:val="20"/>
                <w:szCs w:val="20"/>
                <w:lang w:eastAsia="en-GB"/>
              </w:rPr>
            </w:pPr>
            <w:r w:rsidRPr="00142BDA">
              <w:rPr>
                <w:rFonts w:cs="Arial"/>
                <w:color w:val="FFFFFF"/>
                <w:sz w:val="20"/>
                <w:szCs w:val="20"/>
                <w:lang w:eastAsia="en-GB"/>
              </w:rPr>
              <w:t> </w:t>
            </w:r>
          </w:p>
        </w:tc>
        <w:tc>
          <w:tcPr>
            <w:tcW w:w="820" w:type="dxa"/>
            <w:tcBorders>
              <w:top w:val="single" w:sz="8" w:space="0" w:color="auto"/>
              <w:left w:val="nil"/>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rPr>
                <w:rFonts w:cs="Arial"/>
                <w:color w:val="FFFFFF"/>
                <w:sz w:val="20"/>
                <w:szCs w:val="20"/>
                <w:lang w:eastAsia="en-GB"/>
              </w:rPr>
            </w:pPr>
            <w:r w:rsidRPr="00142BDA">
              <w:rPr>
                <w:rFonts w:cs="Arial"/>
                <w:color w:val="FFFFFF"/>
                <w:sz w:val="20"/>
                <w:szCs w:val="20"/>
                <w:lang w:eastAsia="en-GB"/>
              </w:rPr>
              <w:t> </w:t>
            </w:r>
          </w:p>
        </w:tc>
      </w:tr>
      <w:tr w:rsidR="00142BDA" w:rsidRPr="00142BDA" w:rsidTr="00142BDA">
        <w:trPr>
          <w:trHeight w:val="270"/>
        </w:trPr>
        <w:tc>
          <w:tcPr>
            <w:tcW w:w="2260" w:type="dxa"/>
            <w:tcBorders>
              <w:top w:val="nil"/>
              <w:left w:val="single" w:sz="8" w:space="0" w:color="auto"/>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rPr>
                <w:rFonts w:cs="Arial"/>
                <w:color w:val="FFFFFF"/>
                <w:sz w:val="20"/>
                <w:szCs w:val="20"/>
                <w:lang w:eastAsia="en-GB"/>
              </w:rPr>
            </w:pPr>
            <w:r w:rsidRPr="00142BDA">
              <w:rPr>
                <w:rFonts w:cs="Arial"/>
                <w:color w:val="FFFFFF"/>
                <w:sz w:val="20"/>
                <w:szCs w:val="20"/>
                <w:lang w:eastAsia="en-GB"/>
              </w:rPr>
              <w:t> </w:t>
            </w:r>
          </w:p>
        </w:tc>
        <w:tc>
          <w:tcPr>
            <w:tcW w:w="695" w:type="dxa"/>
            <w:tcBorders>
              <w:top w:val="nil"/>
              <w:left w:val="nil"/>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jc w:val="center"/>
              <w:rPr>
                <w:rFonts w:cs="Arial"/>
                <w:color w:val="FFFFFF"/>
                <w:sz w:val="20"/>
                <w:szCs w:val="20"/>
                <w:lang w:eastAsia="en-GB"/>
              </w:rPr>
            </w:pPr>
            <w:r w:rsidRPr="00142BDA">
              <w:rPr>
                <w:rFonts w:cs="Arial"/>
                <w:color w:val="FFFFFF"/>
                <w:sz w:val="20"/>
                <w:szCs w:val="20"/>
                <w:lang w:eastAsia="en-GB"/>
              </w:rPr>
              <w:t>1</w:t>
            </w:r>
          </w:p>
        </w:tc>
        <w:tc>
          <w:tcPr>
            <w:tcW w:w="945" w:type="dxa"/>
            <w:tcBorders>
              <w:top w:val="nil"/>
              <w:left w:val="nil"/>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jc w:val="center"/>
              <w:rPr>
                <w:rFonts w:cs="Arial"/>
                <w:color w:val="FFFFFF"/>
                <w:sz w:val="20"/>
                <w:szCs w:val="20"/>
                <w:lang w:eastAsia="en-GB"/>
              </w:rPr>
            </w:pPr>
            <w:r w:rsidRPr="00142BDA">
              <w:rPr>
                <w:rFonts w:cs="Arial"/>
                <w:color w:val="FFFFFF"/>
                <w:sz w:val="20"/>
                <w:szCs w:val="20"/>
                <w:lang w:eastAsia="en-GB"/>
              </w:rPr>
              <w:t>2</w:t>
            </w:r>
          </w:p>
        </w:tc>
        <w:tc>
          <w:tcPr>
            <w:tcW w:w="820" w:type="dxa"/>
            <w:tcBorders>
              <w:top w:val="nil"/>
              <w:left w:val="nil"/>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jc w:val="center"/>
              <w:rPr>
                <w:rFonts w:cs="Arial"/>
                <w:color w:val="FFFFFF"/>
                <w:sz w:val="20"/>
                <w:szCs w:val="20"/>
                <w:lang w:eastAsia="en-GB"/>
              </w:rPr>
            </w:pPr>
            <w:r w:rsidRPr="00142BDA">
              <w:rPr>
                <w:rFonts w:cs="Arial"/>
                <w:color w:val="FFFFFF"/>
                <w:sz w:val="20"/>
                <w:szCs w:val="20"/>
                <w:lang w:eastAsia="en-GB"/>
              </w:rPr>
              <w:t>3</w:t>
            </w:r>
          </w:p>
        </w:tc>
        <w:tc>
          <w:tcPr>
            <w:tcW w:w="820" w:type="dxa"/>
            <w:tcBorders>
              <w:top w:val="nil"/>
              <w:left w:val="nil"/>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jc w:val="center"/>
              <w:rPr>
                <w:rFonts w:cs="Arial"/>
                <w:color w:val="FFFFFF"/>
                <w:sz w:val="20"/>
                <w:szCs w:val="20"/>
                <w:lang w:eastAsia="en-GB"/>
              </w:rPr>
            </w:pPr>
            <w:r w:rsidRPr="00142BDA">
              <w:rPr>
                <w:rFonts w:cs="Arial"/>
                <w:color w:val="FFFFFF"/>
                <w:sz w:val="20"/>
                <w:szCs w:val="20"/>
                <w:lang w:eastAsia="en-GB"/>
              </w:rPr>
              <w:t>4</w:t>
            </w:r>
          </w:p>
        </w:tc>
        <w:tc>
          <w:tcPr>
            <w:tcW w:w="975" w:type="dxa"/>
            <w:tcBorders>
              <w:top w:val="nil"/>
              <w:left w:val="nil"/>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jc w:val="center"/>
              <w:rPr>
                <w:rFonts w:cs="Arial"/>
                <w:color w:val="FFFFFF"/>
                <w:sz w:val="20"/>
                <w:szCs w:val="20"/>
                <w:lang w:eastAsia="en-GB"/>
              </w:rPr>
            </w:pPr>
            <w:r w:rsidRPr="00142BDA">
              <w:rPr>
                <w:rFonts w:cs="Arial"/>
                <w:color w:val="FFFFFF"/>
                <w:sz w:val="20"/>
                <w:szCs w:val="20"/>
                <w:lang w:eastAsia="en-GB"/>
              </w:rPr>
              <w:t>Not known</w:t>
            </w:r>
          </w:p>
        </w:tc>
        <w:tc>
          <w:tcPr>
            <w:tcW w:w="820" w:type="dxa"/>
            <w:tcBorders>
              <w:top w:val="nil"/>
              <w:left w:val="nil"/>
              <w:bottom w:val="single" w:sz="8" w:space="0" w:color="auto"/>
              <w:right w:val="single" w:sz="8" w:space="0" w:color="auto"/>
            </w:tcBorders>
            <w:shd w:val="clear" w:color="000000" w:fill="008080"/>
            <w:noWrap/>
            <w:vAlign w:val="bottom"/>
            <w:hideMark/>
          </w:tcPr>
          <w:p w:rsidR="00142BDA" w:rsidRPr="00142BDA" w:rsidRDefault="00142BDA" w:rsidP="00142BDA">
            <w:pPr>
              <w:spacing w:before="0" w:after="0"/>
              <w:jc w:val="center"/>
              <w:rPr>
                <w:rFonts w:cs="Arial"/>
                <w:color w:val="FFFFFF"/>
                <w:sz w:val="20"/>
                <w:szCs w:val="20"/>
                <w:lang w:eastAsia="en-GB"/>
              </w:rPr>
            </w:pPr>
            <w:r w:rsidRPr="00142BDA">
              <w:rPr>
                <w:rFonts w:cs="Arial"/>
                <w:color w:val="FFFFFF"/>
                <w:sz w:val="20"/>
                <w:szCs w:val="20"/>
                <w:lang w:eastAsia="en-GB"/>
              </w:rPr>
              <w:t>Total</w:t>
            </w:r>
          </w:p>
        </w:tc>
      </w:tr>
      <w:tr w:rsidR="00142BDA" w:rsidRPr="00142BDA" w:rsidTr="00142BDA">
        <w:trPr>
          <w:trHeight w:val="27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rPr>
                <w:rFonts w:cs="Arial"/>
                <w:sz w:val="20"/>
                <w:szCs w:val="20"/>
                <w:lang w:eastAsia="en-GB"/>
              </w:rPr>
            </w:pPr>
            <w:r w:rsidRPr="00142BDA">
              <w:rPr>
                <w:rFonts w:cs="Arial"/>
                <w:sz w:val="20"/>
                <w:szCs w:val="20"/>
                <w:lang w:eastAsia="en-GB"/>
              </w:rPr>
              <w:t>Detached</w:t>
            </w:r>
          </w:p>
        </w:tc>
        <w:tc>
          <w:tcPr>
            <w:tcW w:w="69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94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0.6</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5.4</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7.3</w:t>
            </w:r>
          </w:p>
        </w:tc>
        <w:tc>
          <w:tcPr>
            <w:tcW w:w="97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0.1</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13.4</w:t>
            </w:r>
          </w:p>
        </w:tc>
      </w:tr>
      <w:tr w:rsidR="00142BDA" w:rsidRPr="00142BDA" w:rsidTr="00142BDA">
        <w:trPr>
          <w:trHeight w:val="27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rPr>
                <w:rFonts w:cs="Arial"/>
                <w:sz w:val="20"/>
                <w:szCs w:val="20"/>
                <w:lang w:eastAsia="en-GB"/>
              </w:rPr>
            </w:pPr>
            <w:r w:rsidRPr="00142BDA">
              <w:rPr>
                <w:rFonts w:cs="Arial"/>
                <w:sz w:val="20"/>
                <w:szCs w:val="20"/>
                <w:lang w:eastAsia="en-GB"/>
              </w:rPr>
              <w:t>Semi-detached</w:t>
            </w:r>
          </w:p>
        </w:tc>
        <w:tc>
          <w:tcPr>
            <w:tcW w:w="69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0.1</w:t>
            </w:r>
          </w:p>
        </w:tc>
        <w:tc>
          <w:tcPr>
            <w:tcW w:w="94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7.8</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18.9</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2.0</w:t>
            </w:r>
          </w:p>
        </w:tc>
        <w:tc>
          <w:tcPr>
            <w:tcW w:w="97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28.7</w:t>
            </w:r>
          </w:p>
        </w:tc>
      </w:tr>
      <w:tr w:rsidR="00142BDA" w:rsidRPr="00142BDA" w:rsidTr="00142BDA">
        <w:trPr>
          <w:trHeight w:val="27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rPr>
                <w:rFonts w:cs="Arial"/>
                <w:sz w:val="20"/>
                <w:szCs w:val="20"/>
                <w:lang w:eastAsia="en-GB"/>
              </w:rPr>
            </w:pPr>
            <w:r w:rsidRPr="00142BDA">
              <w:rPr>
                <w:rFonts w:cs="Arial"/>
                <w:sz w:val="20"/>
                <w:szCs w:val="20"/>
                <w:lang w:eastAsia="en-GB"/>
              </w:rPr>
              <w:t>Terraced</w:t>
            </w:r>
          </w:p>
        </w:tc>
        <w:tc>
          <w:tcPr>
            <w:tcW w:w="69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0.4</w:t>
            </w:r>
          </w:p>
        </w:tc>
        <w:tc>
          <w:tcPr>
            <w:tcW w:w="94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18.0</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19.2</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97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37.6</w:t>
            </w:r>
          </w:p>
        </w:tc>
      </w:tr>
      <w:tr w:rsidR="00142BDA" w:rsidRPr="00142BDA" w:rsidTr="00142BDA">
        <w:trPr>
          <w:trHeight w:val="27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rPr>
                <w:rFonts w:cs="Arial"/>
                <w:sz w:val="20"/>
                <w:szCs w:val="20"/>
                <w:lang w:eastAsia="en-GB"/>
              </w:rPr>
            </w:pPr>
            <w:r w:rsidRPr="00142BDA">
              <w:rPr>
                <w:rFonts w:cs="Arial"/>
                <w:sz w:val="20"/>
                <w:szCs w:val="20"/>
                <w:lang w:eastAsia="en-GB"/>
              </w:rPr>
              <w:t>Bungalow</w:t>
            </w:r>
          </w:p>
        </w:tc>
        <w:tc>
          <w:tcPr>
            <w:tcW w:w="69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3.1</w:t>
            </w:r>
          </w:p>
        </w:tc>
        <w:tc>
          <w:tcPr>
            <w:tcW w:w="94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7.8</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3.1</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97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14.1</w:t>
            </w:r>
          </w:p>
        </w:tc>
      </w:tr>
      <w:tr w:rsidR="00142BDA" w:rsidRPr="00142BDA" w:rsidTr="00142BDA">
        <w:trPr>
          <w:trHeight w:val="27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rPr>
                <w:rFonts w:cs="Arial"/>
                <w:sz w:val="20"/>
                <w:szCs w:val="20"/>
                <w:lang w:eastAsia="en-GB"/>
              </w:rPr>
            </w:pPr>
            <w:r w:rsidRPr="00142BDA">
              <w:rPr>
                <w:rFonts w:cs="Arial"/>
                <w:sz w:val="20"/>
                <w:szCs w:val="20"/>
                <w:lang w:eastAsia="en-GB"/>
              </w:rPr>
              <w:t>Flat/Maisonette</w:t>
            </w:r>
          </w:p>
        </w:tc>
        <w:tc>
          <w:tcPr>
            <w:tcW w:w="69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2.9</w:t>
            </w:r>
          </w:p>
        </w:tc>
        <w:tc>
          <w:tcPr>
            <w:tcW w:w="94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2.6</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0.6</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97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0.0</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sz w:val="20"/>
                <w:szCs w:val="20"/>
                <w:lang w:eastAsia="en-GB"/>
              </w:rPr>
            </w:pPr>
            <w:r w:rsidRPr="00142BDA">
              <w:rPr>
                <w:rFonts w:cs="Arial"/>
                <w:sz w:val="20"/>
                <w:szCs w:val="20"/>
                <w:lang w:eastAsia="en-GB"/>
              </w:rPr>
              <w:t>6.2</w:t>
            </w:r>
          </w:p>
        </w:tc>
      </w:tr>
      <w:tr w:rsidR="00142BDA" w:rsidRPr="00142BDA" w:rsidTr="00142BDA">
        <w:trPr>
          <w:trHeight w:val="270"/>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rPr>
                <w:rFonts w:cs="Arial"/>
                <w:b/>
                <w:bCs/>
                <w:sz w:val="20"/>
                <w:szCs w:val="20"/>
                <w:lang w:eastAsia="en-GB"/>
              </w:rPr>
            </w:pPr>
            <w:r w:rsidRPr="00142BDA">
              <w:rPr>
                <w:rFonts w:cs="Arial"/>
                <w:b/>
                <w:bCs/>
                <w:sz w:val="20"/>
                <w:szCs w:val="20"/>
                <w:lang w:eastAsia="en-GB"/>
              </w:rPr>
              <w:t>No. Beds %</w:t>
            </w:r>
          </w:p>
        </w:tc>
        <w:tc>
          <w:tcPr>
            <w:tcW w:w="69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b/>
                <w:bCs/>
                <w:sz w:val="20"/>
                <w:szCs w:val="20"/>
                <w:lang w:eastAsia="en-GB"/>
              </w:rPr>
            </w:pPr>
            <w:r w:rsidRPr="00142BDA">
              <w:rPr>
                <w:rFonts w:cs="Arial"/>
                <w:b/>
                <w:bCs/>
                <w:sz w:val="20"/>
                <w:szCs w:val="20"/>
                <w:lang w:eastAsia="en-GB"/>
              </w:rPr>
              <w:t>6.5</w:t>
            </w:r>
          </w:p>
        </w:tc>
        <w:tc>
          <w:tcPr>
            <w:tcW w:w="94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b/>
                <w:bCs/>
                <w:sz w:val="20"/>
                <w:szCs w:val="20"/>
                <w:lang w:eastAsia="en-GB"/>
              </w:rPr>
            </w:pPr>
            <w:r w:rsidRPr="00142BDA">
              <w:rPr>
                <w:rFonts w:cs="Arial"/>
                <w:b/>
                <w:bCs/>
                <w:sz w:val="20"/>
                <w:szCs w:val="20"/>
                <w:lang w:eastAsia="en-GB"/>
              </w:rPr>
              <w:t>36.7</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b/>
                <w:bCs/>
                <w:sz w:val="20"/>
                <w:szCs w:val="20"/>
                <w:lang w:eastAsia="en-GB"/>
              </w:rPr>
            </w:pPr>
            <w:r w:rsidRPr="00142BDA">
              <w:rPr>
                <w:rFonts w:cs="Arial"/>
                <w:b/>
                <w:bCs/>
                <w:sz w:val="20"/>
                <w:szCs w:val="20"/>
                <w:lang w:eastAsia="en-GB"/>
              </w:rPr>
              <w:t>47.2</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b/>
                <w:bCs/>
                <w:sz w:val="20"/>
                <w:szCs w:val="20"/>
                <w:lang w:eastAsia="en-GB"/>
              </w:rPr>
            </w:pPr>
            <w:r w:rsidRPr="00142BDA">
              <w:rPr>
                <w:rFonts w:cs="Arial"/>
                <w:b/>
                <w:bCs/>
                <w:sz w:val="20"/>
                <w:szCs w:val="20"/>
                <w:lang w:eastAsia="en-GB"/>
              </w:rPr>
              <w:t>9.3</w:t>
            </w:r>
          </w:p>
        </w:tc>
        <w:tc>
          <w:tcPr>
            <w:tcW w:w="975"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b/>
                <w:bCs/>
                <w:sz w:val="20"/>
                <w:szCs w:val="20"/>
                <w:lang w:eastAsia="en-GB"/>
              </w:rPr>
            </w:pPr>
            <w:r w:rsidRPr="00142BDA">
              <w:rPr>
                <w:rFonts w:cs="Arial"/>
                <w:b/>
                <w:bCs/>
                <w:sz w:val="20"/>
                <w:szCs w:val="20"/>
                <w:lang w:eastAsia="en-GB"/>
              </w:rPr>
              <w:t>0.1</w:t>
            </w:r>
          </w:p>
        </w:tc>
        <w:tc>
          <w:tcPr>
            <w:tcW w:w="820" w:type="dxa"/>
            <w:tcBorders>
              <w:top w:val="nil"/>
              <w:left w:val="nil"/>
              <w:bottom w:val="single" w:sz="8" w:space="0" w:color="auto"/>
              <w:right w:val="single" w:sz="8" w:space="0" w:color="auto"/>
            </w:tcBorders>
            <w:shd w:val="clear" w:color="auto" w:fill="auto"/>
            <w:noWrap/>
            <w:vAlign w:val="bottom"/>
            <w:hideMark/>
          </w:tcPr>
          <w:p w:rsidR="00142BDA" w:rsidRPr="00142BDA" w:rsidRDefault="00142BDA" w:rsidP="00142BDA">
            <w:pPr>
              <w:spacing w:before="0" w:after="0"/>
              <w:jc w:val="center"/>
              <w:rPr>
                <w:rFonts w:cs="Arial"/>
                <w:b/>
                <w:bCs/>
                <w:sz w:val="20"/>
                <w:szCs w:val="20"/>
                <w:lang w:eastAsia="en-GB"/>
              </w:rPr>
            </w:pPr>
            <w:r w:rsidRPr="00142BDA">
              <w:rPr>
                <w:rFonts w:cs="Arial"/>
                <w:b/>
                <w:bCs/>
                <w:sz w:val="20"/>
                <w:szCs w:val="20"/>
                <w:lang w:eastAsia="en-GB"/>
              </w:rPr>
              <w:t>100.0</w:t>
            </w:r>
          </w:p>
        </w:tc>
      </w:tr>
    </w:tbl>
    <w:p w:rsidR="00142BDA" w:rsidRPr="00053198" w:rsidRDefault="00142BDA" w:rsidP="00053198">
      <w:pPr>
        <w:spacing w:before="0" w:after="0"/>
        <w:ind w:firstLine="709"/>
        <w:rPr>
          <w:sz w:val="20"/>
          <w:szCs w:val="20"/>
        </w:rPr>
      </w:pPr>
      <w:r w:rsidRPr="00053198">
        <w:rPr>
          <w:sz w:val="20"/>
          <w:szCs w:val="20"/>
        </w:rPr>
        <w:t>Base: 233,470 dwellings</w:t>
      </w:r>
    </w:p>
    <w:p w:rsidR="0021263D" w:rsidRPr="00053198" w:rsidRDefault="0021263D" w:rsidP="00053198">
      <w:pPr>
        <w:pStyle w:val="Maintext"/>
        <w:numPr>
          <w:ilvl w:val="0"/>
          <w:numId w:val="0"/>
        </w:numPr>
        <w:spacing w:before="0" w:after="0"/>
        <w:ind w:left="709"/>
        <w:rPr>
          <w:sz w:val="20"/>
          <w:szCs w:val="20"/>
        </w:rPr>
      </w:pPr>
      <w:r w:rsidRPr="00053198">
        <w:rPr>
          <w:sz w:val="20"/>
          <w:szCs w:val="20"/>
        </w:rPr>
        <w:t>Source: 2011 Valuation Office Agency</w:t>
      </w:r>
    </w:p>
    <w:p w:rsidR="0021263D" w:rsidRDefault="0021263D" w:rsidP="00012518">
      <w:pPr>
        <w:pStyle w:val="Maintext"/>
        <w:numPr>
          <w:ilvl w:val="0"/>
          <w:numId w:val="0"/>
        </w:numPr>
      </w:pPr>
    </w:p>
    <w:p w:rsidR="003A6F13" w:rsidRPr="00BF4E85" w:rsidRDefault="00155C1E">
      <w:pPr>
        <w:pStyle w:val="Maintext"/>
      </w:pPr>
      <w:r>
        <w:t>Table 4.3</w:t>
      </w:r>
      <w:r w:rsidR="003A6F13">
        <w:t xml:space="preserve"> reviews the profile of occupied dwelling stock by size and type</w:t>
      </w:r>
      <w:r w:rsidR="003F3246">
        <w:t xml:space="preserve"> across </w:t>
      </w:r>
      <w:r w:rsidR="00F35249">
        <w:t>County Durham</w:t>
      </w:r>
      <w:r w:rsidR="00194AD4">
        <w:t xml:space="preserve"> based on the 2012 household survey</w:t>
      </w:r>
      <w:r w:rsidR="00DF333D">
        <w:t>, rebased to the 2011 Census</w:t>
      </w:r>
      <w:r w:rsidR="003A6F13">
        <w:t xml:space="preserve">.  </w:t>
      </w:r>
      <w:r w:rsidR="003F3246">
        <w:t>Overall, the vast majority (</w:t>
      </w:r>
      <w:r w:rsidR="00DF333D">
        <w:t>79.3</w:t>
      </w:r>
      <w:r w:rsidR="00525257">
        <w:t xml:space="preserve">%) of properties are houses, </w:t>
      </w:r>
      <w:r w:rsidR="00DF333D">
        <w:t>15.3</w:t>
      </w:r>
      <w:r w:rsidR="00BF7053">
        <w:t xml:space="preserve">% are bungalows, </w:t>
      </w:r>
      <w:r w:rsidR="00DF333D">
        <w:t>5.0</w:t>
      </w:r>
      <w:r w:rsidR="00BF7053">
        <w:t>% are flats/apartments</w:t>
      </w:r>
      <w:r w:rsidR="00DF333D">
        <w:t>/maisonettes</w:t>
      </w:r>
      <w:r w:rsidR="00BF7053">
        <w:t xml:space="preserve"> and 0.</w:t>
      </w:r>
      <w:r w:rsidR="00DF333D">
        <w:t>5</w:t>
      </w:r>
      <w:r w:rsidR="00BF7053">
        <w:t xml:space="preserve">% are </w:t>
      </w:r>
      <w:r w:rsidR="003F3246">
        <w:t xml:space="preserve">other </w:t>
      </w:r>
      <w:r w:rsidR="003A6F13">
        <w:t xml:space="preserve">types of property including park homes/caravans.  Of all occupied properties, </w:t>
      </w:r>
      <w:r w:rsidR="00DF333D">
        <w:t>6.1</w:t>
      </w:r>
      <w:r w:rsidR="00A443D1">
        <w:t>% have one bedro</w:t>
      </w:r>
      <w:r w:rsidR="00BF7053">
        <w:t xml:space="preserve">om, </w:t>
      </w:r>
      <w:r w:rsidR="00DF333D">
        <w:t>34.8</w:t>
      </w:r>
      <w:r w:rsidR="00A443D1">
        <w:t xml:space="preserve">% have two bedrooms, </w:t>
      </w:r>
      <w:r w:rsidR="00DF333D">
        <w:t>43.7</w:t>
      </w:r>
      <w:r w:rsidR="003F3246">
        <w:t>% have three be</w:t>
      </w:r>
      <w:r w:rsidR="00BF7053">
        <w:t xml:space="preserve">drooms and </w:t>
      </w:r>
      <w:r w:rsidR="00DF333D">
        <w:t>15.4</w:t>
      </w:r>
      <w:r w:rsidR="003A6F13">
        <w:t xml:space="preserve">% have four or more </w:t>
      </w:r>
      <w:r w:rsidR="003A6F13" w:rsidRPr="00BF4E85">
        <w:t xml:space="preserve">bedrooms.  How </w:t>
      </w:r>
      <w:r w:rsidR="00893A3F" w:rsidRPr="00BF4E85">
        <w:t xml:space="preserve">property type varies </w:t>
      </w:r>
      <w:r w:rsidR="00DF333D" w:rsidRPr="00BF4E85">
        <w:t>across</w:t>
      </w:r>
      <w:r w:rsidR="00142BDA" w:rsidRPr="00BF4E85">
        <w:t xml:space="preserve"> the County </w:t>
      </w:r>
      <w:r w:rsidR="00BF4E85" w:rsidRPr="00BF4E85">
        <w:t>is illustrated in Figure 4.1</w:t>
      </w:r>
      <w:r w:rsidR="00356DA5" w:rsidRPr="00BF4E85">
        <w:t xml:space="preserve">. The variation in the </w:t>
      </w:r>
      <w:r w:rsidR="00C124C3" w:rsidRPr="00BF4E85">
        <w:t>number of bedro</w:t>
      </w:r>
      <w:r w:rsidR="00A443D1" w:rsidRPr="00BF4E85">
        <w:t xml:space="preserve">oms </w:t>
      </w:r>
      <w:r w:rsidR="00356DA5" w:rsidRPr="00BF4E85">
        <w:t xml:space="preserve">by </w:t>
      </w:r>
      <w:r w:rsidR="00B440F0" w:rsidRPr="00BF4E85">
        <w:t>delivery area</w:t>
      </w:r>
      <w:r w:rsidR="00142BDA" w:rsidRPr="00BF4E85">
        <w:t xml:space="preserve"> is shown</w:t>
      </w:r>
      <w:r w:rsidR="00356DA5" w:rsidRPr="00BF4E85">
        <w:t xml:space="preserve"> in Figure 4.</w:t>
      </w:r>
      <w:r w:rsidR="00BF4E85" w:rsidRPr="00BF4E85">
        <w:t>2</w:t>
      </w:r>
      <w:r w:rsidR="00356DA5" w:rsidRPr="00BF4E85">
        <w:t>.</w:t>
      </w:r>
      <w:r w:rsidR="003A6F13" w:rsidRPr="00BF4E85">
        <w:t xml:space="preserve"> </w:t>
      </w:r>
    </w:p>
    <w:p w:rsidR="005D7D0B" w:rsidRDefault="005D7D0B" w:rsidP="00053198">
      <w:pPr>
        <w:rPr>
          <w:b/>
        </w:rPr>
      </w:pPr>
    </w:p>
    <w:p w:rsidR="003A6F13" w:rsidRDefault="00155C1E" w:rsidP="00FB6F89">
      <w:pPr>
        <w:ind w:firstLine="709"/>
      </w:pPr>
      <w:r>
        <w:rPr>
          <w:b/>
        </w:rPr>
        <w:t>Table 4.3</w:t>
      </w:r>
      <w:r w:rsidR="003A6F13">
        <w:rPr>
          <w:b/>
        </w:rPr>
        <w:tab/>
      </w:r>
      <w:r w:rsidR="003A6F13">
        <w:t>Property type and size</w:t>
      </w:r>
      <w:r w:rsidR="002A6185">
        <w:t xml:space="preserve"> of occupied dwellings</w:t>
      </w:r>
      <w:r w:rsidR="00BF7053">
        <w:t>: County Durham</w:t>
      </w:r>
    </w:p>
    <w:tbl>
      <w:tblPr>
        <w:tblW w:w="8128" w:type="dxa"/>
        <w:tblInd w:w="720" w:type="dxa"/>
        <w:tblLook w:val="04A0" w:firstRow="1" w:lastRow="0" w:firstColumn="1" w:lastColumn="0" w:noHBand="0" w:noVBand="1"/>
      </w:tblPr>
      <w:tblGrid>
        <w:gridCol w:w="2260"/>
        <w:gridCol w:w="820"/>
        <w:gridCol w:w="820"/>
        <w:gridCol w:w="884"/>
        <w:gridCol w:w="820"/>
        <w:gridCol w:w="820"/>
        <w:gridCol w:w="820"/>
        <w:gridCol w:w="884"/>
      </w:tblGrid>
      <w:tr w:rsidR="00BF7053" w:rsidRPr="00BF7053" w:rsidTr="001A68A7">
        <w:trPr>
          <w:trHeight w:val="300"/>
        </w:trPr>
        <w:tc>
          <w:tcPr>
            <w:tcW w:w="2260" w:type="dxa"/>
            <w:tcBorders>
              <w:top w:val="single" w:sz="4" w:space="0" w:color="auto"/>
              <w:left w:val="single" w:sz="4" w:space="0" w:color="auto"/>
              <w:bottom w:val="nil"/>
              <w:right w:val="single" w:sz="4" w:space="0" w:color="auto"/>
            </w:tcBorders>
            <w:shd w:val="clear" w:color="000000" w:fill="008080"/>
            <w:noWrap/>
            <w:vAlign w:val="center"/>
            <w:hideMark/>
          </w:tcPr>
          <w:p w:rsidR="00BF7053" w:rsidRPr="00BF7053" w:rsidRDefault="00BF7053" w:rsidP="00BF7053">
            <w:pPr>
              <w:spacing w:before="0" w:after="0"/>
              <w:rPr>
                <w:rFonts w:cs="Arial"/>
                <w:b/>
                <w:bCs/>
                <w:color w:val="FFFFFF"/>
                <w:sz w:val="20"/>
                <w:szCs w:val="20"/>
                <w:lang w:eastAsia="en-GB"/>
              </w:rPr>
            </w:pPr>
            <w:r w:rsidRPr="00BF7053">
              <w:rPr>
                <w:rFonts w:cs="Arial"/>
                <w:b/>
                <w:bCs/>
                <w:color w:val="FFFFFF"/>
                <w:sz w:val="20"/>
                <w:szCs w:val="20"/>
                <w:lang w:eastAsia="en-GB"/>
              </w:rPr>
              <w:t>Property Type</w:t>
            </w:r>
          </w:p>
        </w:tc>
        <w:tc>
          <w:tcPr>
            <w:tcW w:w="5868" w:type="dxa"/>
            <w:gridSpan w:val="7"/>
            <w:tcBorders>
              <w:top w:val="single" w:sz="4" w:space="0" w:color="auto"/>
              <w:left w:val="nil"/>
              <w:bottom w:val="nil"/>
              <w:right w:val="single" w:sz="4" w:space="0" w:color="auto"/>
            </w:tcBorders>
            <w:shd w:val="clear" w:color="000000" w:fill="008080"/>
            <w:noWrap/>
            <w:vAlign w:val="center"/>
            <w:hideMark/>
          </w:tcPr>
          <w:p w:rsidR="00BF7053" w:rsidRPr="00BF7053" w:rsidRDefault="00BF7053" w:rsidP="00BF7053">
            <w:pPr>
              <w:spacing w:before="0" w:after="0"/>
              <w:rPr>
                <w:rFonts w:cs="Arial"/>
                <w:b/>
                <w:bCs/>
                <w:color w:val="FFFFFF"/>
                <w:sz w:val="20"/>
                <w:szCs w:val="20"/>
                <w:lang w:eastAsia="en-GB"/>
              </w:rPr>
            </w:pPr>
            <w:r w:rsidRPr="00BF7053">
              <w:rPr>
                <w:rFonts w:cs="Arial"/>
                <w:b/>
                <w:bCs/>
                <w:color w:val="FFFFFF"/>
                <w:sz w:val="20"/>
                <w:szCs w:val="20"/>
                <w:lang w:eastAsia="en-GB"/>
              </w:rPr>
              <w:t>No. Bedrooms (Table %</w:t>
            </w:r>
            <w:r>
              <w:rPr>
                <w:rFonts w:cs="Arial"/>
                <w:b/>
                <w:bCs/>
                <w:color w:val="FFFFFF"/>
                <w:sz w:val="20"/>
                <w:szCs w:val="20"/>
                <w:lang w:eastAsia="en-GB"/>
              </w:rPr>
              <w:t>)</w:t>
            </w:r>
          </w:p>
        </w:tc>
      </w:tr>
      <w:tr w:rsidR="00BF7053" w:rsidRPr="00BF7053" w:rsidTr="00BF7053">
        <w:trPr>
          <w:trHeight w:val="510"/>
        </w:trPr>
        <w:tc>
          <w:tcPr>
            <w:tcW w:w="2260" w:type="dxa"/>
            <w:tcBorders>
              <w:top w:val="nil"/>
              <w:left w:val="single" w:sz="4" w:space="0" w:color="auto"/>
              <w:bottom w:val="single" w:sz="4" w:space="0" w:color="auto"/>
              <w:right w:val="single" w:sz="4" w:space="0" w:color="auto"/>
            </w:tcBorders>
            <w:shd w:val="clear" w:color="000000" w:fill="008080"/>
            <w:vAlign w:val="center"/>
            <w:hideMark/>
          </w:tcPr>
          <w:p w:rsidR="00BF7053" w:rsidRPr="00BF7053" w:rsidRDefault="00BF7053" w:rsidP="00BF7053">
            <w:pPr>
              <w:spacing w:before="0" w:after="0"/>
              <w:rPr>
                <w:rFonts w:cs="Arial"/>
                <w:b/>
                <w:bCs/>
                <w:color w:val="FFFFFF"/>
                <w:sz w:val="20"/>
                <w:szCs w:val="20"/>
                <w:lang w:eastAsia="en-GB"/>
              </w:rPr>
            </w:pPr>
            <w:r w:rsidRPr="00BF7053">
              <w:rPr>
                <w:rFonts w:cs="Arial"/>
                <w:b/>
                <w:bCs/>
                <w:color w:val="FFFFFF"/>
                <w:sz w:val="20"/>
                <w:szCs w:val="20"/>
                <w:lang w:eastAsia="en-GB"/>
              </w:rPr>
              <w:t> </w:t>
            </w:r>
          </w:p>
        </w:tc>
        <w:tc>
          <w:tcPr>
            <w:tcW w:w="820" w:type="dxa"/>
            <w:tcBorders>
              <w:top w:val="single" w:sz="4" w:space="0" w:color="auto"/>
              <w:left w:val="nil"/>
              <w:bottom w:val="single" w:sz="4" w:space="0" w:color="auto"/>
              <w:right w:val="single" w:sz="4" w:space="0" w:color="auto"/>
            </w:tcBorders>
            <w:shd w:val="clear" w:color="000000" w:fill="008080"/>
            <w:vAlign w:val="center"/>
            <w:hideMark/>
          </w:tcPr>
          <w:p w:rsidR="00BF7053" w:rsidRPr="00BF7053" w:rsidRDefault="00BF7053" w:rsidP="00BF7053">
            <w:pPr>
              <w:spacing w:before="0" w:after="0"/>
              <w:jc w:val="center"/>
              <w:rPr>
                <w:rFonts w:cs="Arial"/>
                <w:color w:val="FFFFFF"/>
                <w:sz w:val="20"/>
                <w:szCs w:val="20"/>
                <w:lang w:eastAsia="en-GB"/>
              </w:rPr>
            </w:pPr>
            <w:r w:rsidRPr="00BF7053">
              <w:rPr>
                <w:rFonts w:cs="Arial"/>
                <w:color w:val="FFFFFF"/>
                <w:sz w:val="20"/>
                <w:szCs w:val="20"/>
                <w:lang w:eastAsia="en-GB"/>
              </w:rPr>
              <w:t>One</w:t>
            </w:r>
          </w:p>
        </w:tc>
        <w:tc>
          <w:tcPr>
            <w:tcW w:w="820" w:type="dxa"/>
            <w:tcBorders>
              <w:top w:val="single" w:sz="4" w:space="0" w:color="auto"/>
              <w:left w:val="nil"/>
              <w:bottom w:val="single" w:sz="4" w:space="0" w:color="auto"/>
              <w:right w:val="single" w:sz="4" w:space="0" w:color="auto"/>
            </w:tcBorders>
            <w:shd w:val="clear" w:color="000000" w:fill="008080"/>
            <w:vAlign w:val="center"/>
            <w:hideMark/>
          </w:tcPr>
          <w:p w:rsidR="00BF7053" w:rsidRPr="00BF7053" w:rsidRDefault="00BF7053" w:rsidP="00BF7053">
            <w:pPr>
              <w:spacing w:before="0" w:after="0"/>
              <w:jc w:val="center"/>
              <w:rPr>
                <w:rFonts w:cs="Arial"/>
                <w:color w:val="FFFFFF"/>
                <w:sz w:val="20"/>
                <w:szCs w:val="20"/>
                <w:lang w:eastAsia="en-GB"/>
              </w:rPr>
            </w:pPr>
            <w:r w:rsidRPr="00BF7053">
              <w:rPr>
                <w:rFonts w:cs="Arial"/>
                <w:color w:val="FFFFFF"/>
                <w:sz w:val="20"/>
                <w:szCs w:val="20"/>
                <w:lang w:eastAsia="en-GB"/>
              </w:rPr>
              <w:t>Two</w:t>
            </w:r>
          </w:p>
        </w:tc>
        <w:tc>
          <w:tcPr>
            <w:tcW w:w="884" w:type="dxa"/>
            <w:tcBorders>
              <w:top w:val="single" w:sz="4" w:space="0" w:color="auto"/>
              <w:left w:val="nil"/>
              <w:bottom w:val="single" w:sz="4" w:space="0" w:color="auto"/>
              <w:right w:val="single" w:sz="4" w:space="0" w:color="auto"/>
            </w:tcBorders>
            <w:shd w:val="clear" w:color="000000" w:fill="008080"/>
            <w:vAlign w:val="center"/>
            <w:hideMark/>
          </w:tcPr>
          <w:p w:rsidR="00BF7053" w:rsidRPr="00BF7053" w:rsidRDefault="00BF7053" w:rsidP="00BF7053">
            <w:pPr>
              <w:spacing w:before="0" w:after="0"/>
              <w:jc w:val="center"/>
              <w:rPr>
                <w:rFonts w:cs="Arial"/>
                <w:color w:val="FFFFFF"/>
                <w:sz w:val="20"/>
                <w:szCs w:val="20"/>
                <w:lang w:eastAsia="en-GB"/>
              </w:rPr>
            </w:pPr>
            <w:r w:rsidRPr="00BF7053">
              <w:rPr>
                <w:rFonts w:cs="Arial"/>
                <w:color w:val="FFFFFF"/>
                <w:sz w:val="20"/>
                <w:szCs w:val="20"/>
                <w:lang w:eastAsia="en-GB"/>
              </w:rPr>
              <w:t>Three</w:t>
            </w:r>
          </w:p>
        </w:tc>
        <w:tc>
          <w:tcPr>
            <w:tcW w:w="820" w:type="dxa"/>
            <w:tcBorders>
              <w:top w:val="single" w:sz="4" w:space="0" w:color="auto"/>
              <w:left w:val="nil"/>
              <w:bottom w:val="single" w:sz="4" w:space="0" w:color="auto"/>
              <w:right w:val="single" w:sz="4" w:space="0" w:color="auto"/>
            </w:tcBorders>
            <w:shd w:val="clear" w:color="000000" w:fill="008080"/>
            <w:vAlign w:val="center"/>
            <w:hideMark/>
          </w:tcPr>
          <w:p w:rsidR="00BF7053" w:rsidRPr="00BF7053" w:rsidRDefault="00BF7053" w:rsidP="00BF7053">
            <w:pPr>
              <w:spacing w:before="0" w:after="0"/>
              <w:jc w:val="center"/>
              <w:rPr>
                <w:rFonts w:cs="Arial"/>
                <w:color w:val="FFFFFF"/>
                <w:sz w:val="20"/>
                <w:szCs w:val="20"/>
                <w:lang w:eastAsia="en-GB"/>
              </w:rPr>
            </w:pPr>
            <w:r w:rsidRPr="00BF7053">
              <w:rPr>
                <w:rFonts w:cs="Arial"/>
                <w:color w:val="FFFFFF"/>
                <w:sz w:val="20"/>
                <w:szCs w:val="20"/>
                <w:lang w:eastAsia="en-GB"/>
              </w:rPr>
              <w:t>Four</w:t>
            </w:r>
          </w:p>
        </w:tc>
        <w:tc>
          <w:tcPr>
            <w:tcW w:w="820" w:type="dxa"/>
            <w:tcBorders>
              <w:top w:val="single" w:sz="4" w:space="0" w:color="auto"/>
              <w:left w:val="nil"/>
              <w:bottom w:val="single" w:sz="4" w:space="0" w:color="auto"/>
              <w:right w:val="single" w:sz="4" w:space="0" w:color="auto"/>
            </w:tcBorders>
            <w:shd w:val="clear" w:color="000000" w:fill="008080"/>
            <w:vAlign w:val="center"/>
            <w:hideMark/>
          </w:tcPr>
          <w:p w:rsidR="00BF7053" w:rsidRPr="00BF7053" w:rsidRDefault="00BF7053" w:rsidP="00BF7053">
            <w:pPr>
              <w:spacing w:before="0" w:after="0"/>
              <w:jc w:val="center"/>
              <w:rPr>
                <w:rFonts w:cs="Arial"/>
                <w:color w:val="FFFFFF"/>
                <w:sz w:val="20"/>
                <w:szCs w:val="20"/>
                <w:lang w:eastAsia="en-GB"/>
              </w:rPr>
            </w:pPr>
            <w:r w:rsidRPr="00BF7053">
              <w:rPr>
                <w:rFonts w:cs="Arial"/>
                <w:color w:val="FFFFFF"/>
                <w:sz w:val="20"/>
                <w:szCs w:val="20"/>
                <w:lang w:eastAsia="en-GB"/>
              </w:rPr>
              <w:t>Five or more</w:t>
            </w:r>
          </w:p>
        </w:tc>
        <w:tc>
          <w:tcPr>
            <w:tcW w:w="820" w:type="dxa"/>
            <w:tcBorders>
              <w:top w:val="single" w:sz="4" w:space="0" w:color="auto"/>
              <w:left w:val="nil"/>
              <w:bottom w:val="single" w:sz="4" w:space="0" w:color="auto"/>
              <w:right w:val="single" w:sz="4" w:space="0" w:color="auto"/>
            </w:tcBorders>
            <w:shd w:val="clear" w:color="000000" w:fill="008080"/>
            <w:vAlign w:val="center"/>
            <w:hideMark/>
          </w:tcPr>
          <w:p w:rsidR="00BF7053" w:rsidRPr="00BF7053" w:rsidRDefault="00BF7053" w:rsidP="00BF7053">
            <w:pPr>
              <w:spacing w:before="0" w:after="0"/>
              <w:jc w:val="center"/>
              <w:rPr>
                <w:rFonts w:cs="Arial"/>
                <w:color w:val="FFFFFF"/>
                <w:sz w:val="20"/>
                <w:szCs w:val="20"/>
                <w:lang w:eastAsia="en-GB"/>
              </w:rPr>
            </w:pPr>
            <w:r w:rsidRPr="00BF7053">
              <w:rPr>
                <w:rFonts w:cs="Arial"/>
                <w:color w:val="FFFFFF"/>
                <w:sz w:val="20"/>
                <w:szCs w:val="20"/>
                <w:lang w:eastAsia="en-GB"/>
              </w:rPr>
              <w:t>Total</w:t>
            </w:r>
          </w:p>
        </w:tc>
        <w:tc>
          <w:tcPr>
            <w:tcW w:w="884" w:type="dxa"/>
            <w:tcBorders>
              <w:top w:val="single" w:sz="4" w:space="0" w:color="auto"/>
              <w:left w:val="nil"/>
              <w:bottom w:val="single" w:sz="4" w:space="0" w:color="auto"/>
              <w:right w:val="single" w:sz="4" w:space="0" w:color="auto"/>
            </w:tcBorders>
            <w:shd w:val="clear" w:color="000000" w:fill="008080"/>
            <w:vAlign w:val="center"/>
            <w:hideMark/>
          </w:tcPr>
          <w:p w:rsidR="00BF7053" w:rsidRPr="00BF7053" w:rsidRDefault="00BF7053" w:rsidP="00BF7053">
            <w:pPr>
              <w:spacing w:before="0" w:after="0"/>
              <w:jc w:val="center"/>
              <w:rPr>
                <w:rFonts w:cs="Arial"/>
                <w:color w:val="FFFFFF"/>
                <w:sz w:val="20"/>
                <w:szCs w:val="20"/>
                <w:lang w:eastAsia="en-GB"/>
              </w:rPr>
            </w:pPr>
            <w:r w:rsidRPr="00BF7053">
              <w:rPr>
                <w:rFonts w:cs="Arial"/>
                <w:color w:val="FFFFFF"/>
                <w:sz w:val="20"/>
                <w:szCs w:val="20"/>
                <w:lang w:eastAsia="en-GB"/>
              </w:rPr>
              <w:t>Base</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Detached house</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1.0</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6.9</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8.0</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1.8</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17.8</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39520</w:t>
            </w:r>
          </w:p>
        </w:tc>
      </w:tr>
      <w:tr w:rsidR="00DF333D" w:rsidRPr="00BF7053" w:rsidTr="00BF7053">
        <w:trPr>
          <w:trHeight w:val="270"/>
        </w:trPr>
        <w:tc>
          <w:tcPr>
            <w:tcW w:w="2260" w:type="dxa"/>
            <w:tcBorders>
              <w:top w:val="nil"/>
              <w:left w:val="single" w:sz="4" w:space="0" w:color="auto"/>
              <w:bottom w:val="single" w:sz="4" w:space="0" w:color="auto"/>
              <w:right w:val="single" w:sz="4" w:space="0" w:color="auto"/>
            </w:tcBorders>
            <w:shd w:val="clear" w:color="000000" w:fill="FFFFFF"/>
            <w:vAlign w:val="center"/>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Semi-detached house</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0.2</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8.7</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19.6</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2.7</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0.6</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31.8</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70581</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Terraced house</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13.4</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14.1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1.8</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0.2</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29.7</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65994</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Bungalow</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3.3</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8.9</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2.7</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0.2</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15.3</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33883</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Maisonette</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0.0</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0.0</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0.0</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0.2</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456</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Flat/apartment</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2.1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2.4</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0.2</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0.0</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4.8</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10569</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Other</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0.2</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0.0</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0.5</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1099</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Total</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6.1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34.8</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43.7</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12.7</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2.7</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100.0</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b/>
                <w:bCs/>
                <w:sz w:val="20"/>
                <w:szCs w:val="20"/>
              </w:rPr>
            </w:pPr>
            <w:r>
              <w:rPr>
                <w:rFonts w:cs="Arial"/>
                <w:b/>
                <w:bCs/>
                <w:sz w:val="20"/>
                <w:szCs w:val="20"/>
              </w:rPr>
              <w:t> </w:t>
            </w:r>
          </w:p>
        </w:tc>
      </w:tr>
      <w:tr w:rsidR="00DF333D" w:rsidRPr="00BF7053" w:rsidTr="00BF7053">
        <w:trPr>
          <w:trHeight w:val="255"/>
        </w:trPr>
        <w:tc>
          <w:tcPr>
            <w:tcW w:w="2260" w:type="dxa"/>
            <w:tcBorders>
              <w:top w:val="nil"/>
              <w:left w:val="single" w:sz="4" w:space="0" w:color="auto"/>
              <w:bottom w:val="single" w:sz="4" w:space="0" w:color="auto"/>
              <w:right w:val="single" w:sz="4" w:space="0" w:color="auto"/>
            </w:tcBorders>
            <w:shd w:val="clear" w:color="000000" w:fill="FFFFFF"/>
            <w:vAlign w:val="bottom"/>
            <w:hideMark/>
          </w:tcPr>
          <w:p w:rsidR="00DF333D" w:rsidRPr="00BF7053" w:rsidRDefault="00DF333D" w:rsidP="00BF7053">
            <w:pPr>
              <w:spacing w:before="0" w:after="0"/>
              <w:rPr>
                <w:rFonts w:cs="Arial"/>
                <w:sz w:val="20"/>
                <w:szCs w:val="20"/>
                <w:lang w:eastAsia="en-GB"/>
              </w:rPr>
            </w:pPr>
            <w:r w:rsidRPr="00BF7053">
              <w:rPr>
                <w:rFonts w:cs="Arial"/>
                <w:sz w:val="20"/>
                <w:szCs w:val="20"/>
                <w:lang w:eastAsia="en-GB"/>
              </w:rPr>
              <w:t>Base</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13635</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77203</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96968</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28311</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5985</w:t>
            </w:r>
          </w:p>
        </w:tc>
        <w:tc>
          <w:tcPr>
            <w:tcW w:w="820"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DF333D" w:rsidRDefault="00DF333D" w:rsidP="00DF333D">
            <w:pPr>
              <w:spacing w:before="0" w:after="0"/>
              <w:jc w:val="center"/>
              <w:rPr>
                <w:rFonts w:cs="Arial"/>
                <w:sz w:val="20"/>
                <w:szCs w:val="20"/>
              </w:rPr>
            </w:pPr>
            <w:r>
              <w:rPr>
                <w:rFonts w:cs="Arial"/>
                <w:sz w:val="20"/>
                <w:szCs w:val="20"/>
              </w:rPr>
              <w:t>222102</w:t>
            </w:r>
          </w:p>
        </w:tc>
      </w:tr>
    </w:tbl>
    <w:p w:rsidR="003A6F13" w:rsidRDefault="00A443D1" w:rsidP="00F255BD">
      <w:pPr>
        <w:ind w:firstLine="720"/>
        <w:rPr>
          <w:sz w:val="20"/>
          <w:szCs w:val="20"/>
        </w:rPr>
      </w:pPr>
      <w:r>
        <w:rPr>
          <w:sz w:val="20"/>
          <w:szCs w:val="20"/>
        </w:rPr>
        <w:t xml:space="preserve">Source: </w:t>
      </w:r>
      <w:r w:rsidR="00DD3EB7">
        <w:rPr>
          <w:sz w:val="20"/>
          <w:szCs w:val="20"/>
        </w:rPr>
        <w:t>2012 Household Survey</w:t>
      </w:r>
      <w:r w:rsidR="00053198">
        <w:rPr>
          <w:sz w:val="20"/>
          <w:szCs w:val="20"/>
        </w:rPr>
        <w:t>, rebased to 2011 Census</w:t>
      </w:r>
    </w:p>
    <w:p w:rsidR="002A6185" w:rsidRDefault="002A6185" w:rsidP="00F255BD">
      <w:pPr>
        <w:ind w:firstLine="720"/>
        <w:rPr>
          <w:sz w:val="20"/>
          <w:szCs w:val="20"/>
        </w:rPr>
      </w:pPr>
    </w:p>
    <w:p w:rsidR="00BF7053" w:rsidRDefault="00BF7053">
      <w:pPr>
        <w:rPr>
          <w:b/>
        </w:rPr>
      </w:pPr>
    </w:p>
    <w:p w:rsidR="00623DE0" w:rsidRDefault="00623DE0">
      <w:pPr>
        <w:rPr>
          <w:b/>
        </w:rPr>
      </w:pPr>
    </w:p>
    <w:p w:rsidR="00623DE0" w:rsidRDefault="00623DE0">
      <w:pPr>
        <w:rPr>
          <w:b/>
        </w:rPr>
      </w:pPr>
    </w:p>
    <w:p w:rsidR="00623DE0" w:rsidRDefault="00623DE0">
      <w:pPr>
        <w:rPr>
          <w:b/>
        </w:rPr>
        <w:sectPr w:rsidR="00623DE0" w:rsidSect="00861061">
          <w:pgSz w:w="11907" w:h="16840" w:code="9"/>
          <w:pgMar w:top="1304" w:right="1304" w:bottom="1559" w:left="851" w:header="720" w:footer="567" w:gutter="0"/>
          <w:cols w:space="708"/>
          <w:noEndnote/>
          <w:docGrid w:linePitch="261"/>
        </w:sectPr>
      </w:pPr>
    </w:p>
    <w:p w:rsidR="00CF5794" w:rsidRDefault="00F02068" w:rsidP="00CF5794">
      <w:r>
        <w:rPr>
          <w:b/>
        </w:rPr>
        <w:t>Figure 4.1</w:t>
      </w:r>
      <w:r w:rsidR="00CF5794">
        <w:rPr>
          <w:b/>
        </w:rPr>
        <w:tab/>
      </w:r>
      <w:r w:rsidR="00CF5794">
        <w:t xml:space="preserve">Property type by </w:t>
      </w:r>
      <w:r w:rsidR="00B440F0">
        <w:t>delivery area</w:t>
      </w:r>
    </w:p>
    <w:p w:rsidR="00F02068" w:rsidRDefault="00F02068" w:rsidP="00623DE0">
      <w:pPr>
        <w:rPr>
          <w:sz w:val="20"/>
          <w:szCs w:val="20"/>
        </w:rPr>
      </w:pPr>
      <w:r w:rsidRPr="00F02068">
        <w:rPr>
          <w:noProof/>
          <w:szCs w:val="20"/>
          <w:lang w:eastAsia="en-GB"/>
        </w:rPr>
        <w:drawing>
          <wp:inline distT="0" distB="0" distL="0" distR="0">
            <wp:extent cx="7707932" cy="3957277"/>
            <wp:effectExtent l="19050" t="0" r="731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7707663" cy="3957139"/>
                    </a:xfrm>
                    <a:prstGeom prst="rect">
                      <a:avLst/>
                    </a:prstGeom>
                    <a:noFill/>
                    <a:ln w="9525">
                      <a:noFill/>
                      <a:miter lim="800000"/>
                      <a:headEnd/>
                      <a:tailEnd/>
                    </a:ln>
                  </pic:spPr>
                </pic:pic>
              </a:graphicData>
            </a:graphic>
          </wp:inline>
        </w:drawing>
      </w:r>
    </w:p>
    <w:p w:rsidR="00623DE0" w:rsidRDefault="00623DE0" w:rsidP="00623DE0">
      <w:r>
        <w:rPr>
          <w:sz w:val="20"/>
          <w:szCs w:val="20"/>
        </w:rPr>
        <w:t>Source: 2012 Household Survey</w:t>
      </w:r>
      <w:r w:rsidR="00DF333D">
        <w:rPr>
          <w:sz w:val="20"/>
          <w:szCs w:val="20"/>
        </w:rPr>
        <w:t>, rebased to 2011 Census</w:t>
      </w:r>
    </w:p>
    <w:p w:rsidR="00623DE0" w:rsidRDefault="00623DE0" w:rsidP="00CF5794"/>
    <w:p w:rsidR="003A6F13" w:rsidRDefault="00CF5794">
      <w:r>
        <w:rPr>
          <w:b/>
        </w:rPr>
        <w:br w:type="page"/>
      </w:r>
    </w:p>
    <w:p w:rsidR="00CF5794" w:rsidRDefault="00BF4E85" w:rsidP="00CF5794">
      <w:r>
        <w:rPr>
          <w:b/>
        </w:rPr>
        <w:t>Figure 4.2</w:t>
      </w:r>
      <w:r w:rsidR="00CF5794">
        <w:rPr>
          <w:b/>
        </w:rPr>
        <w:tab/>
      </w:r>
      <w:r w:rsidR="00CF5794">
        <w:t xml:space="preserve">Property size by </w:t>
      </w:r>
      <w:r w:rsidR="00B440F0">
        <w:t>delivery area</w:t>
      </w:r>
    </w:p>
    <w:p w:rsidR="00BF4E85" w:rsidRDefault="00BF4E85" w:rsidP="00CF5794">
      <w:pPr>
        <w:rPr>
          <w:szCs w:val="20"/>
        </w:rPr>
      </w:pPr>
      <w:r w:rsidRPr="00BF4E85">
        <w:rPr>
          <w:noProof/>
          <w:szCs w:val="20"/>
          <w:lang w:eastAsia="en-GB"/>
        </w:rPr>
        <w:drawing>
          <wp:inline distT="0" distB="0" distL="0" distR="0">
            <wp:extent cx="7326886" cy="3763734"/>
            <wp:effectExtent l="19050" t="0" r="736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7338490" cy="3769695"/>
                    </a:xfrm>
                    <a:prstGeom prst="rect">
                      <a:avLst/>
                    </a:prstGeom>
                    <a:noFill/>
                    <a:ln w="9525">
                      <a:noFill/>
                      <a:miter lim="800000"/>
                      <a:headEnd/>
                      <a:tailEnd/>
                    </a:ln>
                  </pic:spPr>
                </pic:pic>
              </a:graphicData>
            </a:graphic>
          </wp:inline>
        </w:drawing>
      </w:r>
      <w:r w:rsidRPr="00BF4E85">
        <w:rPr>
          <w:szCs w:val="20"/>
        </w:rPr>
        <w:t xml:space="preserve"> </w:t>
      </w:r>
    </w:p>
    <w:p w:rsidR="00356DA5" w:rsidRDefault="00BF4E85" w:rsidP="00CF5794">
      <w:r>
        <w:rPr>
          <w:sz w:val="20"/>
          <w:szCs w:val="20"/>
        </w:rPr>
        <w:t>Source: 2012 Household Survey, rebased to 2011 Census</w:t>
      </w:r>
    </w:p>
    <w:p w:rsidR="003A6F13" w:rsidRDefault="003A6F13"/>
    <w:p w:rsidR="00BF7053" w:rsidRDefault="00BF7053" w:rsidP="00BF7053">
      <w:pPr>
        <w:sectPr w:rsidR="00BF7053" w:rsidSect="00BF7053">
          <w:pgSz w:w="16840" w:h="11907" w:orient="landscape" w:code="9"/>
          <w:pgMar w:top="1304" w:right="1559" w:bottom="1304" w:left="1304" w:header="720" w:footer="567" w:gutter="0"/>
          <w:cols w:space="708"/>
          <w:noEndnote/>
          <w:docGrid w:linePitch="326"/>
        </w:sectPr>
      </w:pPr>
    </w:p>
    <w:p w:rsidR="003A6F13" w:rsidRDefault="006739CE" w:rsidP="007B7DE2">
      <w:pPr>
        <w:ind w:firstLine="709"/>
        <w:rPr>
          <w:b/>
        </w:rPr>
      </w:pPr>
      <w:r>
        <w:rPr>
          <w:b/>
        </w:rPr>
        <w:t>Quality of accommodation</w:t>
      </w:r>
    </w:p>
    <w:p w:rsidR="003A6F13" w:rsidRDefault="006739CE" w:rsidP="006739CE">
      <w:pPr>
        <w:pStyle w:val="Maintext"/>
      </w:pPr>
      <w:r>
        <w:t xml:space="preserve">The 2012 Household Survey asked respondents how satisfied or dissatisfied they were with the quality of their accommodation. </w:t>
      </w:r>
      <w:r w:rsidR="00D120C3">
        <w:t xml:space="preserve">Overall </w:t>
      </w:r>
      <w:r w:rsidR="004D2F35">
        <w:t>89.0</w:t>
      </w:r>
      <w:r w:rsidR="003A6F13">
        <w:t>% of responde</w:t>
      </w:r>
      <w:r w:rsidR="00D120C3">
        <w:t xml:space="preserve">nts expressed satisfaction </w:t>
      </w:r>
      <w:r w:rsidR="00927B72">
        <w:t>(</w:t>
      </w:r>
      <w:r w:rsidR="004D2F35">
        <w:t>54.0</w:t>
      </w:r>
      <w:r w:rsidR="00A078DC">
        <w:t>% were very sati</w:t>
      </w:r>
      <w:r w:rsidR="00E01351">
        <w:t xml:space="preserve">sfied and </w:t>
      </w:r>
      <w:r w:rsidR="004D2F35">
        <w:t>35.0</w:t>
      </w:r>
      <w:r w:rsidR="003A6F13">
        <w:t xml:space="preserve">% were </w:t>
      </w:r>
      <w:r w:rsidR="004D2F35">
        <w:t>satisfied); 6.9</w:t>
      </w:r>
      <w:r w:rsidR="003A6F13">
        <w:t xml:space="preserve">% were neither satisfied </w:t>
      </w:r>
      <w:r w:rsidR="00BD51DC">
        <w:t xml:space="preserve">nor dissatisfied; a total of </w:t>
      </w:r>
      <w:r w:rsidR="004D2F35">
        <w:t>4.1</w:t>
      </w:r>
      <w:r w:rsidR="003A6F13">
        <w:t xml:space="preserve">% expressed degrees of dissatisfaction, </w:t>
      </w:r>
      <w:r w:rsidR="00BD51DC">
        <w:t>of whom</w:t>
      </w:r>
      <w:r w:rsidR="00A078DC">
        <w:t xml:space="preserve"> </w:t>
      </w:r>
      <w:r w:rsidR="00CC48F8">
        <w:t>0.9</w:t>
      </w:r>
      <w:r w:rsidR="003A6F13">
        <w:t>% we</w:t>
      </w:r>
      <w:r w:rsidR="006210C3">
        <w:t>re very dissatisfied.  Table</w:t>
      </w:r>
      <w:r w:rsidR="00CC48F8">
        <w:t>s</w:t>
      </w:r>
      <w:r w:rsidR="001E3095">
        <w:t xml:space="preserve"> 4.4</w:t>
      </w:r>
      <w:r w:rsidR="00CC48F8">
        <w:t xml:space="preserve"> explore</w:t>
      </w:r>
      <w:r w:rsidR="003A6F13">
        <w:t xml:space="preserve"> how the level of dissatisfaction </w:t>
      </w:r>
      <w:r w:rsidR="00CC48F8">
        <w:t xml:space="preserve">with the quality of accommodation </w:t>
      </w:r>
      <w:r w:rsidR="004D2F35">
        <w:t xml:space="preserve">varied by delivery </w:t>
      </w:r>
      <w:r w:rsidR="0083534C">
        <w:t>area</w:t>
      </w:r>
      <w:r w:rsidR="004D2F35">
        <w:t>,</w:t>
      </w:r>
      <w:r w:rsidR="00CC48F8">
        <w:t xml:space="preserve"> </w:t>
      </w:r>
      <w:r w:rsidR="003A6F13">
        <w:t>tenure, age and type.</w:t>
      </w:r>
    </w:p>
    <w:p w:rsidR="006210C3" w:rsidRDefault="006210C3" w:rsidP="00CC48F8">
      <w:pPr>
        <w:pStyle w:val="Maintext"/>
      </w:pPr>
      <w:r>
        <w:t xml:space="preserve">Data indicates that households in </w:t>
      </w:r>
      <w:r w:rsidR="004D2F35">
        <w:t>East Durham (7.3</w:t>
      </w:r>
      <w:r w:rsidR="00CC48F8">
        <w:t xml:space="preserve">%) and </w:t>
      </w:r>
      <w:r w:rsidR="004D2F35">
        <w:t xml:space="preserve">Central </w:t>
      </w:r>
      <w:r w:rsidR="00CC48F8">
        <w:t xml:space="preserve">Durham </w:t>
      </w:r>
      <w:r w:rsidR="004D2F35">
        <w:t>(4.2</w:t>
      </w:r>
      <w:r w:rsidR="00CC48F8">
        <w:t xml:space="preserve">%) </w:t>
      </w:r>
      <w:r>
        <w:t xml:space="preserve">were more likely to express dissatisfaction. </w:t>
      </w:r>
      <w:r w:rsidR="006E3921">
        <w:t>Levels</w:t>
      </w:r>
      <w:r>
        <w:t xml:space="preserve"> of dissatisfaction exceeded 10% amongst unfurnis</w:t>
      </w:r>
      <w:r w:rsidR="00C312F0">
        <w:t>hed private renters (11.1</w:t>
      </w:r>
      <w:r w:rsidR="0081547A">
        <w:t>%)</w:t>
      </w:r>
      <w:r w:rsidR="00726CA8">
        <w:t>.</w:t>
      </w:r>
      <w:r w:rsidR="00CC48F8">
        <w:t xml:space="preserve"> </w:t>
      </w:r>
      <w:r>
        <w:t>Note that this information is based on responses to the household su</w:t>
      </w:r>
      <w:r w:rsidR="0081547A">
        <w:t>rvey as expressed by respondents</w:t>
      </w:r>
      <w:r>
        <w:t xml:space="preserve">. </w:t>
      </w:r>
    </w:p>
    <w:p w:rsidR="00FB6F89" w:rsidRDefault="00FB6F89" w:rsidP="00956A9B">
      <w:pPr>
        <w:pStyle w:val="Maintext"/>
      </w:pPr>
      <w:r>
        <w:t>In terms of property type and age, dissatisfaction was highest amongst respond</w:t>
      </w:r>
      <w:r w:rsidR="00CC48F8">
        <w:t>ents living in maisonettes (</w:t>
      </w:r>
      <w:r w:rsidR="002A44D8">
        <w:t>22.1</w:t>
      </w:r>
      <w:r>
        <w:t>%</w:t>
      </w:r>
      <w:r w:rsidR="00CC48F8">
        <w:t>)</w:t>
      </w:r>
      <w:r>
        <w:t xml:space="preserve">; and amongst residents in properties built </w:t>
      </w:r>
      <w:r w:rsidR="00CC48F8">
        <w:t xml:space="preserve">between </w:t>
      </w:r>
      <w:r>
        <w:t>1919</w:t>
      </w:r>
      <w:r w:rsidR="00CC48F8">
        <w:t xml:space="preserve"> and 1944 (6.5</w:t>
      </w:r>
      <w:r>
        <w:t xml:space="preserve">%). </w:t>
      </w:r>
    </w:p>
    <w:p w:rsidR="00BE4B05" w:rsidRDefault="00BE4B05" w:rsidP="00BE4B05">
      <w:pPr>
        <w:pStyle w:val="Maintext"/>
        <w:rPr>
          <w:lang w:val="en-US"/>
        </w:rPr>
      </w:pPr>
      <w:r>
        <w:rPr>
          <w:lang w:val="en-US"/>
        </w:rPr>
        <w:t xml:space="preserve">Stock condition was raised as a concern both in respect of some of the County’s private rented sector stock and its older housing stock. Whilst some private landlords provide decent housing many do not, with several stakeholders feeling that the sector is too big and dominates some of the poorer housing areas. </w:t>
      </w:r>
    </w:p>
    <w:p w:rsidR="00BE4B05" w:rsidRDefault="00BE4B05" w:rsidP="00BE4B05">
      <w:pPr>
        <w:pStyle w:val="Maintext"/>
        <w:rPr>
          <w:lang w:val="en-US"/>
        </w:rPr>
      </w:pPr>
      <w:r>
        <w:rPr>
          <w:lang w:val="en-US"/>
        </w:rPr>
        <w:t xml:space="preserve">Decency within the affordable housing sector was not identified as an issue, with all contributing providers generally meeting the decent homes standard. </w:t>
      </w:r>
    </w:p>
    <w:p w:rsidR="00FB6F89" w:rsidRDefault="00FB6F89" w:rsidP="002204AD">
      <w:pPr>
        <w:rPr>
          <w:b/>
        </w:rPr>
      </w:pPr>
    </w:p>
    <w:p w:rsidR="003A6F13" w:rsidRDefault="0081547A" w:rsidP="004D2F35">
      <w:r>
        <w:rPr>
          <w:b/>
        </w:rPr>
        <w:br w:type="page"/>
      </w:r>
      <w:r w:rsidR="00155C1E">
        <w:rPr>
          <w:b/>
        </w:rPr>
        <w:t>Table 4.4</w:t>
      </w:r>
      <w:r w:rsidR="003A6F13">
        <w:rPr>
          <w:b/>
        </w:rPr>
        <w:tab/>
      </w:r>
      <w:r w:rsidR="003A6F13">
        <w:t xml:space="preserve">Dissatisfaction </w:t>
      </w:r>
      <w:r w:rsidR="004D2F35">
        <w:t xml:space="preserve">of </w:t>
      </w:r>
      <w:r w:rsidR="00CC48F8">
        <w:t>quality of accommodation</w:t>
      </w:r>
      <w:r w:rsidR="003A6F13">
        <w:t xml:space="preserve"> by </w:t>
      </w:r>
      <w:r w:rsidR="00B440F0">
        <w:t>delivery area</w:t>
      </w:r>
    </w:p>
    <w:tbl>
      <w:tblPr>
        <w:tblW w:w="6681" w:type="dxa"/>
        <w:tblInd w:w="96" w:type="dxa"/>
        <w:tblLook w:val="04A0" w:firstRow="1" w:lastRow="0" w:firstColumn="1" w:lastColumn="0" w:noHBand="0" w:noVBand="1"/>
      </w:tblPr>
      <w:tblGrid>
        <w:gridCol w:w="2800"/>
        <w:gridCol w:w="1381"/>
        <w:gridCol w:w="1560"/>
        <w:gridCol w:w="940"/>
      </w:tblGrid>
      <w:tr w:rsidR="004D2F35" w:rsidRPr="004D2F35" w:rsidTr="004D2F35">
        <w:trPr>
          <w:trHeight w:val="255"/>
        </w:trPr>
        <w:tc>
          <w:tcPr>
            <w:tcW w:w="280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rPr>
                <w:rFonts w:cs="Arial"/>
                <w:b/>
                <w:bCs/>
                <w:color w:val="FFFFFF"/>
                <w:sz w:val="20"/>
                <w:szCs w:val="20"/>
                <w:lang w:eastAsia="en-GB"/>
              </w:rPr>
            </w:pPr>
            <w:r w:rsidRPr="004D2F35">
              <w:rPr>
                <w:rFonts w:cs="Arial"/>
                <w:b/>
                <w:bCs/>
                <w:color w:val="FFFFFF"/>
                <w:sz w:val="20"/>
                <w:szCs w:val="20"/>
                <w:lang w:eastAsia="en-GB"/>
              </w:rPr>
              <w:t>Delivery area</w:t>
            </w:r>
          </w:p>
        </w:tc>
        <w:tc>
          <w:tcPr>
            <w:tcW w:w="1381" w:type="dxa"/>
            <w:tcBorders>
              <w:top w:val="single" w:sz="4" w:space="0" w:color="auto"/>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 Dissatisfied</w:t>
            </w:r>
          </w:p>
        </w:tc>
        <w:tc>
          <w:tcPr>
            <w:tcW w:w="1560" w:type="dxa"/>
            <w:tcBorders>
              <w:top w:val="single" w:sz="4" w:space="0" w:color="auto"/>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No. Dissatisfied</w:t>
            </w:r>
          </w:p>
        </w:tc>
        <w:tc>
          <w:tcPr>
            <w:tcW w:w="940" w:type="dxa"/>
            <w:tcBorders>
              <w:top w:val="single" w:sz="4" w:space="0" w:color="auto"/>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Base</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North Durham</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2.5</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1512</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60151</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Central Durham</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4.2</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1805</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42905</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East Durham</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7.3</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3026</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41416</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The Dales</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3.4</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503</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14811</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South Durham</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3.5</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2240</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64520</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b/>
                <w:bCs/>
                <w:sz w:val="20"/>
                <w:szCs w:val="20"/>
                <w:lang w:eastAsia="en-GB"/>
              </w:rPr>
            </w:pPr>
            <w:r w:rsidRPr="004D2F35">
              <w:rPr>
                <w:rFonts w:cs="Arial"/>
                <w:b/>
                <w:bCs/>
                <w:sz w:val="20"/>
                <w:szCs w:val="20"/>
                <w:lang w:eastAsia="en-GB"/>
              </w:rPr>
              <w:t>Co. Durham</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4.1</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9086</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223803</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rPr>
                <w:rFonts w:cs="Arial"/>
                <w:b/>
                <w:bCs/>
                <w:color w:val="FFFFFF"/>
                <w:sz w:val="20"/>
                <w:szCs w:val="20"/>
                <w:lang w:eastAsia="en-GB"/>
              </w:rPr>
            </w:pPr>
            <w:r w:rsidRPr="004D2F35">
              <w:rPr>
                <w:rFonts w:cs="Arial"/>
                <w:b/>
                <w:bCs/>
                <w:color w:val="FFFFFF"/>
                <w:sz w:val="20"/>
                <w:szCs w:val="20"/>
                <w:lang w:eastAsia="en-GB"/>
              </w:rPr>
              <w:t>Tenure</w:t>
            </w:r>
          </w:p>
        </w:tc>
        <w:tc>
          <w:tcPr>
            <w:tcW w:w="1381"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 Dissatisfied</w:t>
            </w:r>
          </w:p>
        </w:tc>
        <w:tc>
          <w:tcPr>
            <w:tcW w:w="1560"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No. Dissatisfied</w:t>
            </w:r>
          </w:p>
        </w:tc>
        <w:tc>
          <w:tcPr>
            <w:tcW w:w="940"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Base</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Owned (no mortgage)</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0.7</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557</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79618</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Owned (with mortgage</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2.4</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1648</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67729</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Social rented</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7.6</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3439</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45082</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Rented privately</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11.1</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3442</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30964</w:t>
            </w:r>
          </w:p>
        </w:tc>
      </w:tr>
      <w:tr w:rsidR="004D2F35" w:rsidRPr="004D2F35" w:rsidTr="004D2F35">
        <w:trPr>
          <w:trHeight w:val="765"/>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Shared ownership, shared equity, discounted for sale, low cost home ownership</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0.0</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0</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410</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b/>
                <w:bCs/>
                <w:sz w:val="20"/>
                <w:szCs w:val="20"/>
                <w:lang w:eastAsia="en-GB"/>
              </w:rPr>
            </w:pPr>
            <w:r w:rsidRPr="004D2F35">
              <w:rPr>
                <w:rFonts w:cs="Arial"/>
                <w:b/>
                <w:bCs/>
                <w:sz w:val="20"/>
                <w:szCs w:val="20"/>
                <w:lang w:eastAsia="en-GB"/>
              </w:rPr>
              <w:t>Total</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4.1</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9086</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223803</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rPr>
                <w:rFonts w:cs="Arial"/>
                <w:b/>
                <w:bCs/>
                <w:color w:val="FFFFFF"/>
                <w:sz w:val="20"/>
                <w:szCs w:val="20"/>
                <w:lang w:eastAsia="en-GB"/>
              </w:rPr>
            </w:pPr>
            <w:r w:rsidRPr="004D2F35">
              <w:rPr>
                <w:rFonts w:cs="Arial"/>
                <w:b/>
                <w:bCs/>
                <w:color w:val="FFFFFF"/>
                <w:sz w:val="20"/>
                <w:szCs w:val="20"/>
                <w:lang w:eastAsia="en-GB"/>
              </w:rPr>
              <w:t>Property type</w:t>
            </w:r>
          </w:p>
        </w:tc>
        <w:tc>
          <w:tcPr>
            <w:tcW w:w="1381"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 Dissatisfied</w:t>
            </w:r>
          </w:p>
        </w:tc>
        <w:tc>
          <w:tcPr>
            <w:tcW w:w="1560"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No. Dissatisfied</w:t>
            </w:r>
          </w:p>
        </w:tc>
        <w:tc>
          <w:tcPr>
            <w:tcW w:w="940"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Base</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Detached house</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1.7</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681</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39544</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Semi-detached house</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4.2</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2939</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70642</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Terraced house</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4.4</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2874</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65995</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Bungalow</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4.6</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1548</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33974</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Maisonette</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22.1</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101</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456</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Flat/apartment</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8.1</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858</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10597</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Caravan/Park Home</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4.6</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15</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329</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Other</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1.9</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15</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771</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b/>
                <w:bCs/>
                <w:sz w:val="20"/>
                <w:szCs w:val="20"/>
                <w:lang w:eastAsia="en-GB"/>
              </w:rPr>
            </w:pPr>
            <w:r w:rsidRPr="004D2F35">
              <w:rPr>
                <w:rFonts w:cs="Arial"/>
                <w:b/>
                <w:bCs/>
                <w:sz w:val="20"/>
                <w:szCs w:val="20"/>
                <w:lang w:eastAsia="en-GB"/>
              </w:rPr>
              <w:t>Total</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4.1</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9031</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222308</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rPr>
                <w:rFonts w:cs="Arial"/>
                <w:b/>
                <w:bCs/>
                <w:color w:val="FFFFFF"/>
                <w:sz w:val="20"/>
                <w:szCs w:val="20"/>
                <w:lang w:eastAsia="en-GB"/>
              </w:rPr>
            </w:pPr>
            <w:r w:rsidRPr="004D2F35">
              <w:rPr>
                <w:rFonts w:cs="Arial"/>
                <w:b/>
                <w:bCs/>
                <w:color w:val="FFFFFF"/>
                <w:sz w:val="20"/>
                <w:szCs w:val="20"/>
                <w:lang w:eastAsia="en-GB"/>
              </w:rPr>
              <w:t>Property age</w:t>
            </w:r>
          </w:p>
        </w:tc>
        <w:tc>
          <w:tcPr>
            <w:tcW w:w="1381"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 </w:t>
            </w:r>
          </w:p>
        </w:tc>
        <w:tc>
          <w:tcPr>
            <w:tcW w:w="1560"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No. Dissatisfied</w:t>
            </w:r>
          </w:p>
        </w:tc>
        <w:tc>
          <w:tcPr>
            <w:tcW w:w="940" w:type="dxa"/>
            <w:tcBorders>
              <w:top w:val="nil"/>
              <w:left w:val="nil"/>
              <w:bottom w:val="single" w:sz="4" w:space="0" w:color="auto"/>
              <w:right w:val="single" w:sz="4" w:space="0" w:color="auto"/>
            </w:tcBorders>
            <w:shd w:val="clear" w:color="000000" w:fill="008080"/>
            <w:noWrap/>
            <w:vAlign w:val="bottom"/>
            <w:hideMark/>
          </w:tcPr>
          <w:p w:rsidR="004D2F35" w:rsidRPr="004D2F35" w:rsidRDefault="004D2F35" w:rsidP="004D2F35">
            <w:pPr>
              <w:spacing w:before="0" w:after="0"/>
              <w:jc w:val="center"/>
              <w:rPr>
                <w:rFonts w:cs="Arial"/>
                <w:b/>
                <w:bCs/>
                <w:color w:val="FFFFFF"/>
                <w:sz w:val="20"/>
                <w:szCs w:val="20"/>
                <w:lang w:eastAsia="en-GB"/>
              </w:rPr>
            </w:pPr>
            <w:r w:rsidRPr="004D2F35">
              <w:rPr>
                <w:rFonts w:cs="Arial"/>
                <w:b/>
                <w:bCs/>
                <w:color w:val="FFFFFF"/>
                <w:sz w:val="20"/>
                <w:szCs w:val="20"/>
                <w:lang w:eastAsia="en-GB"/>
              </w:rPr>
              <w:t>Base</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Pre 1919</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3.9</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1416</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36393</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1919-1944</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6.5</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2200</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34100</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1945-1964</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5.3</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2405</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45027</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1965-1984</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2.4</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1148</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47802</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1985-2004</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1.8</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543</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30863</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sz w:val="20"/>
                <w:szCs w:val="20"/>
                <w:lang w:eastAsia="en-GB"/>
              </w:rPr>
            </w:pPr>
            <w:r w:rsidRPr="004D2F35">
              <w:rPr>
                <w:rFonts w:cs="Arial"/>
                <w:sz w:val="20"/>
                <w:szCs w:val="20"/>
                <w:lang w:eastAsia="en-GB"/>
              </w:rPr>
              <w:t>2005 onwards</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0.7</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91</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sz w:val="20"/>
                <w:szCs w:val="20"/>
                <w:lang w:eastAsia="en-GB"/>
              </w:rPr>
            </w:pPr>
            <w:r w:rsidRPr="004D2F35">
              <w:rPr>
                <w:rFonts w:cs="Arial"/>
                <w:sz w:val="20"/>
                <w:szCs w:val="20"/>
                <w:lang w:eastAsia="en-GB"/>
              </w:rPr>
              <w:t>12987</w:t>
            </w:r>
          </w:p>
        </w:tc>
      </w:tr>
      <w:tr w:rsidR="004D2F35" w:rsidRPr="004D2F35" w:rsidTr="004D2F35">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rPr>
                <w:rFonts w:cs="Arial"/>
                <w:b/>
                <w:bCs/>
                <w:sz w:val="20"/>
                <w:szCs w:val="20"/>
                <w:lang w:eastAsia="en-GB"/>
              </w:rPr>
            </w:pPr>
            <w:r w:rsidRPr="004D2F35">
              <w:rPr>
                <w:rFonts w:cs="Arial"/>
                <w:b/>
                <w:bCs/>
                <w:sz w:val="20"/>
                <w:szCs w:val="20"/>
                <w:lang w:eastAsia="en-GB"/>
              </w:rPr>
              <w:t>Total</w:t>
            </w:r>
          </w:p>
        </w:tc>
        <w:tc>
          <w:tcPr>
            <w:tcW w:w="1381"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4.1</w:t>
            </w:r>
          </w:p>
        </w:tc>
        <w:tc>
          <w:tcPr>
            <w:tcW w:w="156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9031</w:t>
            </w:r>
          </w:p>
        </w:tc>
        <w:tc>
          <w:tcPr>
            <w:tcW w:w="940" w:type="dxa"/>
            <w:tcBorders>
              <w:top w:val="nil"/>
              <w:left w:val="nil"/>
              <w:bottom w:val="single" w:sz="4" w:space="0" w:color="auto"/>
              <w:right w:val="single" w:sz="4" w:space="0" w:color="auto"/>
            </w:tcBorders>
            <w:shd w:val="clear" w:color="auto" w:fill="auto"/>
            <w:noWrap/>
            <w:vAlign w:val="bottom"/>
            <w:hideMark/>
          </w:tcPr>
          <w:p w:rsidR="004D2F35" w:rsidRPr="004D2F35" w:rsidRDefault="004D2F35" w:rsidP="004D2F35">
            <w:pPr>
              <w:spacing w:before="0" w:after="0"/>
              <w:jc w:val="center"/>
              <w:rPr>
                <w:rFonts w:cs="Arial"/>
                <w:b/>
                <w:bCs/>
                <w:sz w:val="20"/>
                <w:szCs w:val="20"/>
                <w:lang w:eastAsia="en-GB"/>
              </w:rPr>
            </w:pPr>
            <w:r w:rsidRPr="004D2F35">
              <w:rPr>
                <w:rFonts w:cs="Arial"/>
                <w:b/>
                <w:bCs/>
                <w:sz w:val="20"/>
                <w:szCs w:val="20"/>
                <w:lang w:eastAsia="en-GB"/>
              </w:rPr>
              <w:t>222308</w:t>
            </w:r>
          </w:p>
        </w:tc>
      </w:tr>
    </w:tbl>
    <w:p w:rsidR="00AF5AC8" w:rsidRPr="00726CA8" w:rsidRDefault="003B7B36" w:rsidP="00726CA8">
      <w:pPr>
        <w:rPr>
          <w:sz w:val="20"/>
          <w:szCs w:val="20"/>
        </w:rPr>
      </w:pPr>
      <w:r>
        <w:rPr>
          <w:sz w:val="20"/>
          <w:szCs w:val="20"/>
        </w:rPr>
        <w:t>Source: 2012 Household Survey</w:t>
      </w:r>
      <w:r w:rsidR="002A44D8">
        <w:rPr>
          <w:sz w:val="20"/>
          <w:szCs w:val="20"/>
        </w:rPr>
        <w:t>, rebased to 2011 Census</w:t>
      </w:r>
    </w:p>
    <w:p w:rsidR="004D2F35" w:rsidRDefault="004D2F35">
      <w:pPr>
        <w:ind w:firstLine="709"/>
        <w:rPr>
          <w:b/>
        </w:rPr>
      </w:pPr>
    </w:p>
    <w:p w:rsidR="003A6F13" w:rsidRDefault="003A6F13">
      <w:pPr>
        <w:ind w:firstLine="709"/>
        <w:rPr>
          <w:b/>
        </w:rPr>
      </w:pPr>
      <w:r>
        <w:rPr>
          <w:b/>
        </w:rPr>
        <w:t>Property tenure</w:t>
      </w:r>
    </w:p>
    <w:p w:rsidR="003A6F13" w:rsidRDefault="003A6F13">
      <w:pPr>
        <w:pStyle w:val="Maintext"/>
      </w:pPr>
      <w:r>
        <w:t xml:space="preserve">The tenure profile of </w:t>
      </w:r>
      <w:r w:rsidR="00320E29">
        <w:t>County Durham</w:t>
      </w:r>
      <w:r w:rsidR="00FB6F89">
        <w:t xml:space="preserve"> </w:t>
      </w:r>
      <w:r>
        <w:t>is summarised in Figure 4.3.  Overa</w:t>
      </w:r>
      <w:r w:rsidR="000A566F">
        <w:t>ll</w:t>
      </w:r>
      <w:r w:rsidR="00D120C3">
        <w:t xml:space="preserve">, based on survey evidence, </w:t>
      </w:r>
      <w:r w:rsidR="007C0CCE">
        <w:t>65.8</w:t>
      </w:r>
      <w:r>
        <w:t>% of occupied dw</w:t>
      </w:r>
      <w:r w:rsidR="000A566F">
        <w:t>ellings are own</w:t>
      </w:r>
      <w:r w:rsidR="00320E29">
        <w:t xml:space="preserve">er-occupied, 20.3% are social rented, </w:t>
      </w:r>
      <w:r w:rsidR="007C0CCE">
        <w:t>13.8</w:t>
      </w:r>
      <w:r w:rsidR="00D120C3">
        <w:t xml:space="preserve">% are private rented, </w:t>
      </w:r>
      <w:r w:rsidR="00927B72">
        <w:t xml:space="preserve">and </w:t>
      </w:r>
      <w:r w:rsidR="007C0CCE">
        <w:t>0.2</w:t>
      </w:r>
      <w:r>
        <w:t xml:space="preserve">% are intermediate tenure (e.g. shared ownership). </w:t>
      </w:r>
    </w:p>
    <w:p w:rsidR="000A566F" w:rsidRDefault="000A566F">
      <w:pPr>
        <w:ind w:left="709"/>
        <w:rPr>
          <w:b/>
        </w:rPr>
      </w:pPr>
    </w:p>
    <w:p w:rsidR="004B2B95" w:rsidRDefault="004B2B95">
      <w:pPr>
        <w:spacing w:before="0" w:after="0"/>
        <w:rPr>
          <w:b/>
        </w:rPr>
      </w:pPr>
      <w:r>
        <w:rPr>
          <w:b/>
        </w:rPr>
        <w:br w:type="page"/>
      </w:r>
    </w:p>
    <w:p w:rsidR="003A6F13" w:rsidRDefault="003A6F13" w:rsidP="00726CA8">
      <w:pPr>
        <w:ind w:firstLine="709"/>
      </w:pPr>
      <w:r>
        <w:rPr>
          <w:b/>
        </w:rPr>
        <w:t>Figure 4.3</w:t>
      </w:r>
      <w:r>
        <w:tab/>
      </w:r>
      <w:r w:rsidR="00320E29">
        <w:t>T</w:t>
      </w:r>
      <w:r>
        <w:t>enure profile</w:t>
      </w:r>
      <w:r w:rsidR="000A566F">
        <w:t xml:space="preserve"> of occupied dwellings</w:t>
      </w:r>
      <w:r w:rsidR="00320E29">
        <w:t xml:space="preserve"> in County Durham</w:t>
      </w:r>
    </w:p>
    <w:p w:rsidR="003A6F13" w:rsidRDefault="004B2B95">
      <w:pPr>
        <w:ind w:left="709"/>
      </w:pPr>
      <w:r w:rsidRPr="004B2B95">
        <w:rPr>
          <w:noProof/>
          <w:lang w:eastAsia="en-GB"/>
        </w:rPr>
        <w:drawing>
          <wp:inline distT="0" distB="0" distL="0" distR="0">
            <wp:extent cx="5420575" cy="3327186"/>
            <wp:effectExtent l="19050" t="0" r="867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425620" cy="3330283"/>
                    </a:xfrm>
                    <a:prstGeom prst="rect">
                      <a:avLst/>
                    </a:prstGeom>
                    <a:noFill/>
                    <a:ln w="9525">
                      <a:noFill/>
                      <a:miter lim="800000"/>
                      <a:headEnd/>
                      <a:tailEnd/>
                    </a:ln>
                  </pic:spPr>
                </pic:pic>
              </a:graphicData>
            </a:graphic>
          </wp:inline>
        </w:drawing>
      </w:r>
    </w:p>
    <w:p w:rsidR="003A6F13" w:rsidRDefault="00320E29" w:rsidP="004B2B95">
      <w:pPr>
        <w:ind w:left="709"/>
        <w:rPr>
          <w:sz w:val="20"/>
          <w:szCs w:val="20"/>
        </w:rPr>
      </w:pPr>
      <w:r>
        <w:rPr>
          <w:sz w:val="20"/>
          <w:szCs w:val="20"/>
        </w:rPr>
        <w:t>Source: 2012</w:t>
      </w:r>
      <w:r w:rsidR="00E54933">
        <w:rPr>
          <w:sz w:val="20"/>
          <w:szCs w:val="20"/>
        </w:rPr>
        <w:t xml:space="preserve"> Household Survey</w:t>
      </w:r>
      <w:r w:rsidR="004B2B95">
        <w:rPr>
          <w:sz w:val="20"/>
          <w:szCs w:val="20"/>
        </w:rPr>
        <w:t xml:space="preserve"> rebased to 2011 Census</w:t>
      </w:r>
      <w:r w:rsidR="00726CA8">
        <w:rPr>
          <w:sz w:val="20"/>
          <w:szCs w:val="20"/>
        </w:rPr>
        <w:t>; Durham Key Options social rented dwelling database</w:t>
      </w:r>
    </w:p>
    <w:p w:rsidR="000A566F" w:rsidRDefault="000A566F">
      <w:pPr>
        <w:rPr>
          <w:b/>
        </w:rPr>
      </w:pPr>
    </w:p>
    <w:p w:rsidR="003A6F13" w:rsidRDefault="00320E29" w:rsidP="007C0CCE">
      <w:pPr>
        <w:pStyle w:val="Maintext"/>
      </w:pPr>
      <w:r>
        <w:t>The t</w:t>
      </w:r>
      <w:r w:rsidR="002D6654">
        <w:t xml:space="preserve">enure profile varies </w:t>
      </w:r>
      <w:r>
        <w:t xml:space="preserve">by </w:t>
      </w:r>
      <w:r w:rsidR="007C0CCE">
        <w:t xml:space="preserve">delivery </w:t>
      </w:r>
      <w:r w:rsidR="0083534C">
        <w:t>area</w:t>
      </w:r>
      <w:r>
        <w:t xml:space="preserve"> </w:t>
      </w:r>
      <w:r w:rsidR="003A6F13">
        <w:t xml:space="preserve">(Figure 4.4).  </w:t>
      </w:r>
      <w:r w:rsidR="000A566F">
        <w:t xml:space="preserve">The proportion of </w:t>
      </w:r>
      <w:r w:rsidR="001A68A7">
        <w:t xml:space="preserve">occupied households living in </w:t>
      </w:r>
      <w:r w:rsidR="000A566F">
        <w:t>owner occupied dwellings</w:t>
      </w:r>
      <w:r>
        <w:t xml:space="preserve"> </w:t>
      </w:r>
      <w:r w:rsidR="007C0CCE">
        <w:t xml:space="preserve">is highest in The Dales, at 69.7%. </w:t>
      </w:r>
      <w:r>
        <w:t xml:space="preserve">The proportion of occupied households </w:t>
      </w:r>
      <w:r w:rsidR="001A68A7">
        <w:t xml:space="preserve">who are social renters is highest in </w:t>
      </w:r>
      <w:r w:rsidR="007C0CCE">
        <w:t>East</w:t>
      </w:r>
      <w:r w:rsidR="00D42388">
        <w:t xml:space="preserve"> Durham</w:t>
      </w:r>
      <w:r w:rsidR="001A68A7">
        <w:t xml:space="preserve"> (</w:t>
      </w:r>
      <w:r w:rsidR="007C0CCE">
        <w:t>22.8%) and South Durham (22.4%)</w:t>
      </w:r>
      <w:r w:rsidR="001A68A7">
        <w:t>. P</w:t>
      </w:r>
      <w:r w:rsidR="003932E7">
        <w:t xml:space="preserve">rivate renting is highest in </w:t>
      </w:r>
      <w:r w:rsidR="007C0CCE">
        <w:t>The Dales</w:t>
      </w:r>
      <w:r w:rsidR="001A68A7">
        <w:t xml:space="preserve"> (</w:t>
      </w:r>
      <w:r w:rsidR="007C0CCE">
        <w:t>17.8</w:t>
      </w:r>
      <w:r w:rsidR="001A68A7">
        <w:t>%).</w:t>
      </w:r>
    </w:p>
    <w:p w:rsidR="007C0CCE" w:rsidRPr="000A566F" w:rsidRDefault="007C0CCE" w:rsidP="007C0CCE">
      <w:pPr>
        <w:pStyle w:val="Maintext"/>
        <w:sectPr w:rsidR="007C0CCE" w:rsidRPr="000A566F" w:rsidSect="009445F7">
          <w:pgSz w:w="11907" w:h="16840" w:code="9"/>
          <w:pgMar w:top="1304" w:right="1304" w:bottom="1559" w:left="1304" w:header="720" w:footer="567" w:gutter="0"/>
          <w:cols w:space="708"/>
          <w:noEndnote/>
          <w:docGrid w:linePitch="261"/>
        </w:sectPr>
      </w:pPr>
    </w:p>
    <w:p w:rsidR="003A6F13" w:rsidRDefault="003A6F13">
      <w:pPr>
        <w:rPr>
          <w:b/>
        </w:rPr>
      </w:pPr>
    </w:p>
    <w:p w:rsidR="003B7B36" w:rsidRDefault="00CF5794">
      <w:r>
        <w:rPr>
          <w:b/>
        </w:rPr>
        <w:t>Figure</w:t>
      </w:r>
      <w:r w:rsidR="007C0CCE">
        <w:rPr>
          <w:b/>
        </w:rPr>
        <w:t xml:space="preserve"> 4.4</w:t>
      </w:r>
      <w:r w:rsidR="007C0CCE">
        <w:rPr>
          <w:b/>
        </w:rPr>
        <w:tab/>
      </w:r>
      <w:r>
        <w:rPr>
          <w:b/>
        </w:rPr>
        <w:t xml:space="preserve"> </w:t>
      </w:r>
      <w:r>
        <w:t xml:space="preserve">Tenure profile by </w:t>
      </w:r>
      <w:r w:rsidR="00B440F0">
        <w:t>delivery area</w:t>
      </w:r>
    </w:p>
    <w:p w:rsidR="0021263D" w:rsidRDefault="007C0CCE" w:rsidP="0021263D">
      <w:pPr>
        <w:rPr>
          <w:b/>
        </w:rPr>
      </w:pPr>
      <w:r w:rsidRPr="007C0CCE">
        <w:rPr>
          <w:noProof/>
          <w:lang w:eastAsia="en-GB"/>
        </w:rPr>
        <w:drawing>
          <wp:inline distT="0" distB="0" distL="0" distR="0">
            <wp:extent cx="8336915" cy="4141470"/>
            <wp:effectExtent l="1905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8336915" cy="4141470"/>
                    </a:xfrm>
                    <a:prstGeom prst="rect">
                      <a:avLst/>
                    </a:prstGeom>
                    <a:noFill/>
                    <a:ln w="9525">
                      <a:noFill/>
                      <a:miter lim="800000"/>
                      <a:headEnd/>
                      <a:tailEnd/>
                    </a:ln>
                  </pic:spPr>
                </pic:pic>
              </a:graphicData>
            </a:graphic>
          </wp:inline>
        </w:drawing>
      </w:r>
    </w:p>
    <w:p w:rsidR="007C0CCE" w:rsidRPr="007C0CCE" w:rsidRDefault="007C0CCE" w:rsidP="0021263D">
      <w:pPr>
        <w:rPr>
          <w:sz w:val="20"/>
          <w:szCs w:val="20"/>
        </w:rPr>
      </w:pPr>
      <w:r>
        <w:rPr>
          <w:sz w:val="20"/>
          <w:szCs w:val="20"/>
        </w:rPr>
        <w:t>Source: 2012 Household Survey rebased to 2011 Census</w:t>
      </w:r>
    </w:p>
    <w:p w:rsidR="003A6F13" w:rsidRDefault="003A6F13">
      <w:pPr>
        <w:rPr>
          <w:sz w:val="20"/>
        </w:rPr>
      </w:pPr>
    </w:p>
    <w:p w:rsidR="003A6F13" w:rsidRDefault="003A6F13">
      <w:pPr>
        <w:rPr>
          <w:b/>
        </w:rPr>
        <w:sectPr w:rsidR="003A6F13" w:rsidSect="009445F7">
          <w:pgSz w:w="16840" w:h="11907" w:orient="landscape" w:code="9"/>
          <w:pgMar w:top="1304" w:right="1559" w:bottom="1304" w:left="1304" w:header="720" w:footer="567" w:gutter="0"/>
          <w:cols w:space="708"/>
          <w:noEndnote/>
          <w:docGrid w:linePitch="326"/>
        </w:sectPr>
      </w:pPr>
    </w:p>
    <w:p w:rsidR="003A6F13" w:rsidRDefault="003A6F13">
      <w:pPr>
        <w:pStyle w:val="Heading2"/>
        <w:ind w:left="2880" w:hanging="2171"/>
      </w:pPr>
      <w:bookmarkStart w:id="93" w:name="_Toc225941538"/>
      <w:bookmarkStart w:id="94" w:name="_Toc333507760"/>
      <w:r>
        <w:t xml:space="preserve">Core Output 2: </w:t>
      </w:r>
      <w:r>
        <w:tab/>
        <w:t>Past and current housing market trends; balance between supply and demand; key drivers</w:t>
      </w:r>
      <w:bookmarkEnd w:id="93"/>
      <w:bookmarkEnd w:id="94"/>
    </w:p>
    <w:p w:rsidR="003A6F13" w:rsidRDefault="003A6F13"/>
    <w:p w:rsidR="003A6F13" w:rsidRDefault="003A6F13" w:rsidP="005922DD">
      <w:pPr>
        <w:pStyle w:val="Heading3"/>
      </w:pPr>
      <w:r>
        <w:tab/>
        <w:t>Total dwelling stock</w:t>
      </w:r>
      <w:r w:rsidR="00BE4B05">
        <w:t xml:space="preserve"> and current provision</w:t>
      </w:r>
    </w:p>
    <w:p w:rsidR="003A6F13" w:rsidRDefault="003A6F13">
      <w:pPr>
        <w:pStyle w:val="Maintext"/>
      </w:pPr>
      <w:r>
        <w:t xml:space="preserve">There are currently a total of </w:t>
      </w:r>
      <w:r w:rsidR="00D14673">
        <w:t>236,082</w:t>
      </w:r>
      <w:r>
        <w:t xml:space="preserve"> residential dwellings </w:t>
      </w:r>
      <w:r w:rsidR="008F4B67">
        <w:t xml:space="preserve">across </w:t>
      </w:r>
      <w:r w:rsidR="004B576D">
        <w:t xml:space="preserve">County Durham </w:t>
      </w:r>
      <w:r>
        <w:t xml:space="preserve">of which </w:t>
      </w:r>
      <w:r w:rsidR="00D14673">
        <w:t>223,803</w:t>
      </w:r>
      <w:r>
        <w:t xml:space="preserve"> are occupied by individual </w:t>
      </w:r>
      <w:r w:rsidR="00A54BE7">
        <w:t>households</w:t>
      </w:r>
      <w:r>
        <w:rPr>
          <w:vertAlign w:val="superscript"/>
        </w:rPr>
        <w:footnoteReference w:id="14"/>
      </w:r>
      <w:r>
        <w:t xml:space="preserve">. The total number of dwellings has increased from </w:t>
      </w:r>
      <w:r w:rsidR="004B576D">
        <w:t>221,349</w:t>
      </w:r>
      <w:r>
        <w:t xml:space="preserve"> in </w:t>
      </w:r>
      <w:r w:rsidR="00421A6B">
        <w:t>2001</w:t>
      </w:r>
      <w:r>
        <w:rPr>
          <w:rStyle w:val="FootnoteReference"/>
        </w:rPr>
        <w:footnoteReference w:id="15"/>
      </w:r>
      <w:r>
        <w:t xml:space="preserve">. </w:t>
      </w:r>
    </w:p>
    <w:p w:rsidR="00521A16" w:rsidRDefault="001E3095">
      <w:pPr>
        <w:pStyle w:val="Maintext"/>
      </w:pPr>
      <w:r>
        <w:t>Table 4.5</w:t>
      </w:r>
      <w:r w:rsidR="00521A16">
        <w:t xml:space="preserve"> shows how the total number of dwellings has changed over the period 2001 to 2011 across County Durham.</w:t>
      </w:r>
    </w:p>
    <w:p w:rsidR="00D14673" w:rsidRDefault="00D14673" w:rsidP="00D14673">
      <w:pPr>
        <w:pStyle w:val="Maintext"/>
        <w:numPr>
          <w:ilvl w:val="0"/>
          <w:numId w:val="0"/>
        </w:numPr>
        <w:ind w:left="709"/>
      </w:pPr>
    </w:p>
    <w:p w:rsidR="00D14673" w:rsidRDefault="001E3095" w:rsidP="00D14673">
      <w:pPr>
        <w:pStyle w:val="Maintext"/>
        <w:numPr>
          <w:ilvl w:val="0"/>
          <w:numId w:val="0"/>
        </w:numPr>
        <w:ind w:left="2160" w:hanging="1451"/>
      </w:pPr>
      <w:r>
        <w:rPr>
          <w:b/>
        </w:rPr>
        <w:t>Table 4.5</w:t>
      </w:r>
      <w:r w:rsidR="00D14673">
        <w:rPr>
          <w:b/>
        </w:rPr>
        <w:tab/>
      </w:r>
      <w:r w:rsidR="00D14673">
        <w:t>Dwelling change over the period 2001 to 2011 across County Durham</w:t>
      </w:r>
    </w:p>
    <w:tbl>
      <w:tblPr>
        <w:tblW w:w="4394" w:type="dxa"/>
        <w:tblInd w:w="817" w:type="dxa"/>
        <w:tblLook w:val="04A0" w:firstRow="1" w:lastRow="0" w:firstColumn="1" w:lastColumn="0" w:noHBand="0" w:noVBand="1"/>
      </w:tblPr>
      <w:tblGrid>
        <w:gridCol w:w="2268"/>
        <w:gridCol w:w="2126"/>
      </w:tblGrid>
      <w:tr w:rsidR="00D14673" w:rsidRPr="00D14673" w:rsidTr="00D14673">
        <w:trPr>
          <w:trHeight w:val="255"/>
        </w:trPr>
        <w:tc>
          <w:tcPr>
            <w:tcW w:w="2268"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D14673" w:rsidRPr="00D14673" w:rsidRDefault="00D14673" w:rsidP="00D14673">
            <w:pPr>
              <w:spacing w:before="0" w:after="0"/>
              <w:jc w:val="center"/>
              <w:rPr>
                <w:rFonts w:cs="Arial"/>
                <w:b/>
                <w:bCs/>
                <w:color w:val="FFFFFF"/>
                <w:sz w:val="20"/>
                <w:szCs w:val="20"/>
                <w:lang w:eastAsia="en-GB"/>
              </w:rPr>
            </w:pPr>
            <w:r w:rsidRPr="00D14673">
              <w:rPr>
                <w:rFonts w:cs="Arial"/>
                <w:b/>
                <w:bCs/>
                <w:color w:val="FFFFFF"/>
                <w:sz w:val="20"/>
                <w:szCs w:val="20"/>
                <w:lang w:eastAsia="en-GB"/>
              </w:rPr>
              <w:t>Year</w:t>
            </w:r>
          </w:p>
        </w:tc>
        <w:tc>
          <w:tcPr>
            <w:tcW w:w="2126" w:type="dxa"/>
            <w:tcBorders>
              <w:top w:val="single" w:sz="4" w:space="0" w:color="auto"/>
              <w:left w:val="nil"/>
              <w:bottom w:val="single" w:sz="4" w:space="0" w:color="auto"/>
              <w:right w:val="single" w:sz="4" w:space="0" w:color="auto"/>
            </w:tcBorders>
            <w:shd w:val="clear" w:color="000000" w:fill="008080"/>
            <w:noWrap/>
            <w:vAlign w:val="bottom"/>
            <w:hideMark/>
          </w:tcPr>
          <w:p w:rsidR="00D14673" w:rsidRPr="00D14673" w:rsidRDefault="00D14673" w:rsidP="00D14673">
            <w:pPr>
              <w:spacing w:before="0" w:after="0"/>
              <w:jc w:val="center"/>
              <w:rPr>
                <w:rFonts w:cs="Arial"/>
                <w:b/>
                <w:bCs/>
                <w:color w:val="FFFFFF"/>
                <w:sz w:val="20"/>
                <w:szCs w:val="20"/>
                <w:lang w:eastAsia="en-GB"/>
              </w:rPr>
            </w:pPr>
            <w:r w:rsidRPr="00D14673">
              <w:rPr>
                <w:rFonts w:cs="Arial"/>
                <w:b/>
                <w:bCs/>
                <w:color w:val="FFFFFF"/>
                <w:sz w:val="20"/>
                <w:szCs w:val="20"/>
                <w:lang w:eastAsia="en-GB"/>
              </w:rPr>
              <w:t>Total Dwellings</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2001</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221,349</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2002</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221</w:t>
            </w:r>
            <w:r>
              <w:rPr>
                <w:rFonts w:cs="Arial"/>
                <w:sz w:val="20"/>
                <w:szCs w:val="20"/>
                <w:lang w:eastAsia="en-GB"/>
              </w:rPr>
              <w:t>,</w:t>
            </w:r>
            <w:r w:rsidRPr="00D14673">
              <w:rPr>
                <w:rFonts w:cs="Arial"/>
                <w:sz w:val="20"/>
                <w:szCs w:val="20"/>
                <w:lang w:eastAsia="en-GB"/>
              </w:rPr>
              <w:t>062</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2003</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221</w:t>
            </w:r>
            <w:r>
              <w:rPr>
                <w:rFonts w:cs="Arial"/>
                <w:sz w:val="20"/>
                <w:szCs w:val="20"/>
                <w:lang w:eastAsia="en-GB"/>
              </w:rPr>
              <w:t>,</w:t>
            </w:r>
            <w:r w:rsidRPr="00D14673">
              <w:rPr>
                <w:rFonts w:cs="Arial"/>
                <w:sz w:val="20"/>
                <w:szCs w:val="20"/>
                <w:lang w:eastAsia="en-GB"/>
              </w:rPr>
              <w:t>558</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2004</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222,456</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2005</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223,739</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2006</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225,836</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2007</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227,991</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2008</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230,415</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2009</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223,087</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2010</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233,190</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2011</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234,465</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Change 2001-11</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13,116</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 change</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5.9</w:t>
            </w:r>
          </w:p>
        </w:tc>
      </w:tr>
      <w:tr w:rsidR="00D14673" w:rsidRPr="00D14673" w:rsidTr="00D14673">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Annual Change</w:t>
            </w:r>
          </w:p>
        </w:tc>
        <w:tc>
          <w:tcPr>
            <w:tcW w:w="2126" w:type="dxa"/>
            <w:tcBorders>
              <w:top w:val="nil"/>
              <w:left w:val="nil"/>
              <w:bottom w:val="single" w:sz="4" w:space="0" w:color="auto"/>
              <w:right w:val="single" w:sz="4" w:space="0" w:color="auto"/>
            </w:tcBorders>
            <w:shd w:val="clear" w:color="auto" w:fill="auto"/>
            <w:noWrap/>
            <w:vAlign w:val="bottom"/>
            <w:hideMark/>
          </w:tcPr>
          <w:p w:rsidR="00D14673" w:rsidRPr="00D14673" w:rsidRDefault="00D14673" w:rsidP="00D14673">
            <w:pPr>
              <w:spacing w:before="0" w:after="0"/>
              <w:jc w:val="center"/>
              <w:rPr>
                <w:rFonts w:cs="Arial"/>
                <w:sz w:val="20"/>
                <w:szCs w:val="20"/>
                <w:lang w:eastAsia="en-GB"/>
              </w:rPr>
            </w:pPr>
            <w:r w:rsidRPr="00D14673">
              <w:rPr>
                <w:rFonts w:cs="Arial"/>
                <w:sz w:val="20"/>
                <w:szCs w:val="20"/>
                <w:lang w:eastAsia="en-GB"/>
              </w:rPr>
              <w:t>1</w:t>
            </w:r>
            <w:r>
              <w:rPr>
                <w:rFonts w:cs="Arial"/>
                <w:sz w:val="20"/>
                <w:szCs w:val="20"/>
                <w:lang w:eastAsia="en-GB"/>
              </w:rPr>
              <w:t>,</w:t>
            </w:r>
            <w:r w:rsidRPr="00D14673">
              <w:rPr>
                <w:rFonts w:cs="Arial"/>
                <w:sz w:val="20"/>
                <w:szCs w:val="20"/>
                <w:lang w:eastAsia="en-GB"/>
              </w:rPr>
              <w:t>312</w:t>
            </w:r>
          </w:p>
        </w:tc>
      </w:tr>
    </w:tbl>
    <w:p w:rsidR="00D14673" w:rsidRPr="00BC7694" w:rsidRDefault="001E3095" w:rsidP="00D14673">
      <w:pPr>
        <w:pStyle w:val="Maintext"/>
        <w:numPr>
          <w:ilvl w:val="0"/>
          <w:numId w:val="0"/>
        </w:numPr>
        <w:ind w:left="2160" w:hanging="1451"/>
        <w:rPr>
          <w:sz w:val="20"/>
          <w:szCs w:val="20"/>
        </w:rPr>
      </w:pPr>
      <w:r w:rsidRPr="001E3095">
        <w:rPr>
          <w:sz w:val="20"/>
          <w:szCs w:val="20"/>
        </w:rPr>
        <w:t>Source: HIP/HSSA</w:t>
      </w:r>
    </w:p>
    <w:p w:rsidR="00D14673" w:rsidRDefault="00D14673" w:rsidP="00D14673">
      <w:pPr>
        <w:pStyle w:val="Maintext"/>
        <w:numPr>
          <w:ilvl w:val="0"/>
          <w:numId w:val="0"/>
        </w:numPr>
        <w:ind w:left="709"/>
      </w:pPr>
    </w:p>
    <w:p w:rsidR="00521A16" w:rsidRDefault="00BC7694" w:rsidP="00BE4B05">
      <w:pPr>
        <w:pStyle w:val="Maintext"/>
        <w:rPr>
          <w:lang w:val="en-US"/>
        </w:rPr>
      </w:pPr>
      <w:r w:rsidRPr="00BC7694">
        <w:rPr>
          <w:lang w:val="en-US"/>
        </w:rPr>
        <w:t>Over the period 2001 to 2011, the total number of dwe</w:t>
      </w:r>
      <w:r w:rsidR="001E3095">
        <w:rPr>
          <w:lang w:val="en-US"/>
        </w:rPr>
        <w:t>l</w:t>
      </w:r>
      <w:r w:rsidRPr="00BC7694">
        <w:rPr>
          <w:lang w:val="en-US"/>
        </w:rPr>
        <w:t>lings has increased by 13,116 representing an annual increase of 1,312 dwellings</w:t>
      </w:r>
      <w:r>
        <w:rPr>
          <w:lang w:val="en-US"/>
        </w:rPr>
        <w:t>.</w:t>
      </w:r>
    </w:p>
    <w:p w:rsidR="00BE4B05" w:rsidRDefault="00BE4B05" w:rsidP="00BE4B05">
      <w:pPr>
        <w:pStyle w:val="Maintext"/>
        <w:rPr>
          <w:lang w:val="en-US"/>
        </w:rPr>
      </w:pPr>
      <w:r>
        <w:rPr>
          <w:lang w:val="en-US"/>
        </w:rPr>
        <w:t xml:space="preserve">In terms of current provision, many stakeholders identified the traditional nature of housing provision across both the County and the Region as a problem. There are high levels of poor quality, older terraced housing built to house workers from the former coalfields. This housing is frequently in poor condition, is not energy efficient, and generally no longer meets needs and aspirations. Overall, the quality of the County’s housing stock was felt to be poor, un-aspirational and limiting to economic growth. </w:t>
      </w:r>
    </w:p>
    <w:p w:rsidR="00BE4B05" w:rsidRDefault="00BE4B05" w:rsidP="00BE4B05">
      <w:pPr>
        <w:pStyle w:val="Maintext"/>
        <w:rPr>
          <w:lang w:val="en-US"/>
        </w:rPr>
      </w:pPr>
      <w:r>
        <w:rPr>
          <w:lang w:val="en-US"/>
        </w:rPr>
        <w:t>Whilst recognising the need to regenerate former coalfield communities and areas in decline, there was concern that this was being prioritised to the detriment of economic growth. Many stakeholders, including land owners, agents and developers, felt that proactive and strategic action needed to be taken as a matter of urgency by the Council to:</w:t>
      </w:r>
    </w:p>
    <w:p w:rsidR="00BE4B05" w:rsidRDefault="00BE4B05" w:rsidP="00BE4B05">
      <w:pPr>
        <w:pStyle w:val="Maintext"/>
        <w:numPr>
          <w:ilvl w:val="2"/>
          <w:numId w:val="10"/>
        </w:numPr>
        <w:rPr>
          <w:lang w:val="en-US"/>
        </w:rPr>
      </w:pPr>
      <w:r>
        <w:rPr>
          <w:lang w:val="en-US"/>
        </w:rPr>
        <w:t>Plan more effectively;</w:t>
      </w:r>
    </w:p>
    <w:p w:rsidR="00BE4B05" w:rsidRDefault="00BE4B05" w:rsidP="00BE4B05">
      <w:pPr>
        <w:pStyle w:val="Maintext"/>
        <w:numPr>
          <w:ilvl w:val="2"/>
          <w:numId w:val="10"/>
        </w:numPr>
        <w:rPr>
          <w:lang w:val="en-US"/>
        </w:rPr>
      </w:pPr>
      <w:r>
        <w:rPr>
          <w:lang w:val="en-US"/>
        </w:rPr>
        <w:t xml:space="preserve">Set clear targets for growth and development; and </w:t>
      </w:r>
    </w:p>
    <w:p w:rsidR="00BE4B05" w:rsidRDefault="00BE4B05" w:rsidP="00BE4B05">
      <w:pPr>
        <w:pStyle w:val="Maintext"/>
        <w:numPr>
          <w:ilvl w:val="2"/>
          <w:numId w:val="10"/>
        </w:numPr>
        <w:rPr>
          <w:lang w:val="en-US"/>
        </w:rPr>
      </w:pPr>
      <w:r>
        <w:rPr>
          <w:lang w:val="en-US"/>
        </w:rPr>
        <w:t xml:space="preserve">Be more transparent and accountable. </w:t>
      </w:r>
    </w:p>
    <w:p w:rsidR="00BE4B05" w:rsidRDefault="00BE4B05" w:rsidP="00BE4B05">
      <w:pPr>
        <w:pStyle w:val="Maintext"/>
        <w:rPr>
          <w:lang w:val="en-US"/>
        </w:rPr>
      </w:pPr>
      <w:r>
        <w:rPr>
          <w:lang w:val="en-US"/>
        </w:rPr>
        <w:t xml:space="preserve">A number of stakeholders identified the polarised nature of the housing market as an issue, whereby </w:t>
      </w:r>
      <w:r w:rsidR="0083534C">
        <w:rPr>
          <w:lang w:val="en-US"/>
        </w:rPr>
        <w:t>different areas</w:t>
      </w:r>
      <w:r>
        <w:rPr>
          <w:lang w:val="en-US"/>
        </w:rPr>
        <w:t xml:space="preserve"> are either extremes of high or low end housing, with the need for provision of a better middle market. </w:t>
      </w:r>
    </w:p>
    <w:p w:rsidR="003A6F13" w:rsidRDefault="003A6F13" w:rsidP="00BC7694">
      <w:pPr>
        <w:rPr>
          <w:b/>
        </w:rPr>
      </w:pPr>
    </w:p>
    <w:p w:rsidR="003A6F13" w:rsidRDefault="003A6F13" w:rsidP="005922DD">
      <w:pPr>
        <w:pStyle w:val="Heading3"/>
      </w:pPr>
      <w:r>
        <w:t>Owner-occupied market</w:t>
      </w:r>
    </w:p>
    <w:p w:rsidR="003A6F13" w:rsidRDefault="00BC7694">
      <w:pPr>
        <w:pStyle w:val="Maintext"/>
      </w:pPr>
      <w:r>
        <w:t>65.8</w:t>
      </w:r>
      <w:r w:rsidR="008869D9">
        <w:t>% (</w:t>
      </w:r>
      <w:r>
        <w:t>147,347</w:t>
      </w:r>
      <w:r w:rsidR="008F4B67">
        <w:t xml:space="preserve">) of </w:t>
      </w:r>
      <w:r w:rsidR="003A6F13">
        <w:t xml:space="preserve">households across </w:t>
      </w:r>
      <w:r w:rsidR="004B576D">
        <w:t xml:space="preserve">County Durham </w:t>
      </w:r>
      <w:r w:rsidR="008F4B67">
        <w:t>a</w:t>
      </w:r>
      <w:r w:rsidR="00E738FC">
        <w:t xml:space="preserve">re owner occupiers. </w:t>
      </w:r>
      <w:r>
        <w:t>35.6</w:t>
      </w:r>
      <w:r w:rsidR="008869D9">
        <w:t>%</w:t>
      </w:r>
      <w:r w:rsidR="00E738FC">
        <w:t xml:space="preserve"> of all households</w:t>
      </w:r>
      <w:r w:rsidR="00421A6B">
        <w:t xml:space="preserve"> (</w:t>
      </w:r>
      <w:r>
        <w:t>79,618</w:t>
      </w:r>
      <w:r w:rsidR="00421A6B">
        <w:t xml:space="preserve">) own outright and </w:t>
      </w:r>
      <w:r>
        <w:t>30.3</w:t>
      </w:r>
      <w:r w:rsidR="008869D9">
        <w:t xml:space="preserve">% </w:t>
      </w:r>
      <w:r w:rsidR="00E738FC">
        <w:t xml:space="preserve">of all households </w:t>
      </w:r>
      <w:r w:rsidR="008F4B67">
        <w:t>(</w:t>
      </w:r>
      <w:r>
        <w:t>67,729</w:t>
      </w:r>
      <w:r w:rsidR="003A6F13">
        <w:t xml:space="preserve">) have a mortgage.  Most </w:t>
      </w:r>
      <w:r w:rsidR="00115349">
        <w:t xml:space="preserve">owner-occupied </w:t>
      </w:r>
      <w:r w:rsidR="003A6F13">
        <w:t>properties</w:t>
      </w:r>
      <w:r w:rsidR="00115349">
        <w:t xml:space="preserve"> (</w:t>
      </w:r>
      <w:r>
        <w:t>87.7</w:t>
      </w:r>
      <w:r w:rsidR="0072346A">
        <w:t>%) are houses (</w:t>
      </w:r>
      <w:r w:rsidR="00E52127">
        <w:t xml:space="preserve">of which </w:t>
      </w:r>
      <w:r>
        <w:t>34.0</w:t>
      </w:r>
      <w:r w:rsidR="00357456">
        <w:t xml:space="preserve">% are semi-detached, </w:t>
      </w:r>
      <w:r>
        <w:t>30.4</w:t>
      </w:r>
      <w:r w:rsidR="00357456">
        <w:t xml:space="preserve">% terraced and </w:t>
      </w:r>
      <w:r>
        <w:t>23.3</w:t>
      </w:r>
      <w:r w:rsidR="00E52127">
        <w:t>% detached)</w:t>
      </w:r>
      <w:r w:rsidR="00421A6B">
        <w:t xml:space="preserve">, a further </w:t>
      </w:r>
      <w:r>
        <w:t>10.4</w:t>
      </w:r>
      <w:r w:rsidR="00357456">
        <w:t xml:space="preserve">% are bungalows, </w:t>
      </w:r>
      <w:r>
        <w:t>1.6</w:t>
      </w:r>
      <w:r w:rsidR="00115349">
        <w:t xml:space="preserve">% are flats and </w:t>
      </w:r>
      <w:r>
        <w:t>0.4</w:t>
      </w:r>
      <w:r w:rsidR="00115349">
        <w:t>% are oth</w:t>
      </w:r>
      <w:r>
        <w:t>er types including caravans. 0.9</w:t>
      </w:r>
      <w:r w:rsidR="00EA437A">
        <w:t xml:space="preserve">% </w:t>
      </w:r>
      <w:r>
        <w:t>of owner-occupied properties</w:t>
      </w:r>
      <w:r w:rsidR="00115349">
        <w:t xml:space="preserve"> </w:t>
      </w:r>
      <w:r w:rsidR="00EA437A">
        <w:t xml:space="preserve">have one bedroom, </w:t>
      </w:r>
      <w:r>
        <w:t>26.8</w:t>
      </w:r>
      <w:r w:rsidR="00EA437A">
        <w:t xml:space="preserve">% have two bedrooms, </w:t>
      </w:r>
      <w:r w:rsidR="00E52127">
        <w:t>5</w:t>
      </w:r>
      <w:r>
        <w:t>0.6</w:t>
      </w:r>
      <w:r w:rsidR="00E52127">
        <w:t xml:space="preserve">% have three bedrooms and </w:t>
      </w:r>
      <w:r>
        <w:t>21.4</w:t>
      </w:r>
      <w:r w:rsidR="0072346A">
        <w:t>% have four or more bedrooms</w:t>
      </w:r>
      <w:r w:rsidR="003A6F13">
        <w:t>. Further analysis of owner occupied stock and household characteristics can be found at Appendix B.</w:t>
      </w:r>
    </w:p>
    <w:p w:rsidR="00E52127" w:rsidRPr="00E52127" w:rsidRDefault="003A6F13" w:rsidP="00650D50">
      <w:pPr>
        <w:pStyle w:val="Maintext"/>
        <w:rPr>
          <w:b/>
        </w:rPr>
      </w:pPr>
      <w:r>
        <w:t xml:space="preserve">Over the period </w:t>
      </w:r>
      <w:r w:rsidR="00BC7694">
        <w:t>2000 to 2012</w:t>
      </w:r>
      <w:r w:rsidR="00EA437A">
        <w:t xml:space="preserve">, </w:t>
      </w:r>
      <w:r w:rsidR="00E158CA">
        <w:t xml:space="preserve">lower quartile and </w:t>
      </w:r>
      <w:r>
        <w:t xml:space="preserve">median </w:t>
      </w:r>
      <w:r w:rsidR="00421A6B">
        <w:t xml:space="preserve">house </w:t>
      </w:r>
      <w:r>
        <w:t>prices</w:t>
      </w:r>
      <w:r w:rsidR="00927B72">
        <w:rPr>
          <w:rStyle w:val="FootnoteReference"/>
        </w:rPr>
        <w:footnoteReference w:id="16"/>
      </w:r>
      <w:r>
        <w:t xml:space="preserve"> across </w:t>
      </w:r>
      <w:r w:rsidR="00A83D18">
        <w:t>County Durham have</w:t>
      </w:r>
      <w:r w:rsidR="00421A6B">
        <w:t xml:space="preserve"> </w:t>
      </w:r>
      <w:r>
        <w:t xml:space="preserve">increased </w:t>
      </w:r>
      <w:r w:rsidR="00E52127">
        <w:t>dramati</w:t>
      </w:r>
      <w:r w:rsidR="001E3095">
        <w:t>cally as summarised in Table 4.6</w:t>
      </w:r>
      <w:r w:rsidR="00E52127">
        <w:t>.</w:t>
      </w:r>
    </w:p>
    <w:p w:rsidR="00E158CA" w:rsidRDefault="00E158CA" w:rsidP="00E158CA">
      <w:pPr>
        <w:pStyle w:val="Maintext"/>
      </w:pPr>
      <w:r>
        <w:t>It is interesting to note that in 20</w:t>
      </w:r>
      <w:r w:rsidR="002D109D">
        <w:t>00, a household income of £8,571</w:t>
      </w:r>
      <w:r>
        <w:t xml:space="preserve"> was required for a lower quartile price to be affordable; by 20</w:t>
      </w:r>
      <w:r w:rsidR="003D6476">
        <w:t>12</w:t>
      </w:r>
      <w:r w:rsidR="002D109D">
        <w:t xml:space="preserve"> this had increased to £</w:t>
      </w:r>
      <w:r w:rsidR="003D6476">
        <w:t>18,000</w:t>
      </w:r>
      <w:r>
        <w:t>. In c</w:t>
      </w:r>
      <w:r w:rsidR="00132942">
        <w:t xml:space="preserve">omparison, an income of £12,986 </w:t>
      </w:r>
      <w:r>
        <w:t>was required for a median priced property to be affordable in 2000 compared wit</w:t>
      </w:r>
      <w:r w:rsidR="00132942">
        <w:t>h £</w:t>
      </w:r>
      <w:r w:rsidR="003D6476">
        <w:t>27,143</w:t>
      </w:r>
      <w:r w:rsidR="00132942">
        <w:t xml:space="preserve"> in </w:t>
      </w:r>
      <w:r w:rsidR="003D6476">
        <w:t>2012</w:t>
      </w:r>
      <w:r>
        <w:t>.</w:t>
      </w:r>
    </w:p>
    <w:p w:rsidR="00E52127" w:rsidRDefault="00E52127" w:rsidP="00E52127">
      <w:pPr>
        <w:pStyle w:val="Maintext"/>
        <w:numPr>
          <w:ilvl w:val="0"/>
          <w:numId w:val="0"/>
        </w:numPr>
        <w:ind w:left="709"/>
      </w:pPr>
    </w:p>
    <w:p w:rsidR="00E52127" w:rsidRDefault="001E3095" w:rsidP="00CF5794">
      <w:pPr>
        <w:pStyle w:val="Maintext"/>
        <w:numPr>
          <w:ilvl w:val="0"/>
          <w:numId w:val="0"/>
        </w:numPr>
        <w:ind w:left="2160" w:hanging="1451"/>
      </w:pPr>
      <w:r>
        <w:rPr>
          <w:b/>
        </w:rPr>
        <w:t>Table 4.6</w:t>
      </w:r>
      <w:r w:rsidR="00E52127" w:rsidRPr="00E52127">
        <w:rPr>
          <w:b/>
        </w:rPr>
        <w:tab/>
      </w:r>
      <w:r w:rsidR="00E158CA" w:rsidRPr="00E158CA">
        <w:t>Lower Quartile and</w:t>
      </w:r>
      <w:r w:rsidR="00E158CA">
        <w:rPr>
          <w:b/>
        </w:rPr>
        <w:t xml:space="preserve"> </w:t>
      </w:r>
      <w:r w:rsidR="00E158CA">
        <w:t>m</w:t>
      </w:r>
      <w:r w:rsidR="00E52127">
        <w:t xml:space="preserve">edian price and income required to be affordable </w:t>
      </w:r>
    </w:p>
    <w:tbl>
      <w:tblPr>
        <w:tblW w:w="6921" w:type="dxa"/>
        <w:tblInd w:w="1347" w:type="dxa"/>
        <w:tblLook w:val="04A0" w:firstRow="1" w:lastRow="0" w:firstColumn="1" w:lastColumn="0" w:noHBand="0" w:noVBand="1"/>
      </w:tblPr>
      <w:tblGrid>
        <w:gridCol w:w="93"/>
        <w:gridCol w:w="1620"/>
        <w:gridCol w:w="960"/>
        <w:gridCol w:w="940"/>
        <w:gridCol w:w="1420"/>
        <w:gridCol w:w="949"/>
        <w:gridCol w:w="939"/>
      </w:tblGrid>
      <w:tr w:rsidR="002D109D" w:rsidRPr="002D109D" w:rsidTr="002D109D">
        <w:trPr>
          <w:gridBefore w:val="1"/>
          <w:gridAfter w:val="2"/>
          <w:wBefore w:w="93" w:type="dxa"/>
          <w:wAfter w:w="1888" w:type="dxa"/>
          <w:trHeight w:val="510"/>
        </w:trPr>
        <w:tc>
          <w:tcPr>
            <w:tcW w:w="162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2D109D" w:rsidRPr="002D109D" w:rsidRDefault="002D109D" w:rsidP="002D109D">
            <w:pPr>
              <w:spacing w:before="0" w:after="0"/>
              <w:rPr>
                <w:rFonts w:cs="Arial"/>
                <w:color w:val="FFFFFF"/>
                <w:sz w:val="20"/>
                <w:szCs w:val="20"/>
                <w:lang w:eastAsia="en-GB"/>
              </w:rPr>
            </w:pPr>
            <w:r w:rsidRPr="002D109D">
              <w:rPr>
                <w:rFonts w:cs="Arial"/>
                <w:color w:val="FFFFFF"/>
                <w:sz w:val="20"/>
                <w:szCs w:val="20"/>
                <w:lang w:eastAsia="en-GB"/>
              </w:rPr>
              <w:t> </w:t>
            </w:r>
          </w:p>
        </w:tc>
        <w:tc>
          <w:tcPr>
            <w:tcW w:w="960" w:type="dxa"/>
            <w:tcBorders>
              <w:top w:val="single" w:sz="4" w:space="0" w:color="auto"/>
              <w:left w:val="nil"/>
              <w:bottom w:val="single" w:sz="4" w:space="0" w:color="auto"/>
              <w:right w:val="single" w:sz="4" w:space="0" w:color="auto"/>
            </w:tcBorders>
            <w:shd w:val="clear" w:color="000000" w:fill="008080"/>
            <w:noWrap/>
            <w:vAlign w:val="bottom"/>
            <w:hideMark/>
          </w:tcPr>
          <w:p w:rsidR="002D109D" w:rsidRPr="002D109D" w:rsidRDefault="002D109D" w:rsidP="002D109D">
            <w:pPr>
              <w:spacing w:before="0" w:after="0"/>
              <w:jc w:val="center"/>
              <w:rPr>
                <w:rFonts w:cs="Arial"/>
                <w:color w:val="FFFFFF"/>
                <w:sz w:val="20"/>
                <w:szCs w:val="20"/>
                <w:lang w:eastAsia="en-GB"/>
              </w:rPr>
            </w:pPr>
            <w:r w:rsidRPr="002D109D">
              <w:rPr>
                <w:rFonts w:cs="Arial"/>
                <w:color w:val="FFFFFF"/>
                <w:sz w:val="20"/>
                <w:szCs w:val="20"/>
                <w:lang w:eastAsia="en-GB"/>
              </w:rPr>
              <w:t>Year</w:t>
            </w:r>
          </w:p>
        </w:tc>
        <w:tc>
          <w:tcPr>
            <w:tcW w:w="940" w:type="dxa"/>
            <w:tcBorders>
              <w:top w:val="single" w:sz="4" w:space="0" w:color="auto"/>
              <w:left w:val="nil"/>
              <w:bottom w:val="single" w:sz="4" w:space="0" w:color="auto"/>
              <w:right w:val="single" w:sz="4" w:space="0" w:color="auto"/>
            </w:tcBorders>
            <w:shd w:val="clear" w:color="000000" w:fill="008080"/>
            <w:noWrap/>
            <w:vAlign w:val="bottom"/>
            <w:hideMark/>
          </w:tcPr>
          <w:p w:rsidR="002D109D" w:rsidRPr="002D109D" w:rsidRDefault="002D109D" w:rsidP="002D109D">
            <w:pPr>
              <w:spacing w:before="0" w:after="0"/>
              <w:jc w:val="center"/>
              <w:rPr>
                <w:rFonts w:cs="Arial"/>
                <w:color w:val="FFFFFF"/>
                <w:sz w:val="20"/>
                <w:szCs w:val="20"/>
                <w:lang w:eastAsia="en-GB"/>
              </w:rPr>
            </w:pPr>
            <w:r w:rsidRPr="002D109D">
              <w:rPr>
                <w:rFonts w:cs="Arial"/>
                <w:color w:val="FFFFFF"/>
                <w:sz w:val="20"/>
                <w:szCs w:val="20"/>
                <w:lang w:eastAsia="en-GB"/>
              </w:rPr>
              <w:t>£</w:t>
            </w:r>
          </w:p>
        </w:tc>
        <w:tc>
          <w:tcPr>
            <w:tcW w:w="1420" w:type="dxa"/>
            <w:tcBorders>
              <w:top w:val="single" w:sz="4" w:space="0" w:color="auto"/>
              <w:left w:val="nil"/>
              <w:bottom w:val="single" w:sz="4" w:space="0" w:color="auto"/>
              <w:right w:val="single" w:sz="4" w:space="0" w:color="auto"/>
            </w:tcBorders>
            <w:shd w:val="clear" w:color="000000" w:fill="008080"/>
            <w:vAlign w:val="bottom"/>
            <w:hideMark/>
          </w:tcPr>
          <w:p w:rsidR="002D109D" w:rsidRPr="002D109D" w:rsidRDefault="002D109D" w:rsidP="002D109D">
            <w:pPr>
              <w:spacing w:before="0" w:after="0"/>
              <w:jc w:val="center"/>
              <w:rPr>
                <w:rFonts w:cs="Arial"/>
                <w:color w:val="FFFFFF"/>
                <w:sz w:val="20"/>
                <w:szCs w:val="20"/>
                <w:lang w:eastAsia="en-GB"/>
              </w:rPr>
            </w:pPr>
            <w:r w:rsidRPr="002D109D">
              <w:rPr>
                <w:rFonts w:cs="Arial"/>
                <w:color w:val="FFFFFF"/>
                <w:sz w:val="20"/>
                <w:szCs w:val="20"/>
                <w:lang w:eastAsia="en-GB"/>
              </w:rPr>
              <w:t>Income  to be affordable*</w:t>
            </w:r>
          </w:p>
        </w:tc>
      </w:tr>
      <w:tr w:rsidR="003D6476" w:rsidRPr="002D109D" w:rsidTr="002D109D">
        <w:trPr>
          <w:gridBefore w:val="1"/>
          <w:gridAfter w:val="2"/>
          <w:wBefore w:w="93" w:type="dxa"/>
          <w:wAfter w:w="1888" w:type="dxa"/>
          <w:trHeight w:val="255"/>
        </w:trPr>
        <w:tc>
          <w:tcPr>
            <w:tcW w:w="1620" w:type="dxa"/>
            <w:tcBorders>
              <w:top w:val="nil"/>
              <w:left w:val="single" w:sz="4" w:space="0" w:color="auto"/>
              <w:bottom w:val="nil"/>
              <w:right w:val="single" w:sz="4" w:space="0" w:color="auto"/>
            </w:tcBorders>
            <w:shd w:val="clear" w:color="auto" w:fill="auto"/>
            <w:noWrap/>
            <w:vAlign w:val="bottom"/>
            <w:hideMark/>
          </w:tcPr>
          <w:p w:rsidR="003D6476" w:rsidRPr="002D109D" w:rsidRDefault="003D6476" w:rsidP="002D109D">
            <w:pPr>
              <w:spacing w:before="0" w:after="0"/>
              <w:rPr>
                <w:rFonts w:cs="Arial"/>
                <w:sz w:val="20"/>
                <w:szCs w:val="20"/>
                <w:lang w:eastAsia="en-GB"/>
              </w:rPr>
            </w:pPr>
            <w:r w:rsidRPr="002D109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2000</w:t>
            </w:r>
          </w:p>
        </w:tc>
        <w:tc>
          <w:tcPr>
            <w:tcW w:w="94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30,000</w:t>
            </w:r>
          </w:p>
        </w:tc>
        <w:tc>
          <w:tcPr>
            <w:tcW w:w="142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£8,571</w:t>
            </w:r>
          </w:p>
        </w:tc>
      </w:tr>
      <w:tr w:rsidR="003D6476" w:rsidRPr="002D109D" w:rsidTr="002D109D">
        <w:trPr>
          <w:gridBefore w:val="1"/>
          <w:gridAfter w:val="2"/>
          <w:wBefore w:w="93" w:type="dxa"/>
          <w:wAfter w:w="1888" w:type="dxa"/>
          <w:trHeight w:val="25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D6476" w:rsidRPr="002D109D" w:rsidRDefault="003D6476" w:rsidP="002D109D">
            <w:pPr>
              <w:spacing w:before="0" w:after="0"/>
              <w:rPr>
                <w:rFonts w:cs="Arial"/>
                <w:sz w:val="20"/>
                <w:szCs w:val="20"/>
                <w:lang w:eastAsia="en-GB"/>
              </w:rPr>
            </w:pPr>
            <w:r w:rsidRPr="002D109D">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2012</w:t>
            </w:r>
          </w:p>
        </w:tc>
        <w:tc>
          <w:tcPr>
            <w:tcW w:w="94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63000</w:t>
            </w:r>
          </w:p>
        </w:tc>
        <w:tc>
          <w:tcPr>
            <w:tcW w:w="142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£18,000</w:t>
            </w:r>
          </w:p>
        </w:tc>
      </w:tr>
      <w:tr w:rsidR="003D6476" w:rsidRPr="002D109D" w:rsidTr="002D109D">
        <w:trPr>
          <w:gridBefore w:val="1"/>
          <w:gridAfter w:val="2"/>
          <w:wBefore w:w="93" w:type="dxa"/>
          <w:wAfter w:w="1888" w:type="dxa"/>
          <w:trHeight w:val="255"/>
        </w:trPr>
        <w:tc>
          <w:tcPr>
            <w:tcW w:w="1620" w:type="dxa"/>
            <w:tcBorders>
              <w:top w:val="nil"/>
              <w:left w:val="single" w:sz="4" w:space="0" w:color="auto"/>
              <w:bottom w:val="single" w:sz="4" w:space="0" w:color="auto"/>
              <w:right w:val="nil"/>
            </w:tcBorders>
            <w:shd w:val="clear" w:color="auto" w:fill="auto"/>
            <w:noWrap/>
            <w:vAlign w:val="bottom"/>
            <w:hideMark/>
          </w:tcPr>
          <w:p w:rsidR="003D6476" w:rsidRPr="002D109D" w:rsidRDefault="003D6476" w:rsidP="002D109D">
            <w:pPr>
              <w:spacing w:before="0" w:after="0"/>
              <w:rPr>
                <w:rFonts w:cs="Arial"/>
                <w:sz w:val="20"/>
                <w:szCs w:val="20"/>
                <w:lang w:eastAsia="en-GB"/>
              </w:rPr>
            </w:pPr>
            <w:r w:rsidRPr="002D109D">
              <w:rPr>
                <w:rFonts w:cs="Arial"/>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 </w:t>
            </w:r>
          </w:p>
        </w:tc>
        <w:tc>
          <w:tcPr>
            <w:tcW w:w="940" w:type="dxa"/>
            <w:tcBorders>
              <w:top w:val="nil"/>
              <w:left w:val="nil"/>
              <w:bottom w:val="single" w:sz="4" w:space="0" w:color="auto"/>
              <w:right w:val="nil"/>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 </w:t>
            </w:r>
          </w:p>
        </w:tc>
      </w:tr>
      <w:tr w:rsidR="003D6476" w:rsidRPr="002D109D" w:rsidTr="002D109D">
        <w:trPr>
          <w:gridBefore w:val="1"/>
          <w:gridAfter w:val="2"/>
          <w:wBefore w:w="93" w:type="dxa"/>
          <w:wAfter w:w="1888" w:type="dxa"/>
          <w:trHeight w:val="255"/>
        </w:trPr>
        <w:tc>
          <w:tcPr>
            <w:tcW w:w="1620" w:type="dxa"/>
            <w:tcBorders>
              <w:top w:val="nil"/>
              <w:left w:val="single" w:sz="4" w:space="0" w:color="auto"/>
              <w:bottom w:val="nil"/>
              <w:right w:val="single" w:sz="4" w:space="0" w:color="auto"/>
            </w:tcBorders>
            <w:shd w:val="clear" w:color="auto" w:fill="auto"/>
            <w:noWrap/>
            <w:vAlign w:val="bottom"/>
            <w:hideMark/>
          </w:tcPr>
          <w:p w:rsidR="003D6476" w:rsidRPr="002D109D" w:rsidRDefault="003D6476" w:rsidP="002D109D">
            <w:pPr>
              <w:spacing w:before="0" w:after="0"/>
              <w:rPr>
                <w:rFonts w:cs="Arial"/>
                <w:sz w:val="20"/>
                <w:szCs w:val="20"/>
                <w:lang w:eastAsia="en-GB"/>
              </w:rPr>
            </w:pPr>
            <w:r w:rsidRPr="002D109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2000</w:t>
            </w:r>
          </w:p>
        </w:tc>
        <w:tc>
          <w:tcPr>
            <w:tcW w:w="94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45,450</w:t>
            </w:r>
          </w:p>
        </w:tc>
        <w:tc>
          <w:tcPr>
            <w:tcW w:w="142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£12,986</w:t>
            </w:r>
          </w:p>
        </w:tc>
      </w:tr>
      <w:tr w:rsidR="003D6476" w:rsidRPr="002D109D" w:rsidTr="002D109D">
        <w:trPr>
          <w:gridBefore w:val="1"/>
          <w:gridAfter w:val="2"/>
          <w:wBefore w:w="93" w:type="dxa"/>
          <w:wAfter w:w="1888" w:type="dxa"/>
          <w:trHeight w:val="255"/>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3D6476" w:rsidRPr="002D109D" w:rsidRDefault="003D6476" w:rsidP="002D109D">
            <w:pPr>
              <w:spacing w:before="0" w:after="0"/>
              <w:rPr>
                <w:rFonts w:cs="Arial"/>
                <w:sz w:val="20"/>
                <w:szCs w:val="20"/>
                <w:lang w:eastAsia="en-GB"/>
              </w:rPr>
            </w:pPr>
            <w:r w:rsidRPr="002D109D">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2012</w:t>
            </w:r>
          </w:p>
        </w:tc>
        <w:tc>
          <w:tcPr>
            <w:tcW w:w="94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95000</w:t>
            </w:r>
          </w:p>
        </w:tc>
        <w:tc>
          <w:tcPr>
            <w:tcW w:w="1420" w:type="dxa"/>
            <w:tcBorders>
              <w:top w:val="nil"/>
              <w:left w:val="nil"/>
              <w:bottom w:val="single" w:sz="4" w:space="0" w:color="auto"/>
              <w:right w:val="single" w:sz="4" w:space="0" w:color="auto"/>
            </w:tcBorders>
            <w:shd w:val="clear" w:color="auto" w:fill="auto"/>
            <w:noWrap/>
            <w:vAlign w:val="bottom"/>
            <w:hideMark/>
          </w:tcPr>
          <w:p w:rsidR="003D6476" w:rsidRDefault="003D6476" w:rsidP="003D6476">
            <w:pPr>
              <w:spacing w:before="0" w:after="0"/>
              <w:jc w:val="center"/>
              <w:rPr>
                <w:rFonts w:cs="Arial"/>
                <w:sz w:val="20"/>
                <w:szCs w:val="20"/>
              </w:rPr>
            </w:pPr>
            <w:r>
              <w:rPr>
                <w:rFonts w:cs="Arial"/>
                <w:sz w:val="20"/>
                <w:szCs w:val="20"/>
              </w:rPr>
              <w:t>£27,143</w:t>
            </w:r>
          </w:p>
        </w:tc>
      </w:tr>
      <w:tr w:rsidR="00E52127" w:rsidRPr="00E52127" w:rsidTr="002D109D">
        <w:trPr>
          <w:trHeight w:val="255"/>
        </w:trPr>
        <w:tc>
          <w:tcPr>
            <w:tcW w:w="5982" w:type="dxa"/>
            <w:gridSpan w:val="6"/>
            <w:tcBorders>
              <w:top w:val="nil"/>
              <w:left w:val="nil"/>
              <w:bottom w:val="nil"/>
              <w:right w:val="nil"/>
            </w:tcBorders>
            <w:shd w:val="clear" w:color="auto" w:fill="auto"/>
            <w:noWrap/>
            <w:vAlign w:val="bottom"/>
            <w:hideMark/>
          </w:tcPr>
          <w:p w:rsidR="00E158CA" w:rsidRDefault="00E158CA" w:rsidP="00E52127">
            <w:pPr>
              <w:spacing w:before="0" w:after="0"/>
              <w:rPr>
                <w:rFonts w:cs="Arial"/>
                <w:sz w:val="20"/>
                <w:szCs w:val="20"/>
                <w:lang w:eastAsia="en-GB"/>
              </w:rPr>
            </w:pPr>
            <w:r>
              <w:rPr>
                <w:rFonts w:cs="Arial"/>
                <w:sz w:val="20"/>
                <w:szCs w:val="20"/>
                <w:lang w:eastAsia="en-GB"/>
              </w:rPr>
              <w:t>Source: DCLG / Land Registry</w:t>
            </w:r>
          </w:p>
          <w:p w:rsidR="00E52127" w:rsidRPr="00E52127" w:rsidRDefault="00E52127" w:rsidP="00E52127">
            <w:pPr>
              <w:spacing w:before="0" w:after="0"/>
              <w:rPr>
                <w:rFonts w:cs="Arial"/>
                <w:sz w:val="20"/>
                <w:szCs w:val="20"/>
                <w:lang w:eastAsia="en-GB"/>
              </w:rPr>
            </w:pPr>
            <w:r w:rsidRPr="00E52127">
              <w:rPr>
                <w:rFonts w:cs="Arial"/>
                <w:sz w:val="20"/>
                <w:szCs w:val="20"/>
                <w:lang w:eastAsia="en-GB"/>
              </w:rPr>
              <w:t>*Assuming a 3.5x income multiple</w:t>
            </w:r>
          </w:p>
        </w:tc>
        <w:tc>
          <w:tcPr>
            <w:tcW w:w="939" w:type="dxa"/>
            <w:tcBorders>
              <w:top w:val="nil"/>
              <w:left w:val="nil"/>
              <w:bottom w:val="nil"/>
              <w:right w:val="nil"/>
            </w:tcBorders>
            <w:shd w:val="clear" w:color="auto" w:fill="auto"/>
            <w:noWrap/>
            <w:vAlign w:val="bottom"/>
            <w:hideMark/>
          </w:tcPr>
          <w:p w:rsidR="00E52127" w:rsidRPr="00E52127" w:rsidRDefault="00E52127" w:rsidP="00E52127">
            <w:pPr>
              <w:spacing w:before="0" w:after="0"/>
              <w:rPr>
                <w:rFonts w:cs="Arial"/>
                <w:sz w:val="20"/>
                <w:szCs w:val="20"/>
                <w:lang w:eastAsia="en-GB"/>
              </w:rPr>
            </w:pPr>
          </w:p>
        </w:tc>
      </w:tr>
    </w:tbl>
    <w:p w:rsidR="00E158CA" w:rsidRDefault="00E158CA" w:rsidP="00E158CA">
      <w:pPr>
        <w:pStyle w:val="Maintext"/>
        <w:numPr>
          <w:ilvl w:val="0"/>
          <w:numId w:val="0"/>
        </w:numPr>
        <w:ind w:left="709"/>
      </w:pPr>
    </w:p>
    <w:p w:rsidR="009A3022" w:rsidRDefault="00421A6B" w:rsidP="00650D50">
      <w:pPr>
        <w:pStyle w:val="Maintext"/>
      </w:pPr>
      <w:r>
        <w:t xml:space="preserve">In terms of household </w:t>
      </w:r>
      <w:r w:rsidR="003D3E68">
        <w:t xml:space="preserve">type, </w:t>
      </w:r>
      <w:r w:rsidR="003D6476">
        <w:t>28.0</w:t>
      </w:r>
      <w:r>
        <w:t xml:space="preserve">% of owner occupiers are </w:t>
      </w:r>
      <w:r w:rsidR="00E52127">
        <w:t>couples with children</w:t>
      </w:r>
      <w:r w:rsidR="00132942">
        <w:t xml:space="preserve"> (including adult children)</w:t>
      </w:r>
      <w:r w:rsidR="00E52127">
        <w:t xml:space="preserve">, </w:t>
      </w:r>
      <w:r w:rsidR="003D6476">
        <w:t>41.9</w:t>
      </w:r>
      <w:r w:rsidR="009A3022">
        <w:t xml:space="preserve">% are older </w:t>
      </w:r>
      <w:r>
        <w:t xml:space="preserve">(60 or over) singles and couples, </w:t>
      </w:r>
      <w:r w:rsidR="003D6476">
        <w:t>14.6</w:t>
      </w:r>
      <w:r w:rsidR="009A3022">
        <w:t xml:space="preserve">% are couples (under 60 with no children), </w:t>
      </w:r>
      <w:r w:rsidR="003D6476">
        <w:t>9.0</w:t>
      </w:r>
      <w:r w:rsidR="009A3022">
        <w:t>% are singles</w:t>
      </w:r>
      <w:r w:rsidR="00132942">
        <w:t xml:space="preserve"> under 60, </w:t>
      </w:r>
      <w:r w:rsidR="003D6476">
        <w:t>4.4</w:t>
      </w:r>
      <w:r w:rsidR="00132942">
        <w:t xml:space="preserve">% are lone parents and </w:t>
      </w:r>
      <w:r w:rsidR="003D6476">
        <w:t>2.1</w:t>
      </w:r>
      <w:r w:rsidR="009A3022">
        <w:t>% are other household types.</w:t>
      </w:r>
      <w:r w:rsidR="00132942">
        <w:t xml:space="preserve"> Amongst outright owners, </w:t>
      </w:r>
      <w:r w:rsidR="003D6476">
        <w:t>66.9</w:t>
      </w:r>
      <w:r w:rsidR="00132942">
        <w:t xml:space="preserve">% were older person households and amongst owners with a mortgage </w:t>
      </w:r>
      <w:r w:rsidR="003D6476">
        <w:t>45.1</w:t>
      </w:r>
      <w:r w:rsidR="00132942">
        <w:t>% were couples with children (including adult children).</w:t>
      </w:r>
    </w:p>
    <w:p w:rsidR="003D3E68" w:rsidRDefault="003D3E68" w:rsidP="00650D50">
      <w:pPr>
        <w:pStyle w:val="Maintext"/>
      </w:pPr>
      <w:r>
        <w:t>The majority of owner occupiers have lived in their accommoda</w:t>
      </w:r>
      <w:r w:rsidR="00421A6B">
        <w:t>tion</w:t>
      </w:r>
      <w:r w:rsidR="00132942">
        <w:t xml:space="preserve"> for at least 10 years (</w:t>
      </w:r>
      <w:r w:rsidR="003D6476">
        <w:t>25.7</w:t>
      </w:r>
      <w:r>
        <w:t xml:space="preserve">% </w:t>
      </w:r>
      <w:r w:rsidR="009A3022">
        <w:t xml:space="preserve">between 10 and 20 years and </w:t>
      </w:r>
      <w:r w:rsidR="003D6476">
        <w:t>42.5</w:t>
      </w:r>
      <w:r w:rsidR="00A54BE7">
        <w:t>% for</w:t>
      </w:r>
      <w:r w:rsidR="00132942">
        <w:t xml:space="preserve"> 20 years or more). </w:t>
      </w:r>
      <w:r w:rsidR="003D6476">
        <w:t>82.7</w:t>
      </w:r>
      <w:r>
        <w:t xml:space="preserve">% of outright owners have lived in their accommodation for at least 10 years. </w:t>
      </w:r>
    </w:p>
    <w:p w:rsidR="003D3E68" w:rsidRDefault="003D3E68" w:rsidP="00650D50">
      <w:pPr>
        <w:pStyle w:val="Maintext"/>
      </w:pPr>
      <w:r>
        <w:t>The majority of adults aged 16 or over living in owner occupied d</w:t>
      </w:r>
      <w:r w:rsidR="00BF4AB7">
        <w:t>wellings are in emplo</w:t>
      </w:r>
      <w:r w:rsidR="00132942">
        <w:t>yment (</w:t>
      </w:r>
      <w:r w:rsidR="003D6476">
        <w:t>55.9</w:t>
      </w:r>
      <w:r>
        <w:t xml:space="preserve">%) and a further </w:t>
      </w:r>
      <w:r w:rsidR="003D6476">
        <w:t>35.0</w:t>
      </w:r>
      <w:r>
        <w:t xml:space="preserve">% are wholly retired from work. The proportion retired is considerably </w:t>
      </w:r>
      <w:r w:rsidR="00132942">
        <w:t>higher for outright owners (</w:t>
      </w:r>
      <w:r w:rsidR="003D6476">
        <w:t>59.8</w:t>
      </w:r>
      <w:r>
        <w:t>%)</w:t>
      </w:r>
      <w:r w:rsidR="003D6476">
        <w:t>, while 83.6</w:t>
      </w:r>
      <w:r w:rsidR="00132942">
        <w:t>% of owners with a mortgage are in employment</w:t>
      </w:r>
      <w:r>
        <w:t>.</w:t>
      </w:r>
    </w:p>
    <w:p w:rsidR="003D3E68" w:rsidRDefault="003D3E68" w:rsidP="00650D50">
      <w:pPr>
        <w:pStyle w:val="Maintext"/>
      </w:pPr>
      <w:r>
        <w:t>Incomes amongst owner occu</w:t>
      </w:r>
      <w:r w:rsidR="00BF4AB7">
        <w:t xml:space="preserve">piers tend to be high, with </w:t>
      </w:r>
      <w:r w:rsidR="003D6476">
        <w:t>45.0</w:t>
      </w:r>
      <w:r>
        <w:t>% receiving at least £500 each week. That said, incomes amongst outright owners tend to be lower than</w:t>
      </w:r>
      <w:r w:rsidR="00BF4AB7">
        <w:t xml:space="preserve"> for mortgaged owners, with </w:t>
      </w:r>
      <w:r w:rsidR="00AC6F24">
        <w:t>42.8</w:t>
      </w:r>
      <w:r>
        <w:t xml:space="preserve">% receiving less than </w:t>
      </w:r>
      <w:r w:rsidR="009A3022">
        <w:t>£</w:t>
      </w:r>
      <w:r w:rsidR="00132942">
        <w:t xml:space="preserve">300 each week compared with </w:t>
      </w:r>
      <w:r w:rsidR="00AC6F24">
        <w:t>16.2</w:t>
      </w:r>
      <w:r>
        <w:t>% of mortgaged owners. This reflects the different age profile and economic status of outright owners.</w:t>
      </w:r>
    </w:p>
    <w:p w:rsidR="005922DD" w:rsidRDefault="005922DD" w:rsidP="00267853">
      <w:pPr>
        <w:pStyle w:val="Maintext"/>
        <w:numPr>
          <w:ilvl w:val="0"/>
          <w:numId w:val="0"/>
        </w:numPr>
        <w:rPr>
          <w:i/>
        </w:rPr>
      </w:pPr>
    </w:p>
    <w:p w:rsidR="00267853" w:rsidRPr="003905DC" w:rsidRDefault="00267853" w:rsidP="00267853">
      <w:pPr>
        <w:pStyle w:val="Heading4"/>
        <w:rPr>
          <w:rFonts w:ascii="Arial Bold" w:hAnsi="Arial Bold"/>
          <w:b/>
        </w:rPr>
      </w:pPr>
      <w:r w:rsidRPr="003905DC">
        <w:rPr>
          <w:rFonts w:ascii="Arial Bold" w:hAnsi="Arial Bold"/>
          <w:b/>
        </w:rPr>
        <w:t>Views of estate agents</w:t>
      </w:r>
      <w:r w:rsidR="0082755F">
        <w:rPr>
          <w:rFonts w:ascii="Arial Bold" w:hAnsi="Arial Bold"/>
          <w:b/>
        </w:rPr>
        <w:t xml:space="preserve"> and private lettings agents</w:t>
      </w:r>
    </w:p>
    <w:p w:rsidR="00E168C3" w:rsidRDefault="00267853" w:rsidP="00267853">
      <w:pPr>
        <w:pStyle w:val="Maintext"/>
      </w:pPr>
      <w:r>
        <w:t xml:space="preserve">Views on the current housing market position were sought from estate agents </w:t>
      </w:r>
      <w:r w:rsidRPr="001E3095">
        <w:t xml:space="preserve">operating across </w:t>
      </w:r>
      <w:r w:rsidR="00E168C3" w:rsidRPr="001E3095">
        <w:t>County Durham</w:t>
      </w:r>
      <w:r w:rsidRPr="001E3095">
        <w:t xml:space="preserve">. </w:t>
      </w:r>
      <w:r w:rsidR="00E168C3" w:rsidRPr="001E3095">
        <w:t xml:space="preserve">Interviews were conducted with 2 to 3 estate agents in each of the </w:t>
      </w:r>
      <w:r w:rsidR="00B440F0" w:rsidRPr="001E3095">
        <w:t>survey</w:t>
      </w:r>
      <w:r w:rsidR="00E168C3" w:rsidRPr="001E3095">
        <w:t xml:space="preserve"> areas and their views were sought on current</w:t>
      </w:r>
      <w:r w:rsidR="00E168C3">
        <w:t xml:space="preserve"> trends and levels of activity within the open market, buy to let and rental market.  </w:t>
      </w:r>
    </w:p>
    <w:p w:rsidR="00E168C3" w:rsidRDefault="00E168C3" w:rsidP="00267853">
      <w:pPr>
        <w:pStyle w:val="Maintext"/>
      </w:pPr>
      <w:r>
        <w:t xml:space="preserve">The following narrative presents key findings for </w:t>
      </w:r>
      <w:r w:rsidR="0082755F">
        <w:t xml:space="preserve">County Durham and individual </w:t>
      </w:r>
      <w:r w:rsidR="0083534C">
        <w:t>survey area</w:t>
      </w:r>
      <w:r w:rsidR="0082755F">
        <w:t>s</w:t>
      </w:r>
      <w:r>
        <w:t xml:space="preserve">. </w:t>
      </w:r>
    </w:p>
    <w:p w:rsidR="00E168C3" w:rsidRDefault="00E168C3" w:rsidP="00E168C3">
      <w:pPr>
        <w:pStyle w:val="Maintext"/>
        <w:numPr>
          <w:ilvl w:val="0"/>
          <w:numId w:val="0"/>
        </w:numPr>
        <w:ind w:left="709"/>
      </w:pPr>
    </w:p>
    <w:p w:rsidR="0082755F" w:rsidRDefault="0082755F" w:rsidP="00CF5794">
      <w:pPr>
        <w:ind w:firstLine="709"/>
        <w:rPr>
          <w:b/>
        </w:rPr>
      </w:pPr>
      <w:r>
        <w:rPr>
          <w:b/>
        </w:rPr>
        <w:t>County Durham Market Characteristics</w:t>
      </w:r>
    </w:p>
    <w:p w:rsidR="00E168C3" w:rsidRDefault="00E168C3" w:rsidP="00E168C3">
      <w:pPr>
        <w:pStyle w:val="Maintext"/>
      </w:pPr>
      <w:r>
        <w:t xml:space="preserve">The headline messages from the estate agent interviews are set out below.  This is followed by a more detailed analysis on the housing market across County Durham as well as current and anticipated trends in the </w:t>
      </w:r>
      <w:r w:rsidR="0083534C">
        <w:t>survey area</w:t>
      </w:r>
      <w:r>
        <w:t>s.</w:t>
      </w:r>
    </w:p>
    <w:p w:rsidR="00E168C3" w:rsidRDefault="00E168C3" w:rsidP="00AC6F24">
      <w:pPr>
        <w:pStyle w:val="ListParagraph"/>
        <w:numPr>
          <w:ilvl w:val="0"/>
          <w:numId w:val="28"/>
        </w:numPr>
        <w:spacing w:before="0" w:after="200" w:line="276" w:lineRule="auto"/>
        <w:contextualSpacing/>
        <w:jc w:val="both"/>
      </w:pPr>
      <w:r>
        <w:t>The housi</w:t>
      </w:r>
      <w:r w:rsidR="00AC6F24">
        <w:t>ng market within County Durham is generally localised</w:t>
      </w:r>
      <w:r>
        <w:t>. The exception to this is investors or areas that are in close proximity to adjacent local authorities;</w:t>
      </w:r>
    </w:p>
    <w:p w:rsidR="00E168C3" w:rsidRDefault="00E168C3" w:rsidP="00AC6F24">
      <w:pPr>
        <w:pStyle w:val="ListParagraph"/>
        <w:numPr>
          <w:ilvl w:val="0"/>
          <w:numId w:val="28"/>
        </w:numPr>
        <w:spacing w:before="0" w:after="200" w:line="276" w:lineRule="auto"/>
        <w:contextualSpacing/>
        <w:jc w:val="both"/>
      </w:pPr>
      <w:r>
        <w:t>The housing market has and is anticipated to continue to be relat</w:t>
      </w:r>
      <w:r w:rsidR="00D85049">
        <w:t xml:space="preserve">ively static in the next year. </w:t>
      </w:r>
      <w:r>
        <w:t>There is generally little activity by buyers other than investors and transactions are taking longer resulting in prices falling or remaining as they have been in the last year;</w:t>
      </w:r>
    </w:p>
    <w:p w:rsidR="00E168C3" w:rsidRDefault="00E168C3" w:rsidP="00AC6F24">
      <w:pPr>
        <w:pStyle w:val="ListParagraph"/>
        <w:numPr>
          <w:ilvl w:val="0"/>
          <w:numId w:val="28"/>
        </w:numPr>
        <w:spacing w:before="0" w:after="200" w:line="276" w:lineRule="auto"/>
        <w:contextualSpacing/>
        <w:jc w:val="both"/>
      </w:pPr>
      <w:r>
        <w:t>Properties at the lower end of the market, below £100,000 are tho</w:t>
      </w:r>
      <w:r w:rsidR="00D85049">
        <w:t xml:space="preserve">se that are most sought after. </w:t>
      </w:r>
      <w:r>
        <w:t>Properties at the very top end of the market are more difficult to sell;</w:t>
      </w:r>
    </w:p>
    <w:p w:rsidR="00E168C3" w:rsidRDefault="00E168C3" w:rsidP="00AC6F24">
      <w:pPr>
        <w:pStyle w:val="ListParagraph"/>
        <w:numPr>
          <w:ilvl w:val="0"/>
          <w:numId w:val="28"/>
        </w:numPr>
        <w:spacing w:before="0" w:after="200" w:line="276" w:lineRule="auto"/>
        <w:contextualSpacing/>
        <w:jc w:val="both"/>
      </w:pPr>
      <w:r>
        <w:t>Estate agents are reporting that vendors are more realistic in what they expect their property to sell for than they were a year ago;</w:t>
      </w:r>
    </w:p>
    <w:p w:rsidR="00E168C3" w:rsidRDefault="00E168C3" w:rsidP="00AC6F24">
      <w:pPr>
        <w:pStyle w:val="ListParagraph"/>
        <w:numPr>
          <w:ilvl w:val="0"/>
          <w:numId w:val="28"/>
        </w:numPr>
        <w:spacing w:before="0" w:after="200" w:line="276" w:lineRule="auto"/>
        <w:contextualSpacing/>
        <w:jc w:val="both"/>
      </w:pPr>
      <w:r>
        <w:t>Geographically those areas that are in close proximity to strategic transport links, centres of employment, have good schools, have benefited from extensive regeneration programmes or have a good quality environment tend to be have stronger housing markets;</w:t>
      </w:r>
    </w:p>
    <w:p w:rsidR="00E168C3" w:rsidRDefault="00E168C3" w:rsidP="00AC6F24">
      <w:pPr>
        <w:pStyle w:val="ListParagraph"/>
        <w:numPr>
          <w:ilvl w:val="0"/>
          <w:numId w:val="28"/>
        </w:numPr>
        <w:spacing w:before="0" w:after="200" w:line="276" w:lineRule="auto"/>
        <w:contextualSpacing/>
        <w:jc w:val="both"/>
      </w:pPr>
      <w:r>
        <w:t>Access to finance is a major barrier to purchasing property, issues identified include the amount of deposit required, low incomes restricting the amount people can borrow</w:t>
      </w:r>
      <w:r w:rsidR="00D85049">
        <w:t xml:space="preserve"> and stricter lending criteria.</w:t>
      </w:r>
      <w:r>
        <w:t xml:space="preserve"> This has had an adverse impact on the first time buyer market resulting in a knock on impact on the wider housing market;</w:t>
      </w:r>
    </w:p>
    <w:p w:rsidR="00E168C3" w:rsidRDefault="00E168C3" w:rsidP="00AC6F24">
      <w:pPr>
        <w:pStyle w:val="ListParagraph"/>
        <w:numPr>
          <w:ilvl w:val="0"/>
          <w:numId w:val="28"/>
        </w:numPr>
        <w:spacing w:before="0" w:after="200" w:line="276" w:lineRule="auto"/>
        <w:contextualSpacing/>
        <w:jc w:val="both"/>
      </w:pPr>
      <w:r>
        <w:t>Incentives provided by developers  including providing deposits, part exchange and high quality fixtures and fittings at a competitive price are making new build properties more attractive than older stock;</w:t>
      </w:r>
    </w:p>
    <w:p w:rsidR="00E168C3" w:rsidRDefault="00E168C3" w:rsidP="00AC6F24">
      <w:pPr>
        <w:pStyle w:val="ListParagraph"/>
        <w:numPr>
          <w:ilvl w:val="0"/>
          <w:numId w:val="28"/>
        </w:numPr>
        <w:spacing w:before="0" w:after="200" w:line="276" w:lineRule="auto"/>
        <w:contextualSpacing/>
        <w:jc w:val="both"/>
      </w:pPr>
      <w:r>
        <w:t>Other than bungalows there is no current shortage of the supply of particular types of housing in the current market;</w:t>
      </w:r>
    </w:p>
    <w:p w:rsidR="00E168C3" w:rsidRDefault="00E168C3" w:rsidP="00AC6F24">
      <w:pPr>
        <w:pStyle w:val="ListParagraph"/>
        <w:numPr>
          <w:ilvl w:val="0"/>
          <w:numId w:val="28"/>
        </w:numPr>
        <w:spacing w:before="0" w:after="200" w:line="276" w:lineRule="auto"/>
        <w:contextualSpacing/>
        <w:jc w:val="both"/>
      </w:pPr>
      <w:r>
        <w:t>Repossessions in areas of County Durham have been stated as being relatively high.  As these properties are priced lower than others within the market, they are attractive to buyers mainly investors and are reducing the prices of other properties in the area;</w:t>
      </w:r>
    </w:p>
    <w:p w:rsidR="00E168C3" w:rsidRDefault="00E168C3" w:rsidP="00AC6F24">
      <w:pPr>
        <w:pStyle w:val="ListParagraph"/>
        <w:numPr>
          <w:ilvl w:val="0"/>
          <w:numId w:val="28"/>
        </w:numPr>
        <w:spacing w:before="0" w:after="200" w:line="276" w:lineRule="auto"/>
        <w:contextualSpacing/>
        <w:jc w:val="both"/>
      </w:pPr>
      <w:r>
        <w:t>There has been an increase in the number of properties being sold in auctions and more estate agents are now operating in this market .  This trend is expected to continue;</w:t>
      </w:r>
    </w:p>
    <w:p w:rsidR="00E168C3" w:rsidRDefault="00E168C3" w:rsidP="00AC6F24">
      <w:pPr>
        <w:pStyle w:val="ListParagraph"/>
        <w:numPr>
          <w:ilvl w:val="0"/>
          <w:numId w:val="28"/>
        </w:numPr>
        <w:spacing w:before="0" w:after="200" w:line="276" w:lineRule="auto"/>
        <w:contextualSpacing/>
        <w:jc w:val="both"/>
      </w:pPr>
      <w:r>
        <w:t>The rental market is extremely buoyant and there continues to be demand from investors.  Due to the strong demand for rental properties people who are unable to sell their properties are becoming landlords.  Rental values tend to average at £400 per calendar month for a 2 bedroomed  property;</w:t>
      </w:r>
    </w:p>
    <w:p w:rsidR="00E168C3" w:rsidRDefault="00E168C3" w:rsidP="00AC6F24">
      <w:pPr>
        <w:pStyle w:val="ListParagraph"/>
        <w:numPr>
          <w:ilvl w:val="0"/>
          <w:numId w:val="28"/>
        </w:numPr>
        <w:spacing w:before="0" w:after="200" w:line="276" w:lineRule="auto"/>
        <w:contextualSpacing/>
        <w:jc w:val="both"/>
      </w:pPr>
      <w:r>
        <w:t>Due to delays in the payment of housing benefit of up to three to four months landlords have been reluctant to rent to those in receipt of housing benefit.</w:t>
      </w:r>
    </w:p>
    <w:p w:rsidR="00E168C3" w:rsidRDefault="00E168C3" w:rsidP="00E168C3"/>
    <w:p w:rsidR="00E168C3" w:rsidRPr="00E168C3" w:rsidRDefault="00E168C3" w:rsidP="00E168C3">
      <w:pPr>
        <w:ind w:firstLine="709"/>
        <w:rPr>
          <w:i/>
        </w:rPr>
      </w:pPr>
      <w:r w:rsidRPr="00E168C3">
        <w:rPr>
          <w:i/>
        </w:rPr>
        <w:t>Location</w:t>
      </w:r>
    </w:p>
    <w:p w:rsidR="00E168C3" w:rsidRDefault="00E168C3" w:rsidP="00E168C3">
      <w:pPr>
        <w:pStyle w:val="Maintext"/>
      </w:pPr>
      <w:r>
        <w:t>The housing market within County Durham is extremely localised with the majority of buyers living in the town or village in which they are looking to buy a property.  Areas which tend to attract people from outside County Durham tend to be either close to or are centres of employment, Durham and</w:t>
      </w:r>
      <w:r w:rsidR="003A0F4E" w:rsidRPr="003A0F4E">
        <w:t xml:space="preserve"> </w:t>
      </w:r>
      <w:r w:rsidR="003A0F4E">
        <w:t>Chester-le-Street</w:t>
      </w:r>
      <w:r>
        <w:t xml:space="preserve"> or more rural locations such as Barnard Castle.  The investor market which is still quite strong continues to attract buyers from outside the SHMA</w:t>
      </w:r>
    </w:p>
    <w:p w:rsidR="00E168C3" w:rsidRDefault="00E168C3" w:rsidP="00E168C3">
      <w:pPr>
        <w:pStyle w:val="Maintext"/>
      </w:pPr>
      <w:r>
        <w:t xml:space="preserve">Geographically </w:t>
      </w:r>
      <w:r w:rsidR="00726CA8">
        <w:t xml:space="preserve">Chester-le-Street </w:t>
      </w:r>
      <w:r>
        <w:t>due to its proximity to Newcastle and Gateshead combined with its amenities is remaining a popular place to buy, as is Seaham due to its proximity to Sunderland and extensive regeneration, Peterlee for its employment offer and Barnard Castle due to its rural location.  Other areas are attracting lower levels of buyers particularly outlying ex coalfield villages.</w:t>
      </w:r>
    </w:p>
    <w:p w:rsidR="00E168C3" w:rsidRDefault="00E168C3" w:rsidP="00E168C3"/>
    <w:p w:rsidR="00E168C3" w:rsidRPr="00E168C3" w:rsidRDefault="00E168C3" w:rsidP="00E168C3">
      <w:pPr>
        <w:ind w:firstLine="709"/>
        <w:rPr>
          <w:i/>
        </w:rPr>
      </w:pPr>
      <w:r w:rsidRPr="00E168C3">
        <w:rPr>
          <w:i/>
        </w:rPr>
        <w:t>House Prices</w:t>
      </w:r>
    </w:p>
    <w:p w:rsidR="0082755F" w:rsidRDefault="00E168C3" w:rsidP="00E168C3">
      <w:pPr>
        <w:pStyle w:val="Maintext"/>
      </w:pPr>
      <w:r>
        <w:t>Estate Agents are currently citing that market trends are difficult to identify and that there are no strong characteristics in terms of location, type of housing or type of buyer.  The lower end of the market appears to be slightly more buoyant attracting home owners and investors in a town centre location at an affordable price, up to £100,000.  In Easington Village, terraces can currently be purchased for as little as £15,000</w:t>
      </w:r>
      <w:r w:rsidR="0082755F">
        <w:t>.</w:t>
      </w:r>
    </w:p>
    <w:p w:rsidR="0082755F" w:rsidRDefault="00E168C3" w:rsidP="00E168C3">
      <w:pPr>
        <w:pStyle w:val="Maintext"/>
      </w:pPr>
      <w:r>
        <w:t>Larger more expensive properties (£200,000 upwards) are currently not attracting buyers.  A number of estate agents are reporting that once an offer has been made, that buyers are unable to secure a mortgage due to surveyors on behalf of mortgage companies putting a lower valuation on the property</w:t>
      </w:r>
      <w:r w:rsidR="0082755F">
        <w:t>.</w:t>
      </w:r>
    </w:p>
    <w:p w:rsidR="00E168C3" w:rsidRDefault="00E168C3" w:rsidP="00E168C3">
      <w:pPr>
        <w:pStyle w:val="Maintext"/>
      </w:pPr>
      <w:r>
        <w:t>The current economic climate is resulting in a fairly static housing market in terms of transactions and prices, with prices still continuing to fall in certain areas.  This is anticipated to continue in the foreseeable future.  Vendors are more realistic now than they were two years ago on the price that they can get for their property and in most cases are reducing prices to secure a sale knowing that in turn they can purchase a property at a lower price.  Levels of repossessions have fallen compared to previous years although they remain high in some areas Bishop Auckland and Spennymoor.  Repossessions sell quickly and at a low price, primarily to investors, distorting the open market in areas where there are a lot of repossessions.  Auctions are also becoming more popular attracting property owners who traditionally wouldn’t have used an auction, enabling them to sell their property more quickly.</w:t>
      </w:r>
    </w:p>
    <w:p w:rsidR="00E168C3" w:rsidRDefault="00E168C3" w:rsidP="00E168C3"/>
    <w:p w:rsidR="00E168C3" w:rsidRPr="0082755F" w:rsidRDefault="00E168C3" w:rsidP="0082755F">
      <w:pPr>
        <w:ind w:firstLine="709"/>
        <w:rPr>
          <w:i/>
        </w:rPr>
      </w:pPr>
      <w:r w:rsidRPr="0082755F">
        <w:rPr>
          <w:i/>
        </w:rPr>
        <w:t>First time buyer market</w:t>
      </w:r>
    </w:p>
    <w:p w:rsidR="00E168C3" w:rsidRDefault="00E168C3" w:rsidP="0082755F">
      <w:pPr>
        <w:pStyle w:val="Maintext"/>
      </w:pPr>
      <w:r>
        <w:t>The first time buyer market is extremely weak due to deposits of up to 15% being required coupled with strict lending criteria.  However, some mortgage companies have introduced 95% mortgages recently.  Those first time buyers that have deposits tend to be accessing finance from their parents.  The lack of first time buyers is having a wider impact on the wider housing market, restricting people from moving up the property ladder.</w:t>
      </w:r>
    </w:p>
    <w:p w:rsidR="0082755F" w:rsidRDefault="0082755F" w:rsidP="00E168C3"/>
    <w:p w:rsidR="00E168C3" w:rsidRPr="0082755F" w:rsidRDefault="00E168C3" w:rsidP="0082755F">
      <w:pPr>
        <w:ind w:firstLine="709"/>
        <w:rPr>
          <w:i/>
        </w:rPr>
      </w:pPr>
      <w:r w:rsidRPr="0082755F">
        <w:rPr>
          <w:i/>
        </w:rPr>
        <w:t>Rental market</w:t>
      </w:r>
    </w:p>
    <w:p w:rsidR="00E168C3" w:rsidRDefault="00E168C3" w:rsidP="0082755F">
      <w:pPr>
        <w:pStyle w:val="Maintext"/>
      </w:pPr>
      <w:r>
        <w:t xml:space="preserve">The rental market is particularly buoyant in all towns and villages across the </w:t>
      </w:r>
      <w:r w:rsidR="0082755F">
        <w:t xml:space="preserve">County </w:t>
      </w:r>
      <w:r>
        <w:t>with rental prices for a 2 bedroomed property commanding between £400</w:t>
      </w:r>
      <w:r w:rsidR="00D85049">
        <w:t xml:space="preserve"> and £500 per calendar month.  </w:t>
      </w:r>
      <w:r>
        <w:t>People are looking to rent predominantly in central locations close to amenities.  Demand for rental properties is strong with properties quickly securing a tenant.  Increasingly home owners who cannot sell their properties are looking to rent to enable them to move up the property ladder.  There has been a delay of up to three months in the payment of housing benefits resulting in landlords not accepting tenants who are in receipt of this, although more recently the delay in payments appears to be decreasing.</w:t>
      </w:r>
    </w:p>
    <w:p w:rsidR="0082755F" w:rsidRDefault="0082755F" w:rsidP="00E168C3"/>
    <w:p w:rsidR="00E168C3" w:rsidRPr="0082755F" w:rsidRDefault="00E168C3" w:rsidP="0082755F">
      <w:pPr>
        <w:ind w:firstLine="709"/>
        <w:rPr>
          <w:i/>
        </w:rPr>
      </w:pPr>
      <w:r w:rsidRPr="0082755F">
        <w:rPr>
          <w:i/>
        </w:rPr>
        <w:t>New Build</w:t>
      </w:r>
    </w:p>
    <w:p w:rsidR="00E168C3" w:rsidRDefault="00E168C3" w:rsidP="0082755F">
      <w:pPr>
        <w:pStyle w:val="Maintext"/>
      </w:pPr>
      <w:r>
        <w:t>Estate agents are reporting that developers are offering significant incentives for new build properties including providing deposits, part exchange as well as being able to offers buyers a choice of fixture and fittings.   This is making new build properties attractive to potenti</w:t>
      </w:r>
      <w:r w:rsidR="003A0F4E">
        <w:t xml:space="preserve">al buyers. </w:t>
      </w:r>
    </w:p>
    <w:p w:rsidR="0082755F" w:rsidRDefault="0082755F" w:rsidP="00E168C3"/>
    <w:p w:rsidR="00E168C3" w:rsidRPr="0082755F" w:rsidRDefault="00E168C3" w:rsidP="0082755F">
      <w:pPr>
        <w:ind w:firstLine="709"/>
        <w:rPr>
          <w:i/>
        </w:rPr>
      </w:pPr>
      <w:r w:rsidRPr="0082755F">
        <w:rPr>
          <w:i/>
        </w:rPr>
        <w:t>Future Trends</w:t>
      </w:r>
    </w:p>
    <w:p w:rsidR="0082755F" w:rsidRDefault="00E168C3" w:rsidP="00E168C3">
      <w:pPr>
        <w:pStyle w:val="Maintext"/>
      </w:pPr>
      <w:r>
        <w:t xml:space="preserve">A relatively static market is anticipated for the foreseeable future by estate agents.   Access to finance and the lack of first time buyers coupled with economic uncertainty will continue to negatively impact upon the demand for housing to buy but stimulate the buy to let and rental market.   In terms of housing supply, with the exception of bungalows, there appears to be no shortage of other house types and issues associated with affordability are primarily associated with access to mortgages rather than the price of properties. </w:t>
      </w:r>
    </w:p>
    <w:p w:rsidR="00CF5794" w:rsidRPr="00D85049" w:rsidRDefault="00E168C3" w:rsidP="00E168C3">
      <w:pPr>
        <w:pStyle w:val="Maintext"/>
      </w:pPr>
      <w:r>
        <w:t>Areas which are close to employment and more affluent rural areas will continue to be popular locations for buyers, with the ex-coalfield villages being less so and also primarily attractive to their indigenous population.</w:t>
      </w:r>
    </w:p>
    <w:p w:rsidR="00B440F0" w:rsidRDefault="00B440F0" w:rsidP="00E168C3">
      <w:pPr>
        <w:rPr>
          <w:b/>
        </w:rPr>
      </w:pPr>
    </w:p>
    <w:p w:rsidR="00E168C3" w:rsidRDefault="00B440F0" w:rsidP="0082755F">
      <w:pPr>
        <w:ind w:firstLine="709"/>
        <w:rPr>
          <w:b/>
        </w:rPr>
      </w:pPr>
      <w:r>
        <w:rPr>
          <w:b/>
        </w:rPr>
        <w:t>C</w:t>
      </w:r>
      <w:r w:rsidR="00E168C3">
        <w:rPr>
          <w:b/>
        </w:rPr>
        <w:t>haracteristics</w:t>
      </w:r>
      <w:r>
        <w:rPr>
          <w:b/>
        </w:rPr>
        <w:t xml:space="preserve"> of localities within County Durham</w:t>
      </w:r>
    </w:p>
    <w:p w:rsidR="003A0F4E" w:rsidRPr="00AF4ED8" w:rsidRDefault="003A0F4E" w:rsidP="0082755F">
      <w:pPr>
        <w:ind w:firstLine="709"/>
        <w:rPr>
          <w:b/>
        </w:rPr>
      </w:pPr>
    </w:p>
    <w:p w:rsidR="00E168C3" w:rsidRDefault="00E168C3" w:rsidP="0082755F">
      <w:pPr>
        <w:ind w:firstLine="709"/>
        <w:rPr>
          <w:b/>
        </w:rPr>
      </w:pPr>
      <w:r>
        <w:rPr>
          <w:b/>
        </w:rPr>
        <w:t>Barnard Castle</w:t>
      </w:r>
    </w:p>
    <w:p w:rsidR="0082755F" w:rsidRDefault="00E168C3" w:rsidP="00E168C3">
      <w:pPr>
        <w:pStyle w:val="Maintext"/>
      </w:pPr>
      <w:r>
        <w:t xml:space="preserve">Barnard Castle due to its rural location, amenities, employment and schools and relative affordability compared to rural areas in North Yorkshire makes it an attractive place for buyers.  Properties in the Barnard Castle </w:t>
      </w:r>
      <w:r w:rsidR="0083534C">
        <w:t>survey area</w:t>
      </w:r>
      <w:r>
        <w:t xml:space="preserve"> are currently priced from less than £100,000 within Barnard Castle to in excess £700,000 in the surrounding dales.  Buyers include investors for buy to let, holiday homes, as well as those looking to live in the area.  The number of properties on the market since 2007 has declined and this has contributed to prices rising in the area</w:t>
      </w:r>
      <w:r w:rsidR="0082755F">
        <w:t>.</w:t>
      </w:r>
    </w:p>
    <w:p w:rsidR="0082755F" w:rsidRDefault="00E168C3" w:rsidP="00E168C3">
      <w:pPr>
        <w:pStyle w:val="Maintext"/>
      </w:pPr>
      <w:r>
        <w:t xml:space="preserve">The rental market is strong due to the inability of people to purchase a property, this is not exclusive to first time buyers.  Properties within the town centre are popular for those looking to rent.   The average rent is £550 pcm.  90% of landlords in the area do not accept those who are in receipt of housing benefit which is making it difficult for those on housing benefit to find properties in Barnard Castle. </w:t>
      </w:r>
    </w:p>
    <w:p w:rsidR="00E168C3" w:rsidRDefault="00E168C3" w:rsidP="00E168C3">
      <w:pPr>
        <w:pStyle w:val="Maintext"/>
      </w:pPr>
      <w:r>
        <w:t>Estate Agents did not report a shortage of any types of properties within Barnard Castle and that they expected the housing market in the area to continue to be strong.</w:t>
      </w:r>
    </w:p>
    <w:p w:rsidR="0082755F" w:rsidRDefault="0082755F" w:rsidP="00E168C3">
      <w:pPr>
        <w:rPr>
          <w:b/>
        </w:rPr>
      </w:pPr>
    </w:p>
    <w:p w:rsidR="00E168C3" w:rsidRDefault="00E168C3" w:rsidP="0082755F">
      <w:pPr>
        <w:ind w:firstLine="709"/>
        <w:rPr>
          <w:b/>
        </w:rPr>
      </w:pPr>
      <w:r>
        <w:rPr>
          <w:b/>
        </w:rPr>
        <w:t>Bishop Auckland</w:t>
      </w:r>
    </w:p>
    <w:p w:rsidR="0082755F" w:rsidRDefault="00E168C3" w:rsidP="00E168C3">
      <w:pPr>
        <w:pStyle w:val="Maintext"/>
      </w:pPr>
      <w:r>
        <w:t xml:space="preserve">Prices in Bishop Auckland are reported as being static with the majority of properties purchased for less than £100,000. Repossessions have also impacted on prices in the wider housing market.  The town centre is the most popular location for those looking to </w:t>
      </w:r>
      <w:r w:rsidR="001B3D63">
        <w:t>buy or rent, Toft Hill and Etherl</w:t>
      </w:r>
      <w:r>
        <w:t xml:space="preserve">ey Lane are also popular locations.  The average rent in Bishop Auckland is currently £350pcm to £400 pcm.  The rental market is more active than the rest of the housing market.   </w:t>
      </w:r>
    </w:p>
    <w:p w:rsidR="00E168C3" w:rsidRDefault="00E168C3" w:rsidP="00E168C3">
      <w:pPr>
        <w:pStyle w:val="Maintext"/>
      </w:pPr>
      <w:r>
        <w:t>No trends could be identified in terms of the type of properties being bought or the type of buyer purchasing properties.  Areas that are less popular inclu</w:t>
      </w:r>
      <w:r w:rsidR="001B3D63">
        <w:t>de Eldon, Gurney Valley, Tindale</w:t>
      </w:r>
      <w:r w:rsidR="00381E1B">
        <w:t xml:space="preserve"> and Coun</w:t>
      </w:r>
      <w:r>
        <w:t xml:space="preserve">den.  </w:t>
      </w:r>
    </w:p>
    <w:p w:rsidR="0082755F" w:rsidRDefault="0082755F" w:rsidP="00E168C3">
      <w:pPr>
        <w:rPr>
          <w:b/>
        </w:rPr>
      </w:pPr>
    </w:p>
    <w:p w:rsidR="00E168C3" w:rsidRDefault="00E168C3" w:rsidP="0082755F">
      <w:pPr>
        <w:ind w:firstLine="709"/>
        <w:rPr>
          <w:b/>
        </w:rPr>
      </w:pPr>
      <w:r w:rsidRPr="00FB2BCF">
        <w:rPr>
          <w:b/>
        </w:rPr>
        <w:t xml:space="preserve">Chester – </w:t>
      </w:r>
      <w:r>
        <w:rPr>
          <w:b/>
        </w:rPr>
        <w:t>l</w:t>
      </w:r>
      <w:r w:rsidRPr="00FB2BCF">
        <w:rPr>
          <w:b/>
        </w:rPr>
        <w:t xml:space="preserve">e </w:t>
      </w:r>
      <w:r>
        <w:rPr>
          <w:b/>
        </w:rPr>
        <w:t>–</w:t>
      </w:r>
      <w:r w:rsidRPr="00FB2BCF">
        <w:rPr>
          <w:b/>
        </w:rPr>
        <w:t xml:space="preserve"> Street</w:t>
      </w:r>
    </w:p>
    <w:p w:rsidR="0082755F" w:rsidRDefault="00726CA8" w:rsidP="00E168C3">
      <w:pPr>
        <w:pStyle w:val="Maintext"/>
      </w:pPr>
      <w:r>
        <w:t>Chester-le-</w:t>
      </w:r>
      <w:r w:rsidR="00E168C3">
        <w:t xml:space="preserve">Street unlike other </w:t>
      </w:r>
      <w:r w:rsidR="0083534C">
        <w:t>survey area</w:t>
      </w:r>
      <w:r w:rsidR="00E168C3">
        <w:t xml:space="preserve">s within the SHMA has a buoyant housing market attracting buyers from all segments of the market (first time buyers, families, investors) as well as people from outside the area.  Its proximity to Newcastle, good transport links, amenities including the school, retail centre and parks is making it an attractive location for buyers.  Although there are still areas such as Grange Villa and Pelton Fell that are less popular.  </w:t>
      </w:r>
    </w:p>
    <w:p w:rsidR="0082755F" w:rsidRDefault="00E168C3" w:rsidP="00E168C3">
      <w:pPr>
        <w:pStyle w:val="Maintext"/>
      </w:pPr>
      <w:r>
        <w:t xml:space="preserve">Properties priced below £275,000 are selling the strongest, with properties starting at £70,000 for a two bedroomed terrace.  The upper end of the market is reported as being sluggish although with some activity.  </w:t>
      </w:r>
    </w:p>
    <w:p w:rsidR="00E168C3" w:rsidRDefault="00E168C3" w:rsidP="00E168C3">
      <w:pPr>
        <w:pStyle w:val="Maintext"/>
      </w:pPr>
      <w:r>
        <w:t>The rental market is buoyant too, with 3 bedroomed semi detached properties commanding up to £625 per calendar month and terraces up to £450.  The rental market is attractive to students and people moving to the area for employment.</w:t>
      </w:r>
    </w:p>
    <w:p w:rsidR="0082755F" w:rsidRDefault="0082755F" w:rsidP="00E168C3">
      <w:pPr>
        <w:rPr>
          <w:b/>
        </w:rPr>
      </w:pPr>
    </w:p>
    <w:p w:rsidR="00E168C3" w:rsidRDefault="00E168C3" w:rsidP="0082755F">
      <w:pPr>
        <w:ind w:firstLine="709"/>
        <w:rPr>
          <w:b/>
        </w:rPr>
      </w:pPr>
      <w:r>
        <w:rPr>
          <w:b/>
        </w:rPr>
        <w:t>Consett</w:t>
      </w:r>
    </w:p>
    <w:p w:rsidR="0082755F" w:rsidRDefault="00E168C3" w:rsidP="00E168C3">
      <w:pPr>
        <w:pStyle w:val="Maintext"/>
      </w:pPr>
      <w:r>
        <w:t xml:space="preserve">Popular locations in Consett and its surrounding villages are the Town Centre, Blackhill and Shotley Bridge.  No trends were reported in relation to the type of properties being purchased, with demand ranging from 2 bedroomed terraces costing approximately £50,000 up to 5 bedroomed detached properties selling for £450,000.  Unpopular locations include The Dene with properties selling at £42,000. </w:t>
      </w:r>
    </w:p>
    <w:p w:rsidR="0082755F" w:rsidRDefault="00E168C3" w:rsidP="00E168C3">
      <w:pPr>
        <w:pStyle w:val="Maintext"/>
      </w:pPr>
      <w:r>
        <w:t xml:space="preserve">Although predominantly a localised market, </w:t>
      </w:r>
      <w:r w:rsidR="0082755F">
        <w:t xml:space="preserve">the Consett </w:t>
      </w:r>
      <w:r w:rsidR="0083534C">
        <w:t>survey area</w:t>
      </w:r>
      <w:r>
        <w:t xml:space="preserve"> particularly those locations that are more rural are still attracting buyers from Newcastle, Gateshead and Northumberland due to value for money factors.  One of the estate agents did state that fewer buyers are from outside the area and they cited the increase in living costs, particularly those relating to commuting as having a negative impact.</w:t>
      </w:r>
    </w:p>
    <w:p w:rsidR="0082755F" w:rsidRDefault="00E168C3" w:rsidP="00E168C3">
      <w:pPr>
        <w:pStyle w:val="Maintext"/>
      </w:pPr>
      <w:r>
        <w:t>Approximately 40%</w:t>
      </w:r>
      <w:r w:rsidR="003A0F4E">
        <w:t xml:space="preserve"> of the market in Consett is ex-</w:t>
      </w:r>
      <w:r>
        <w:t>new build properties and there continues to be high levels of new build in Consett.  Incentives provided by developers make new build properties more attractive to buyers impacting on the 2</w:t>
      </w:r>
      <w:r w:rsidRPr="0082755F">
        <w:rPr>
          <w:vertAlign w:val="superscript"/>
        </w:rPr>
        <w:t xml:space="preserve">nd </w:t>
      </w:r>
      <w:r>
        <w:t xml:space="preserve">hand market.  An estate agent felt that the current and forecasted levels of new build in the area could result in an oversupply of housing in the Consett </w:t>
      </w:r>
      <w:r w:rsidR="0083534C">
        <w:t>survey area</w:t>
      </w:r>
      <w:r>
        <w:t xml:space="preserve"> and that the value of ex new build had fallen dramatically placing home owners in negative equity.</w:t>
      </w:r>
    </w:p>
    <w:p w:rsidR="00E168C3" w:rsidRDefault="00E168C3" w:rsidP="00E168C3">
      <w:pPr>
        <w:pStyle w:val="Maintext"/>
      </w:pPr>
      <w:r>
        <w:t xml:space="preserve">Properties in the town centre are popular with people who are looking to rent, with rental values ranging between £375 and £500 for 2 and 3 bedroomed properties.   The rental market as with other areas within the County Durham SHMA is buoyant.  </w:t>
      </w:r>
    </w:p>
    <w:p w:rsidR="0082755F" w:rsidRDefault="0082755F" w:rsidP="00E168C3">
      <w:pPr>
        <w:rPr>
          <w:b/>
        </w:rPr>
      </w:pPr>
    </w:p>
    <w:p w:rsidR="00E168C3" w:rsidRDefault="00E168C3" w:rsidP="0082755F">
      <w:pPr>
        <w:ind w:firstLine="709"/>
        <w:rPr>
          <w:b/>
        </w:rPr>
      </w:pPr>
      <w:r w:rsidRPr="00853E98">
        <w:rPr>
          <w:b/>
        </w:rPr>
        <w:t>Crook</w:t>
      </w:r>
      <w:r w:rsidR="0082755F">
        <w:rPr>
          <w:b/>
        </w:rPr>
        <w:t xml:space="preserve"> and Willington</w:t>
      </w:r>
    </w:p>
    <w:p w:rsidR="0082755F" w:rsidRDefault="00E168C3" w:rsidP="00E168C3">
      <w:pPr>
        <w:pStyle w:val="Maintext"/>
      </w:pPr>
      <w:r>
        <w:t xml:space="preserve">The lower end of the housing market in Crook is buoyant with properties under £50,000 attracting investors due to the high demand for rental properties.  New build properties are attractive to first time buyers and those who are looking to move up the next step of the housing ladder, a 3 bedroomed new build house with garden is currently selling between £90,000 to £100,000.  </w:t>
      </w:r>
    </w:p>
    <w:p w:rsidR="0082755F" w:rsidRDefault="00E168C3" w:rsidP="00E168C3">
      <w:pPr>
        <w:pStyle w:val="Maintext"/>
      </w:pPr>
      <w:r>
        <w:t>Rental levels for a 2 bedroomed terrace are £375 pcm.  In the surrounding rural hinterland cheaper properties that require work to them are selling more than other house types, again this is mainly from investors targeting the holiday rental market.  As a result of this the Crook area is attractive to buyers both who are from the area and from the south of the Country</w:t>
      </w:r>
    </w:p>
    <w:p w:rsidR="00E168C3" w:rsidRPr="00853E98" w:rsidRDefault="00E168C3" w:rsidP="00E168C3">
      <w:pPr>
        <w:pStyle w:val="Maintext"/>
      </w:pPr>
      <w:r>
        <w:t xml:space="preserve">Prices in the Crook </w:t>
      </w:r>
      <w:r w:rsidR="0083534C">
        <w:t>survey area</w:t>
      </w:r>
      <w:r>
        <w:t xml:space="preserve"> have fallen and this trend is forecasted to continue as is the current trend in terms of the type of properties that are being sold.  Other than bungalows there are no shortages of house types on the market, with one estate agent stating they had 100 extra properties for sale in 2012 than the same time in 2011.</w:t>
      </w:r>
    </w:p>
    <w:p w:rsidR="0082755F" w:rsidRDefault="0082755F" w:rsidP="00E168C3">
      <w:pPr>
        <w:rPr>
          <w:b/>
        </w:rPr>
      </w:pPr>
    </w:p>
    <w:p w:rsidR="00E168C3" w:rsidRDefault="00E168C3" w:rsidP="0082755F">
      <w:pPr>
        <w:ind w:firstLine="709"/>
        <w:rPr>
          <w:b/>
        </w:rPr>
      </w:pPr>
      <w:r w:rsidRPr="00205533">
        <w:rPr>
          <w:b/>
        </w:rPr>
        <w:t>Durham</w:t>
      </w:r>
    </w:p>
    <w:p w:rsidR="0082755F" w:rsidRDefault="00E168C3" w:rsidP="00E168C3">
      <w:pPr>
        <w:pStyle w:val="Maintext"/>
      </w:pPr>
      <w:r>
        <w:t xml:space="preserve">Durham City Centre due to its role as an employment centre and because of the University remains popular for buyers and investors from both inside and outside the area.  The market in the surrounding areas of Durham is weaker and predominantly attractive to buyers who live in these villages. </w:t>
      </w:r>
    </w:p>
    <w:p w:rsidR="0082755F" w:rsidRDefault="00E168C3" w:rsidP="00E168C3">
      <w:pPr>
        <w:pStyle w:val="Maintext"/>
      </w:pPr>
      <w:r>
        <w:t>Within the City Centre 4 bedroomed terrace properties are popular for those looking to buy to rent to students, purchasers include both investors and parents of students.  Landlords are currently charging £70 to £75 per room per week.   One estate agent reported that the rental market is currently saturated with properties, as in addition to investors those properties that can not sell are being made available to rent</w:t>
      </w:r>
    </w:p>
    <w:p w:rsidR="0082755F" w:rsidRDefault="00E168C3" w:rsidP="00E168C3">
      <w:pPr>
        <w:pStyle w:val="Maintext"/>
      </w:pPr>
      <w:r>
        <w:t>Other areas that have strong demand particularly from families are the catchment area of Durham Johnston, with prices ranging from £250,000 to £450,000 and Shincliffe/High Shincliffe.  Langley</w:t>
      </w:r>
      <w:r w:rsidR="00DD3EB7">
        <w:t xml:space="preserve"> Park</w:t>
      </w:r>
      <w:r>
        <w:t>, Pittington and Broompark are attractive to investors, with properties selling as low as £40,000 to £50,000</w:t>
      </w:r>
    </w:p>
    <w:p w:rsidR="0082755F" w:rsidRDefault="00E168C3" w:rsidP="00E168C3">
      <w:pPr>
        <w:pStyle w:val="Maintext"/>
      </w:pPr>
      <w:r>
        <w:t xml:space="preserve">Durham compared to other </w:t>
      </w:r>
      <w:r w:rsidR="0083534C">
        <w:t>survey area</w:t>
      </w:r>
      <w:r>
        <w:t>s has more first time buyers, but access to deposits remain a problem, with few first time buyers in the DH1 postcode area. There have been a number or repossessions particularly in Brandon and Esh Winning, which have been mainly purchased by investors.  Levels of repossessions have reported to fallen recently.</w:t>
      </w:r>
    </w:p>
    <w:p w:rsidR="0082755F" w:rsidRDefault="0082755F" w:rsidP="00E168C3">
      <w:pPr>
        <w:rPr>
          <w:b/>
        </w:rPr>
      </w:pPr>
    </w:p>
    <w:p w:rsidR="00E168C3" w:rsidRDefault="00E168C3" w:rsidP="0082755F">
      <w:pPr>
        <w:ind w:firstLine="709"/>
        <w:rPr>
          <w:b/>
        </w:rPr>
      </w:pPr>
      <w:r>
        <w:rPr>
          <w:b/>
        </w:rPr>
        <w:t>Newton Aycliffe</w:t>
      </w:r>
    </w:p>
    <w:p w:rsidR="0082755F" w:rsidRDefault="00E168C3" w:rsidP="00E168C3">
      <w:pPr>
        <w:pStyle w:val="Maintext"/>
      </w:pPr>
      <w:r>
        <w:t>Newton Aycliffe’s housing market is more active than Shildon which is reported as being quiet by estate agents.  Properties up to £90,000 are selling in Newton Aycliffe, these are predominantly 3 to 4 bedroomed family houses popular with both families and first time buyers.  The first time buyer market has increased although access to finance is still identified as a major barrier for this segment of the market.</w:t>
      </w:r>
    </w:p>
    <w:p w:rsidR="00E168C3" w:rsidRPr="00B75C76" w:rsidRDefault="00E168C3" w:rsidP="00E168C3">
      <w:pPr>
        <w:pStyle w:val="Maintext"/>
      </w:pPr>
      <w:r>
        <w:t>Predominantly investors are buying 2 bedroomed terraced houses in Shildon with the rest of the market being extremely weak.   The rental market is strong with rents averaging £380 pcm although there has been an issue with delays in the payment of housing benefit in the area.</w:t>
      </w:r>
    </w:p>
    <w:p w:rsidR="0082755F" w:rsidRDefault="0082755F" w:rsidP="00E168C3">
      <w:pPr>
        <w:rPr>
          <w:b/>
        </w:rPr>
      </w:pPr>
    </w:p>
    <w:p w:rsidR="00E168C3" w:rsidRDefault="00E168C3" w:rsidP="0082755F">
      <w:pPr>
        <w:ind w:firstLine="709"/>
        <w:rPr>
          <w:b/>
        </w:rPr>
      </w:pPr>
      <w:r>
        <w:rPr>
          <w:b/>
        </w:rPr>
        <w:t>Peterlee</w:t>
      </w:r>
    </w:p>
    <w:p w:rsidR="0082755F" w:rsidRDefault="00E168C3" w:rsidP="00E168C3">
      <w:pPr>
        <w:pStyle w:val="Maintext"/>
      </w:pPr>
      <w:r>
        <w:t xml:space="preserve">Due to a healthy supply of family housing in Peterlee, there is a good demand for houses with estate agents stating that the housing market has improved compared to last year.  Factors for this included vendors being more realistic on the price they could get for their properties, an increase in first time buyers including people being able to access 95% mortgages as well as an acceptance of the wider economic climate.  </w:t>
      </w:r>
    </w:p>
    <w:p w:rsidR="0082755F" w:rsidRDefault="00E168C3" w:rsidP="00E168C3">
      <w:pPr>
        <w:pStyle w:val="Maintext"/>
      </w:pPr>
      <w:r>
        <w:t>Semi detached and terraced properties in the range of £60,000 to £80,000 is where there appears to be most demand.    Popular areas include Oakerside where properties can sell up to £250,000 and those within the catchment areas of schools (Grampian Drive/Passfield Way).  Prices are either static or slightly higher than a year ago.</w:t>
      </w:r>
    </w:p>
    <w:p w:rsidR="0082755F" w:rsidRDefault="00E168C3" w:rsidP="00E168C3">
      <w:pPr>
        <w:pStyle w:val="Maintext"/>
      </w:pPr>
      <w:r>
        <w:t>The surrounding villages, Wheatley Hill, Easington, Blackhall and Wingate also have a relatively healthy housing market although buyers are mainly from within the villages.   Prices in the surrounding villages can vary from £15,000 in Easington Colliery to up to £400,000.  The low prices in Easington Colliery is fuelling the buy to let market, with a shortage of properties for this market being cited by an Estate Agent.</w:t>
      </w:r>
    </w:p>
    <w:p w:rsidR="0082755F" w:rsidRDefault="00E168C3" w:rsidP="00E168C3">
      <w:pPr>
        <w:pStyle w:val="Maintext"/>
      </w:pPr>
      <w:r>
        <w:t xml:space="preserve">The rental market is less active than last year, with a 2 bedroomed house renting for £425 pcm.   Investors in Peterlee are prepared to buy properties up to £70,000.  </w:t>
      </w:r>
    </w:p>
    <w:p w:rsidR="00E168C3" w:rsidRPr="000B0379" w:rsidRDefault="00E168C3" w:rsidP="00E168C3">
      <w:pPr>
        <w:pStyle w:val="Maintext"/>
      </w:pPr>
      <w:r>
        <w:t>Estate agents identified a need for more new build properties in the area.  The current trends in both the housing and buy to let market are forecasted to continue in the next 12 months.</w:t>
      </w:r>
    </w:p>
    <w:p w:rsidR="00E168C3" w:rsidRPr="00B372CB" w:rsidRDefault="00E168C3" w:rsidP="00E168C3"/>
    <w:p w:rsidR="00E168C3" w:rsidRPr="00B372CB" w:rsidRDefault="00E168C3" w:rsidP="0082755F">
      <w:pPr>
        <w:ind w:firstLine="709"/>
        <w:rPr>
          <w:b/>
        </w:rPr>
      </w:pPr>
      <w:r w:rsidRPr="00B372CB">
        <w:rPr>
          <w:b/>
        </w:rPr>
        <w:t>Seaham</w:t>
      </w:r>
    </w:p>
    <w:p w:rsidR="0082755F" w:rsidRDefault="00E168C3" w:rsidP="00E168C3">
      <w:pPr>
        <w:pStyle w:val="Maintext"/>
      </w:pPr>
      <w:r>
        <w:t>The significant regeneration of Seaham, alongside its coastal location and proximity to Sunderland has made Seaham a more attractive place to live in the last ten years, particularly to those who are not from Seaham.  The housing market has been cited as being stable in the last two years and this trend is forecasted to continue.</w:t>
      </w:r>
    </w:p>
    <w:p w:rsidR="0082755F" w:rsidRDefault="00E168C3" w:rsidP="00E168C3">
      <w:pPr>
        <w:pStyle w:val="Maintext"/>
      </w:pPr>
      <w:r>
        <w:t xml:space="preserve">Properties in excess of £450,000 are reported to be difficult to sell, whereas properties of different types priced from £50,000 to £350,000 are currently selling, with vendors being more realistic enabling transactions within chains.  Other than bungalows there is no shortage of house types within this </w:t>
      </w:r>
      <w:r w:rsidR="0083534C">
        <w:t>survey area</w:t>
      </w:r>
      <w:r>
        <w:t xml:space="preserve">.  The first time buyer market is still weak.  Seaton Village, East Shaw and Dalton – le – Dale are the most popular locations for buyers.   </w:t>
      </w:r>
    </w:p>
    <w:p w:rsidR="0082755F" w:rsidRDefault="00E168C3" w:rsidP="00E168C3">
      <w:pPr>
        <w:pStyle w:val="Maintext"/>
      </w:pPr>
      <w:r>
        <w:t>Properties within Murton are difficult to sell resulting in a dramatic reduction in prices in this village.  Murton is predominantly attractive to buyers who currently live there.  The new build site in Murton by Taylor Wimpey is adversely impacting on the 2</w:t>
      </w:r>
      <w:r w:rsidRPr="0082755F">
        <w:rPr>
          <w:vertAlign w:val="superscript"/>
        </w:rPr>
        <w:t>nd</w:t>
      </w:r>
      <w:r>
        <w:t xml:space="preserve"> hand market as a new two bedroomed flat can be purchased at £70,000.</w:t>
      </w:r>
    </w:p>
    <w:p w:rsidR="00E168C3" w:rsidRDefault="00E168C3" w:rsidP="00E168C3">
      <w:pPr>
        <w:pStyle w:val="Maintext"/>
      </w:pPr>
      <w:r>
        <w:t>The above trends are anticipated to continue for the at least the next two years.</w:t>
      </w:r>
    </w:p>
    <w:p w:rsidR="0082755F" w:rsidRDefault="0082755F" w:rsidP="00E168C3">
      <w:pPr>
        <w:rPr>
          <w:b/>
        </w:rPr>
      </w:pPr>
    </w:p>
    <w:p w:rsidR="00E168C3" w:rsidRDefault="00E168C3" w:rsidP="0082755F">
      <w:pPr>
        <w:ind w:firstLine="709"/>
        <w:rPr>
          <w:b/>
        </w:rPr>
      </w:pPr>
      <w:r>
        <w:rPr>
          <w:b/>
        </w:rPr>
        <w:t>Sedgefield</w:t>
      </w:r>
    </w:p>
    <w:p w:rsidR="0082755F" w:rsidRDefault="00E168C3" w:rsidP="00E168C3">
      <w:pPr>
        <w:pStyle w:val="Maintext"/>
      </w:pPr>
      <w:r>
        <w:t xml:space="preserve">Sedgefield due to its proximity to strategic transport links, the amenities within the village and its semi rural location makes it a popular location for buyers </w:t>
      </w:r>
      <w:r w:rsidR="003A0F4E">
        <w:t>from inside and outside the</w:t>
      </w:r>
      <w:r w:rsidR="00AE4DA1">
        <w:t xml:space="preserve"> area</w:t>
      </w:r>
      <w:r>
        <w:t xml:space="preserve">. </w:t>
      </w:r>
    </w:p>
    <w:p w:rsidR="0082755F" w:rsidRDefault="00E168C3" w:rsidP="00E168C3">
      <w:pPr>
        <w:pStyle w:val="Maintext"/>
      </w:pPr>
      <w:r>
        <w:t xml:space="preserve">Properties in the price band of £100,000 to £170,000 are selling with buyers moving up the housing chain although this is currently sporadic.  The lack of first time buyers is having a major impact on the area’s housing market.  Agents are reporting that they have a lot of properties in excess of £200,000 on the market that they are not able to sell. The average rent in </w:t>
      </w:r>
      <w:r w:rsidR="003A0F4E">
        <w:t>Sedgefield</w:t>
      </w:r>
      <w:r>
        <w:t xml:space="preserve"> is currently £350 pcm</w:t>
      </w:r>
    </w:p>
    <w:p w:rsidR="00E168C3" w:rsidRDefault="00E168C3" w:rsidP="00E168C3">
      <w:pPr>
        <w:pStyle w:val="Maintext"/>
      </w:pPr>
      <w:r>
        <w:t xml:space="preserve">The rental market is more active with tenants looking to rent properties in Sedgefield, Fishburn and Trimdon.   </w:t>
      </w:r>
    </w:p>
    <w:p w:rsidR="0082755F" w:rsidRDefault="0082755F" w:rsidP="00E168C3">
      <w:pPr>
        <w:rPr>
          <w:b/>
        </w:rPr>
      </w:pPr>
    </w:p>
    <w:p w:rsidR="00E168C3" w:rsidRDefault="00E168C3" w:rsidP="0082755F">
      <w:pPr>
        <w:ind w:firstLine="709"/>
        <w:rPr>
          <w:b/>
        </w:rPr>
      </w:pPr>
      <w:r>
        <w:rPr>
          <w:b/>
        </w:rPr>
        <w:t>Spennymoor</w:t>
      </w:r>
    </w:p>
    <w:p w:rsidR="0082755F" w:rsidRDefault="00E168C3" w:rsidP="00E168C3">
      <w:pPr>
        <w:pStyle w:val="Maintext"/>
      </w:pPr>
      <w:r>
        <w:t xml:space="preserve">Properties ranging from £50,000 to £200,000 within Spennymoor are selling although the market is reported to be slow.  Prices in the last year have fallen and this is forecasted to continue.  The area is not attractive to investors with the buy to let market also reported as sluggish.  Popular areas are those with properties built after 1970, Grange Estate and Middleton Moor with Stratton, York Hill Estate and Craddick cited as being unpopular (prices between £30,000 and £60,000).  </w:t>
      </w:r>
    </w:p>
    <w:p w:rsidR="00E168C3" w:rsidRPr="001B7DBD" w:rsidRDefault="00E168C3" w:rsidP="00E168C3">
      <w:pPr>
        <w:pStyle w:val="Maintext"/>
      </w:pPr>
      <w:r>
        <w:t>The main impact on the Spennymoor housing market is the difficulty in accessing finance, particularly for first time buyers and this is having a negative impact on the wider housing market.  This coupled with a high level of repossessions is resulting in Spennymoor having a weak housing market and this is forecasted to continue.</w:t>
      </w:r>
    </w:p>
    <w:p w:rsidR="0082755F" w:rsidRDefault="0082755F" w:rsidP="00E168C3">
      <w:pPr>
        <w:rPr>
          <w:b/>
        </w:rPr>
      </w:pPr>
    </w:p>
    <w:p w:rsidR="00E168C3" w:rsidRDefault="00E168C3" w:rsidP="0082755F">
      <w:pPr>
        <w:ind w:firstLine="709"/>
        <w:rPr>
          <w:b/>
        </w:rPr>
      </w:pPr>
      <w:r>
        <w:rPr>
          <w:b/>
        </w:rPr>
        <w:t>Stanley</w:t>
      </w:r>
    </w:p>
    <w:p w:rsidR="0082755F" w:rsidRDefault="009B626A" w:rsidP="00E168C3">
      <w:pPr>
        <w:pStyle w:val="Maintext"/>
      </w:pPr>
      <w:r>
        <w:t>East Stanle</w:t>
      </w:r>
      <w:r w:rsidR="00E168C3">
        <w:t>y is popular for people looking to purchase properties, wh</w:t>
      </w:r>
      <w:r w:rsidR="003A0F4E">
        <w:t>ereas Stanley Town Centre, New K</w:t>
      </w:r>
      <w:r w:rsidR="00E168C3">
        <w:t>yo and South Moor are popular locations for investors. The rental market is particularly strong in Stanley with properties for rent, renting quickly at approximately £350 pcm for a 2 bedroomed property and £500 for a 3 bedroomed semi detached house.  Investors can currently purchase properties at £40,000 to £65,000.  The area is popular with investors from within and outside the area.</w:t>
      </w:r>
    </w:p>
    <w:p w:rsidR="00E168C3" w:rsidRPr="00CE1842" w:rsidRDefault="00E168C3" w:rsidP="00E168C3">
      <w:pPr>
        <w:pStyle w:val="Maintext"/>
      </w:pPr>
      <w:r>
        <w:t xml:space="preserve">New build properties due to developer incentives remain popular, with demand for other types of properties at prices above £70,000 is cited as being low.  Prices have fallen in Stanley, although this is mainly due to current market trends, Stanley has had a number of repossessions which have had a knock on impact on the wider housing market as had the popularity of sellers using auctions. </w:t>
      </w:r>
    </w:p>
    <w:p w:rsidR="00E168C3" w:rsidRDefault="00E168C3" w:rsidP="00E168C3">
      <w:pPr>
        <w:pStyle w:val="Maintext"/>
        <w:numPr>
          <w:ilvl w:val="0"/>
          <w:numId w:val="0"/>
        </w:numPr>
        <w:ind w:left="709"/>
      </w:pPr>
    </w:p>
    <w:p w:rsidR="00F52A96" w:rsidRPr="003C7F6F" w:rsidRDefault="00F52A96" w:rsidP="00267853"/>
    <w:p w:rsidR="003A6F13" w:rsidRDefault="003A6F13" w:rsidP="005922DD">
      <w:pPr>
        <w:pStyle w:val="Heading3"/>
      </w:pPr>
      <w:r>
        <w:t>Private rented sector</w:t>
      </w:r>
    </w:p>
    <w:p w:rsidR="003A6F13" w:rsidRDefault="003A6F13">
      <w:pPr>
        <w:pStyle w:val="Maintext"/>
      </w:pPr>
      <w:r>
        <w:t>The sector is diverse in terms of the range of households it accommodates and the types of properties available.  A report ‘The Modern Private Rented Sector’</w:t>
      </w:r>
      <w:r>
        <w:rPr>
          <w:vertAlign w:val="superscript"/>
        </w:rPr>
        <w:footnoteReference w:id="17"/>
      </w:r>
      <w:r>
        <w:t xml:space="preserve"> provides a useful overview of the sector.  Drawing upon 2001 census data, it suggests that the private rented sector has five key roles:</w:t>
      </w:r>
    </w:p>
    <w:p w:rsidR="003A6F13" w:rsidRDefault="003A6F13" w:rsidP="00C76826">
      <w:pPr>
        <w:pStyle w:val="Maintext"/>
        <w:numPr>
          <w:ilvl w:val="2"/>
          <w:numId w:val="10"/>
        </w:numPr>
      </w:pPr>
      <w:r>
        <w:t>A traditional housing role for people who have lived in the private rented sector for many years;</w:t>
      </w:r>
    </w:p>
    <w:p w:rsidR="003A6F13" w:rsidRDefault="003A6F13" w:rsidP="00C76826">
      <w:pPr>
        <w:pStyle w:val="Maintext"/>
        <w:numPr>
          <w:ilvl w:val="2"/>
          <w:numId w:val="10"/>
        </w:numPr>
      </w:pPr>
      <w:r>
        <w:t>Easy access housing for the young and mobile;</w:t>
      </w:r>
    </w:p>
    <w:p w:rsidR="003A6F13" w:rsidRDefault="003A6F13" w:rsidP="00C76826">
      <w:pPr>
        <w:pStyle w:val="Maintext"/>
        <w:numPr>
          <w:ilvl w:val="2"/>
          <w:numId w:val="10"/>
        </w:numPr>
      </w:pPr>
      <w:r>
        <w:t>Providing accommodation tied to employment;</w:t>
      </w:r>
    </w:p>
    <w:p w:rsidR="003A6F13" w:rsidRDefault="003A6F13" w:rsidP="00C76826">
      <w:pPr>
        <w:pStyle w:val="Maintext"/>
        <w:numPr>
          <w:ilvl w:val="2"/>
          <w:numId w:val="10"/>
        </w:numPr>
      </w:pPr>
      <w:r>
        <w:t>A residual role for those who are unable to access owner occupation or social renting;</w:t>
      </w:r>
    </w:p>
    <w:p w:rsidR="003A6F13" w:rsidRDefault="003A6F13" w:rsidP="00C76826">
      <w:pPr>
        <w:pStyle w:val="Maintext"/>
        <w:numPr>
          <w:ilvl w:val="2"/>
          <w:numId w:val="10"/>
        </w:numPr>
      </w:pPr>
      <w:r>
        <w:t xml:space="preserve">An </w:t>
      </w:r>
      <w:r w:rsidR="0018556A">
        <w:t xml:space="preserve">alternative to </w:t>
      </w:r>
      <w:r>
        <w:t>social rented housing (for instance those wanting to move to a different area but unable to do so through their social housing provider).</w:t>
      </w:r>
    </w:p>
    <w:p w:rsidR="003A6F13" w:rsidRDefault="003A6F13">
      <w:pPr>
        <w:pStyle w:val="Maintext"/>
      </w:pPr>
      <w:r>
        <w:t xml:space="preserve">Given the range of roles of the private rented sector, there is a considerable diversity in the characteristics of private renting tenants.  Evidence from the 2001 census (Rhodes, 2006) indicates that households living in private rented accommodation: </w:t>
      </w:r>
    </w:p>
    <w:p w:rsidR="003A6F13" w:rsidRDefault="003A6F13" w:rsidP="00C76826">
      <w:pPr>
        <w:pStyle w:val="Maintext"/>
        <w:numPr>
          <w:ilvl w:val="2"/>
          <w:numId w:val="10"/>
        </w:numPr>
      </w:pPr>
      <w:r>
        <w:t xml:space="preserve">tend to have younger heads of household; </w:t>
      </w:r>
    </w:p>
    <w:p w:rsidR="003A6F13" w:rsidRDefault="003A6F13" w:rsidP="00C76826">
      <w:pPr>
        <w:pStyle w:val="Maintext"/>
        <w:numPr>
          <w:ilvl w:val="2"/>
          <w:numId w:val="10"/>
        </w:numPr>
      </w:pPr>
      <w:r>
        <w:t xml:space="preserve">are ethnically diverse; </w:t>
      </w:r>
    </w:p>
    <w:p w:rsidR="003A6F13" w:rsidRDefault="003A6F13" w:rsidP="00C76826">
      <w:pPr>
        <w:pStyle w:val="Maintext"/>
        <w:numPr>
          <w:ilvl w:val="2"/>
          <w:numId w:val="10"/>
        </w:numPr>
      </w:pPr>
      <w:r>
        <w:t xml:space="preserve">singles, lone parents and other multi-adult households are over-represented compared with other tenures; </w:t>
      </w:r>
    </w:p>
    <w:p w:rsidR="003A6F13" w:rsidRDefault="003A6F13" w:rsidP="00C76826">
      <w:pPr>
        <w:pStyle w:val="Maintext"/>
        <w:numPr>
          <w:ilvl w:val="2"/>
          <w:numId w:val="10"/>
        </w:numPr>
      </w:pPr>
      <w:r>
        <w:t xml:space="preserve">people in professional and higher technical occupations are over-represented compared with other tenures; </w:t>
      </w:r>
    </w:p>
    <w:p w:rsidR="003A6F13" w:rsidRDefault="003A6F13" w:rsidP="00C76826">
      <w:pPr>
        <w:pStyle w:val="Maintext"/>
        <w:numPr>
          <w:ilvl w:val="2"/>
          <w:numId w:val="10"/>
        </w:numPr>
      </w:pPr>
      <w:r>
        <w:t>are more likely to be highly mobile geographically and turnover rates are high;</w:t>
      </w:r>
    </w:p>
    <w:p w:rsidR="003A6F13" w:rsidRDefault="003A6F13" w:rsidP="00C76826">
      <w:pPr>
        <w:pStyle w:val="Maintext"/>
        <w:numPr>
          <w:ilvl w:val="2"/>
          <w:numId w:val="10"/>
        </w:numPr>
      </w:pPr>
      <w:r>
        <w:t xml:space="preserve">is more likely to accommodate international migrants. </w:t>
      </w:r>
    </w:p>
    <w:p w:rsidR="00EC568F" w:rsidRDefault="003A6F13" w:rsidP="00EC568F">
      <w:pPr>
        <w:pStyle w:val="Maintext"/>
      </w:pPr>
      <w:r>
        <w:t xml:space="preserve">The private rented sector (see Appendix B for full </w:t>
      </w:r>
      <w:r w:rsidR="00546AC4">
        <w:t>details)</w:t>
      </w:r>
      <w:r w:rsidR="00DC453D">
        <w:t xml:space="preserve"> </w:t>
      </w:r>
      <w:r w:rsidR="00325144">
        <w:t xml:space="preserve">accommodates around </w:t>
      </w:r>
      <w:r w:rsidR="00D85049">
        <w:t>13.8</w:t>
      </w:r>
      <w:r w:rsidR="00325144">
        <w:t>% (</w:t>
      </w:r>
      <w:r w:rsidR="00D85049">
        <w:t>30,964</w:t>
      </w:r>
      <w:r w:rsidR="00546AC4">
        <w:t>)</w:t>
      </w:r>
      <w:r>
        <w:t xml:space="preserve"> </w:t>
      </w:r>
      <w:r w:rsidR="00546AC4">
        <w:t xml:space="preserve">of </w:t>
      </w:r>
      <w:r>
        <w:t xml:space="preserve">households across </w:t>
      </w:r>
      <w:r w:rsidR="009B626A">
        <w:t>County Durham</w:t>
      </w:r>
      <w:r w:rsidR="00EC568F">
        <w:t xml:space="preserve">. Of these households, </w:t>
      </w:r>
      <w:r w:rsidR="006C31AF">
        <w:t>25,583</w:t>
      </w:r>
      <w:r w:rsidR="00EC568F">
        <w:t xml:space="preserve"> rent unfurnished properties, </w:t>
      </w:r>
      <w:r w:rsidR="006C31AF">
        <w:t>4,432</w:t>
      </w:r>
      <w:r w:rsidR="009B626A">
        <w:t xml:space="preserve"> rent furnished and </w:t>
      </w:r>
      <w:r w:rsidR="006C31AF">
        <w:t>949</w:t>
      </w:r>
      <w:r w:rsidR="00EC568F">
        <w:t xml:space="preserve"> rent tied accommodation. </w:t>
      </w:r>
      <w:r w:rsidR="00267853">
        <w:t>Table</w:t>
      </w:r>
      <w:r w:rsidR="001E3095">
        <w:t xml:space="preserve"> 4.7</w:t>
      </w:r>
      <w:r w:rsidR="00EC568F">
        <w:t xml:space="preserve"> summarises the number </w:t>
      </w:r>
      <w:r w:rsidR="0098724D">
        <w:t xml:space="preserve">and percentage </w:t>
      </w:r>
      <w:r w:rsidR="00EC568F">
        <w:t xml:space="preserve">of private rented dwellings by </w:t>
      </w:r>
      <w:r w:rsidR="006C31AF">
        <w:t>delivery</w:t>
      </w:r>
      <w:r w:rsidR="0083534C">
        <w:t xml:space="preserve"> area</w:t>
      </w:r>
      <w:r w:rsidR="006C31AF">
        <w:t>. Overall, 28.2</w:t>
      </w:r>
      <w:r w:rsidR="0098724D">
        <w:t xml:space="preserve">% of all private rented dwellings are located in </w:t>
      </w:r>
      <w:r w:rsidR="006C31AF">
        <w:t xml:space="preserve">South </w:t>
      </w:r>
      <w:r w:rsidR="0098724D">
        <w:t xml:space="preserve">Durham </w:t>
      </w:r>
      <w:r w:rsidR="006C31AF">
        <w:t>and 24.5% in North Durham.</w:t>
      </w:r>
    </w:p>
    <w:p w:rsidR="006C31AF" w:rsidRDefault="006C31AF" w:rsidP="00B440F0">
      <w:pPr>
        <w:ind w:left="709"/>
        <w:rPr>
          <w:b/>
        </w:rPr>
      </w:pPr>
    </w:p>
    <w:p w:rsidR="0090035D" w:rsidRDefault="001E3095" w:rsidP="00B440F0">
      <w:pPr>
        <w:ind w:left="709"/>
      </w:pPr>
      <w:r>
        <w:rPr>
          <w:b/>
        </w:rPr>
        <w:t>Table 4.7</w:t>
      </w:r>
      <w:r w:rsidR="00EC568F">
        <w:rPr>
          <w:b/>
        </w:rPr>
        <w:tab/>
      </w:r>
      <w:r w:rsidR="00EC568F" w:rsidRPr="00EC568F">
        <w:t xml:space="preserve">Profile of private rented sector in </w:t>
      </w:r>
      <w:r w:rsidR="0098724D">
        <w:t>County Durham</w:t>
      </w:r>
      <w:r w:rsidR="00B440F0">
        <w:t xml:space="preserve"> by delivery area</w:t>
      </w:r>
    </w:p>
    <w:tbl>
      <w:tblPr>
        <w:tblW w:w="8647" w:type="dxa"/>
        <w:tblInd w:w="721" w:type="dxa"/>
        <w:tblCellMar>
          <w:left w:w="0" w:type="dxa"/>
          <w:right w:w="0" w:type="dxa"/>
        </w:tblCellMar>
        <w:tblLook w:val="04A0" w:firstRow="1" w:lastRow="0" w:firstColumn="1" w:lastColumn="0" w:noHBand="0" w:noVBand="1"/>
      </w:tblPr>
      <w:tblGrid>
        <w:gridCol w:w="1819"/>
        <w:gridCol w:w="1300"/>
        <w:gridCol w:w="1559"/>
        <w:gridCol w:w="1559"/>
        <w:gridCol w:w="1418"/>
        <w:gridCol w:w="992"/>
      </w:tblGrid>
      <w:tr w:rsidR="006C31AF" w:rsidTr="006C31AF">
        <w:trPr>
          <w:trHeight w:val="255"/>
        </w:trPr>
        <w:tc>
          <w:tcPr>
            <w:tcW w:w="1819" w:type="dxa"/>
            <w:tcBorders>
              <w:top w:val="single" w:sz="4" w:space="0" w:color="auto"/>
              <w:left w:val="single" w:sz="4" w:space="0" w:color="auto"/>
              <w:bottom w:val="nil"/>
              <w:right w:val="nil"/>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b/>
                <w:bCs/>
                <w:color w:val="FFFFFF"/>
                <w:sz w:val="20"/>
                <w:szCs w:val="20"/>
              </w:rPr>
            </w:pPr>
            <w:r>
              <w:rPr>
                <w:rFonts w:cs="Arial"/>
                <w:b/>
                <w:bCs/>
                <w:color w:val="FFFFFF"/>
                <w:sz w:val="20"/>
                <w:szCs w:val="20"/>
              </w:rPr>
              <w:t>Delivery area</w:t>
            </w:r>
          </w:p>
        </w:tc>
        <w:tc>
          <w:tcPr>
            <w:tcW w:w="1300" w:type="dxa"/>
            <w:tcBorders>
              <w:top w:val="single" w:sz="4" w:space="0" w:color="auto"/>
              <w:left w:val="nil"/>
              <w:bottom w:val="nil"/>
              <w:right w:val="single" w:sz="4" w:space="0" w:color="auto"/>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b/>
                <w:bCs/>
                <w:color w:val="FFFFFF"/>
                <w:sz w:val="20"/>
                <w:szCs w:val="20"/>
              </w:rPr>
            </w:pPr>
            <w:r>
              <w:rPr>
                <w:rFonts w:cs="Arial"/>
                <w:b/>
                <w:bCs/>
                <w:color w:val="FFFFFF"/>
                <w:sz w:val="20"/>
                <w:szCs w:val="20"/>
              </w:rPr>
              <w:t xml:space="preserve"> </w:t>
            </w:r>
          </w:p>
        </w:tc>
        <w:tc>
          <w:tcPr>
            <w:tcW w:w="1559" w:type="dxa"/>
            <w:tcBorders>
              <w:top w:val="single" w:sz="4" w:space="0" w:color="auto"/>
              <w:left w:val="nil"/>
              <w:bottom w:val="single" w:sz="4" w:space="0" w:color="auto"/>
              <w:right w:val="nil"/>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b/>
                <w:bCs/>
                <w:color w:val="FFFFFF"/>
                <w:sz w:val="20"/>
                <w:szCs w:val="20"/>
              </w:rPr>
            </w:pPr>
            <w:r>
              <w:rPr>
                <w:rFonts w:cs="Arial"/>
                <w:b/>
                <w:bCs/>
                <w:color w:val="FFFFFF"/>
                <w:sz w:val="20"/>
                <w:szCs w:val="20"/>
              </w:rPr>
              <w:t>Tenure</w:t>
            </w:r>
          </w:p>
        </w:tc>
        <w:tc>
          <w:tcPr>
            <w:tcW w:w="1559" w:type="dxa"/>
            <w:tcBorders>
              <w:top w:val="single" w:sz="4" w:space="0" w:color="auto"/>
              <w:left w:val="nil"/>
              <w:bottom w:val="single" w:sz="4" w:space="0" w:color="auto"/>
              <w:right w:val="nil"/>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color w:val="FFFFFF"/>
                <w:sz w:val="20"/>
                <w:szCs w:val="20"/>
              </w:rPr>
            </w:pPr>
            <w:r>
              <w:rPr>
                <w:rFonts w:cs="Arial"/>
                <w:color w:val="FFFFFF"/>
                <w:sz w:val="20"/>
                <w:szCs w:val="20"/>
              </w:rPr>
              <w:t> </w:t>
            </w:r>
          </w:p>
        </w:tc>
        <w:tc>
          <w:tcPr>
            <w:tcW w:w="1418" w:type="dxa"/>
            <w:tcBorders>
              <w:top w:val="single" w:sz="4" w:space="0" w:color="auto"/>
              <w:left w:val="nil"/>
              <w:bottom w:val="single" w:sz="4" w:space="0" w:color="auto"/>
              <w:right w:val="nil"/>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color w:val="FFFFFF"/>
                <w:sz w:val="20"/>
                <w:szCs w:val="20"/>
              </w:rPr>
            </w:pPr>
            <w:r>
              <w:rPr>
                <w:rFonts w:cs="Arial"/>
                <w:color w:val="FFFFFF"/>
                <w:sz w:val="20"/>
                <w:szCs w:val="20"/>
              </w:rPr>
              <w:t> </w:t>
            </w:r>
          </w:p>
        </w:tc>
        <w:tc>
          <w:tcPr>
            <w:tcW w:w="992" w:type="dxa"/>
            <w:tcBorders>
              <w:top w:val="single" w:sz="4" w:space="0" w:color="auto"/>
              <w:left w:val="nil"/>
              <w:bottom w:val="single" w:sz="4" w:space="0" w:color="auto"/>
              <w:right w:val="single" w:sz="4" w:space="0" w:color="auto"/>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color w:val="FFFFFF"/>
                <w:sz w:val="20"/>
                <w:szCs w:val="20"/>
              </w:rPr>
            </w:pPr>
            <w:r>
              <w:rPr>
                <w:rFonts w:cs="Arial"/>
                <w:color w:val="FFFFFF"/>
                <w:sz w:val="20"/>
                <w:szCs w:val="20"/>
              </w:rPr>
              <w:t> </w:t>
            </w:r>
          </w:p>
        </w:tc>
      </w:tr>
      <w:tr w:rsidR="006C31AF" w:rsidTr="006C31AF">
        <w:trPr>
          <w:trHeight w:val="765"/>
        </w:trPr>
        <w:tc>
          <w:tcPr>
            <w:tcW w:w="1819" w:type="dxa"/>
            <w:tcBorders>
              <w:top w:val="nil"/>
              <w:left w:val="single" w:sz="4" w:space="0" w:color="auto"/>
              <w:bottom w:val="single" w:sz="4" w:space="0" w:color="auto"/>
              <w:right w:val="nil"/>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color w:val="FFFFFF"/>
                <w:sz w:val="20"/>
                <w:szCs w:val="20"/>
              </w:rPr>
            </w:pPr>
            <w:r>
              <w:rPr>
                <w:rFonts w:cs="Arial"/>
                <w:color w:val="FFFFFF"/>
                <w:sz w:val="20"/>
                <w:szCs w:val="20"/>
              </w:rPr>
              <w:t> </w:t>
            </w:r>
          </w:p>
        </w:tc>
        <w:tc>
          <w:tcPr>
            <w:tcW w:w="1300" w:type="dxa"/>
            <w:tcBorders>
              <w:top w:val="nil"/>
              <w:left w:val="nil"/>
              <w:bottom w:val="single" w:sz="4" w:space="0" w:color="auto"/>
              <w:right w:val="single" w:sz="4" w:space="0" w:color="auto"/>
            </w:tcBorders>
            <w:shd w:val="clear" w:color="000000" w:fill="008080"/>
            <w:noWrap/>
            <w:tcMar>
              <w:top w:w="12" w:type="dxa"/>
              <w:left w:w="12" w:type="dxa"/>
              <w:bottom w:w="0" w:type="dxa"/>
              <w:right w:w="12" w:type="dxa"/>
            </w:tcMar>
            <w:vAlign w:val="bottom"/>
            <w:hideMark/>
          </w:tcPr>
          <w:p w:rsidR="006C31AF" w:rsidRDefault="006C31AF" w:rsidP="006C31AF">
            <w:pPr>
              <w:spacing w:before="0" w:after="0"/>
              <w:rPr>
                <w:rFonts w:cs="Arial"/>
                <w:color w:val="FFFFFF"/>
                <w:sz w:val="20"/>
                <w:szCs w:val="20"/>
              </w:rPr>
            </w:pPr>
            <w:r>
              <w:rPr>
                <w:rFonts w:cs="Arial"/>
                <w:color w:val="FFFFFF"/>
                <w:sz w:val="20"/>
                <w:szCs w:val="20"/>
              </w:rPr>
              <w:t> </w:t>
            </w:r>
          </w:p>
        </w:tc>
        <w:tc>
          <w:tcPr>
            <w:tcW w:w="1559" w:type="dxa"/>
            <w:tcBorders>
              <w:top w:val="nil"/>
              <w:left w:val="nil"/>
              <w:bottom w:val="single" w:sz="4" w:space="0" w:color="auto"/>
              <w:right w:val="single" w:sz="4" w:space="0" w:color="auto"/>
            </w:tcBorders>
            <w:shd w:val="clear" w:color="000000" w:fill="008080"/>
            <w:tcMar>
              <w:top w:w="12" w:type="dxa"/>
              <w:left w:w="12" w:type="dxa"/>
              <w:bottom w:w="0" w:type="dxa"/>
              <w:right w:w="12" w:type="dxa"/>
            </w:tcMar>
            <w:vAlign w:val="bottom"/>
            <w:hideMark/>
          </w:tcPr>
          <w:p w:rsidR="006C31AF" w:rsidRDefault="006C31AF" w:rsidP="006C31AF">
            <w:pPr>
              <w:spacing w:before="0" w:after="0"/>
              <w:jc w:val="center"/>
              <w:rPr>
                <w:rFonts w:cs="Arial"/>
                <w:color w:val="FFFFFF"/>
                <w:sz w:val="20"/>
                <w:szCs w:val="20"/>
              </w:rPr>
            </w:pPr>
            <w:r>
              <w:rPr>
                <w:rFonts w:cs="Arial"/>
                <w:color w:val="FFFFFF"/>
                <w:sz w:val="20"/>
                <w:szCs w:val="20"/>
              </w:rPr>
              <w:t>Rented privately (furnished)</w:t>
            </w:r>
          </w:p>
        </w:tc>
        <w:tc>
          <w:tcPr>
            <w:tcW w:w="1559" w:type="dxa"/>
            <w:tcBorders>
              <w:top w:val="nil"/>
              <w:left w:val="nil"/>
              <w:bottom w:val="single" w:sz="4" w:space="0" w:color="auto"/>
              <w:right w:val="single" w:sz="4" w:space="0" w:color="auto"/>
            </w:tcBorders>
            <w:shd w:val="clear" w:color="000000" w:fill="008080"/>
            <w:tcMar>
              <w:top w:w="12" w:type="dxa"/>
              <w:left w:w="12" w:type="dxa"/>
              <w:bottom w:w="0" w:type="dxa"/>
              <w:right w:w="12" w:type="dxa"/>
            </w:tcMar>
            <w:vAlign w:val="bottom"/>
            <w:hideMark/>
          </w:tcPr>
          <w:p w:rsidR="006C31AF" w:rsidRDefault="006C31AF" w:rsidP="006C31AF">
            <w:pPr>
              <w:spacing w:before="0" w:after="0"/>
              <w:jc w:val="center"/>
              <w:rPr>
                <w:rFonts w:cs="Arial"/>
                <w:color w:val="FFFFFF"/>
                <w:sz w:val="20"/>
                <w:szCs w:val="20"/>
              </w:rPr>
            </w:pPr>
            <w:r>
              <w:rPr>
                <w:rFonts w:cs="Arial"/>
                <w:color w:val="FFFFFF"/>
                <w:sz w:val="20"/>
                <w:szCs w:val="20"/>
              </w:rPr>
              <w:t>Rented privately (unfurnished)</w:t>
            </w:r>
          </w:p>
        </w:tc>
        <w:tc>
          <w:tcPr>
            <w:tcW w:w="1418" w:type="dxa"/>
            <w:tcBorders>
              <w:top w:val="nil"/>
              <w:left w:val="nil"/>
              <w:bottom w:val="single" w:sz="4" w:space="0" w:color="auto"/>
              <w:right w:val="single" w:sz="4" w:space="0" w:color="auto"/>
            </w:tcBorders>
            <w:shd w:val="clear" w:color="000000" w:fill="008080"/>
            <w:tcMar>
              <w:top w:w="12" w:type="dxa"/>
              <w:left w:w="12" w:type="dxa"/>
              <w:bottom w:w="0" w:type="dxa"/>
              <w:right w:w="12" w:type="dxa"/>
            </w:tcMar>
            <w:vAlign w:val="bottom"/>
            <w:hideMark/>
          </w:tcPr>
          <w:p w:rsidR="006C31AF" w:rsidRDefault="006C31AF" w:rsidP="006C31AF">
            <w:pPr>
              <w:spacing w:before="0" w:after="0"/>
              <w:jc w:val="center"/>
              <w:rPr>
                <w:rFonts w:cs="Arial"/>
                <w:color w:val="FFFFFF"/>
                <w:sz w:val="20"/>
                <w:szCs w:val="20"/>
              </w:rPr>
            </w:pPr>
            <w:r>
              <w:rPr>
                <w:rFonts w:cs="Arial"/>
                <w:color w:val="FFFFFF"/>
                <w:sz w:val="20"/>
                <w:szCs w:val="20"/>
              </w:rPr>
              <w:t>Tied accomodation</w:t>
            </w:r>
          </w:p>
        </w:tc>
        <w:tc>
          <w:tcPr>
            <w:tcW w:w="992" w:type="dxa"/>
            <w:tcBorders>
              <w:top w:val="nil"/>
              <w:left w:val="nil"/>
              <w:bottom w:val="single" w:sz="4" w:space="0" w:color="auto"/>
              <w:right w:val="single" w:sz="4" w:space="0" w:color="auto"/>
            </w:tcBorders>
            <w:shd w:val="clear" w:color="000000" w:fill="008080"/>
            <w:tcMar>
              <w:top w:w="12" w:type="dxa"/>
              <w:left w:w="12" w:type="dxa"/>
              <w:bottom w:w="0" w:type="dxa"/>
              <w:right w:w="12" w:type="dxa"/>
            </w:tcMar>
            <w:vAlign w:val="bottom"/>
            <w:hideMark/>
          </w:tcPr>
          <w:p w:rsidR="006C31AF" w:rsidRDefault="006C31AF" w:rsidP="006C31AF">
            <w:pPr>
              <w:spacing w:before="0" w:after="0"/>
              <w:jc w:val="center"/>
              <w:rPr>
                <w:rFonts w:cs="Arial"/>
                <w:color w:val="FFFFFF"/>
                <w:sz w:val="20"/>
                <w:szCs w:val="20"/>
              </w:rPr>
            </w:pPr>
            <w:r>
              <w:rPr>
                <w:rFonts w:cs="Arial"/>
                <w:color w:val="FFFFFF"/>
                <w:sz w:val="20"/>
                <w:szCs w:val="20"/>
              </w:rPr>
              <w:t>Total</w:t>
            </w:r>
          </w:p>
        </w:tc>
      </w:tr>
      <w:tr w:rsidR="006C31AF" w:rsidTr="006C31AF">
        <w:trPr>
          <w:trHeight w:val="255"/>
        </w:trPr>
        <w:tc>
          <w:tcPr>
            <w:tcW w:w="1819" w:type="dxa"/>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North Durham</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Count</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867</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6727</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7594</w:t>
            </w:r>
          </w:p>
        </w:tc>
      </w:tr>
      <w:tr w:rsidR="006C31AF" w:rsidTr="006C31AF">
        <w:trPr>
          <w:trHeight w:val="255"/>
        </w:trPr>
        <w:tc>
          <w:tcPr>
            <w:tcW w:w="181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of Total</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2.8</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21.7</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0.0</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24.5</w:t>
            </w:r>
          </w:p>
        </w:tc>
      </w:tr>
      <w:tr w:rsidR="006C31AF" w:rsidTr="006C31AF">
        <w:trPr>
          <w:trHeight w:val="255"/>
        </w:trPr>
        <w:tc>
          <w:tcPr>
            <w:tcW w:w="1819" w:type="dxa"/>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Central Durham</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Count</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2125</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4259</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121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6505</w:t>
            </w:r>
          </w:p>
        </w:tc>
      </w:tr>
      <w:tr w:rsidR="006C31AF" w:rsidTr="006C31AF">
        <w:trPr>
          <w:trHeight w:val="255"/>
        </w:trPr>
        <w:tc>
          <w:tcPr>
            <w:tcW w:w="181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of Total</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6.9</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13.8</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0.4</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21.0</w:t>
            </w:r>
          </w:p>
        </w:tc>
      </w:tr>
      <w:tr w:rsidR="006C31AF" w:rsidTr="006C31AF">
        <w:trPr>
          <w:trHeight w:val="255"/>
        </w:trPr>
        <w:tc>
          <w:tcPr>
            <w:tcW w:w="1819" w:type="dxa"/>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East Durham</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Count</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673</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4532</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291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5496</w:t>
            </w:r>
          </w:p>
        </w:tc>
      </w:tr>
      <w:tr w:rsidR="006C31AF" w:rsidTr="006C31AF">
        <w:trPr>
          <w:trHeight w:val="255"/>
        </w:trPr>
        <w:tc>
          <w:tcPr>
            <w:tcW w:w="181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of Total</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2.2</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14.6</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0.9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17.7</w:t>
            </w:r>
          </w:p>
        </w:tc>
      </w:tr>
      <w:tr w:rsidR="006C31AF" w:rsidTr="006C31AF">
        <w:trPr>
          <w:trHeight w:val="255"/>
        </w:trPr>
        <w:tc>
          <w:tcPr>
            <w:tcW w:w="1819" w:type="dxa"/>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The Dales</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Count</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160</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2036</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435</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2631</w:t>
            </w:r>
          </w:p>
        </w:tc>
      </w:tr>
      <w:tr w:rsidR="006C31AF" w:rsidTr="006C31AF">
        <w:trPr>
          <w:trHeight w:val="255"/>
        </w:trPr>
        <w:tc>
          <w:tcPr>
            <w:tcW w:w="181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of Total</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0.5</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6.6</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1.4</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8.5</w:t>
            </w:r>
          </w:p>
        </w:tc>
      </w:tr>
      <w:tr w:rsidR="006C31AF" w:rsidTr="006C31AF">
        <w:trPr>
          <w:trHeight w:val="255"/>
        </w:trPr>
        <w:tc>
          <w:tcPr>
            <w:tcW w:w="1819" w:type="dxa"/>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South Durham</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Count</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607</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8029</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102</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8738</w:t>
            </w:r>
          </w:p>
        </w:tc>
      </w:tr>
      <w:tr w:rsidR="006C31AF" w:rsidTr="006C31AF">
        <w:trPr>
          <w:trHeight w:val="255"/>
        </w:trPr>
        <w:tc>
          <w:tcPr>
            <w:tcW w:w="181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of Total</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2.0</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25.9</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0.3</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28.2</w:t>
            </w:r>
          </w:p>
        </w:tc>
      </w:tr>
      <w:tr w:rsidR="006C31AF" w:rsidTr="006C31AF">
        <w:trPr>
          <w:trHeight w:val="255"/>
        </w:trPr>
        <w:tc>
          <w:tcPr>
            <w:tcW w:w="1819" w:type="dxa"/>
            <w:tcBorders>
              <w:top w:val="nil"/>
              <w:left w:val="single" w:sz="4" w:space="0" w:color="auto"/>
              <w:bottom w:val="nil"/>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County Durham</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Count</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4432</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25583</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949</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30964</w:t>
            </w:r>
          </w:p>
        </w:tc>
      </w:tr>
      <w:tr w:rsidR="006C31AF" w:rsidTr="006C31AF">
        <w:trPr>
          <w:trHeight w:val="255"/>
        </w:trPr>
        <w:tc>
          <w:tcPr>
            <w:tcW w:w="1819" w:type="dxa"/>
            <w:tcBorders>
              <w:top w:val="nil"/>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w:t>
            </w:r>
          </w:p>
        </w:tc>
        <w:tc>
          <w:tcPr>
            <w:tcW w:w="1300"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rPr>
                <w:rFonts w:cs="Arial"/>
                <w:sz w:val="20"/>
                <w:szCs w:val="20"/>
              </w:rPr>
            </w:pPr>
            <w:r>
              <w:rPr>
                <w:rFonts w:cs="Arial"/>
                <w:sz w:val="20"/>
                <w:szCs w:val="20"/>
              </w:rPr>
              <w:t>% of Total</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14.3</w:t>
            </w:r>
          </w:p>
        </w:tc>
        <w:tc>
          <w:tcPr>
            <w:tcW w:w="1559"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82.6</w:t>
            </w:r>
          </w:p>
        </w:tc>
        <w:tc>
          <w:tcPr>
            <w:tcW w:w="1418"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3.1</w:t>
            </w:r>
          </w:p>
        </w:tc>
        <w:tc>
          <w:tcPr>
            <w:tcW w:w="992" w:type="dxa"/>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bottom"/>
            <w:hideMark/>
          </w:tcPr>
          <w:p w:rsidR="006C31AF" w:rsidRDefault="006C31AF" w:rsidP="006C31AF">
            <w:pPr>
              <w:spacing w:before="0" w:after="0"/>
              <w:jc w:val="center"/>
              <w:rPr>
                <w:rFonts w:cs="Arial"/>
                <w:sz w:val="20"/>
                <w:szCs w:val="20"/>
              </w:rPr>
            </w:pPr>
            <w:r>
              <w:rPr>
                <w:rFonts w:cs="Arial"/>
                <w:sz w:val="20"/>
                <w:szCs w:val="20"/>
              </w:rPr>
              <w:t>100.0</w:t>
            </w:r>
          </w:p>
        </w:tc>
      </w:tr>
    </w:tbl>
    <w:p w:rsidR="003B7B36" w:rsidRPr="003A0F4E" w:rsidRDefault="006C31AF" w:rsidP="006C31AF">
      <w:pPr>
        <w:ind w:firstLine="709"/>
        <w:rPr>
          <w:sz w:val="20"/>
          <w:szCs w:val="20"/>
        </w:rPr>
      </w:pPr>
      <w:r w:rsidRPr="003A0F4E">
        <w:rPr>
          <w:sz w:val="20"/>
          <w:szCs w:val="20"/>
        </w:rPr>
        <w:t xml:space="preserve"> </w:t>
      </w:r>
      <w:r w:rsidR="003A0F4E" w:rsidRPr="003A0F4E">
        <w:rPr>
          <w:sz w:val="20"/>
          <w:szCs w:val="20"/>
        </w:rPr>
        <w:t>Source: 2012 household survey</w:t>
      </w:r>
      <w:r>
        <w:rPr>
          <w:sz w:val="20"/>
          <w:szCs w:val="20"/>
        </w:rPr>
        <w:t xml:space="preserve"> rebased to 2011 census</w:t>
      </w:r>
    </w:p>
    <w:p w:rsidR="003A0F4E" w:rsidRDefault="003A0F4E" w:rsidP="00EC568F">
      <w:pPr>
        <w:ind w:firstLine="709"/>
      </w:pPr>
    </w:p>
    <w:p w:rsidR="00942F99" w:rsidRDefault="00942F99" w:rsidP="00942F99">
      <w:pPr>
        <w:pStyle w:val="Maintext"/>
      </w:pPr>
      <w:r w:rsidRPr="001E125D">
        <w:t xml:space="preserve">The characteristics of </w:t>
      </w:r>
      <w:r>
        <w:t xml:space="preserve">private </w:t>
      </w:r>
      <w:r w:rsidRPr="001E125D">
        <w:t>tenants are diverse and in particular the private rented sector accommodates singles</w:t>
      </w:r>
      <w:r w:rsidR="00247B28">
        <w:t xml:space="preserve"> under 60 (23.5</w:t>
      </w:r>
      <w:r>
        <w:t>%)</w:t>
      </w:r>
      <w:r w:rsidRPr="001E125D">
        <w:t xml:space="preserve">, </w:t>
      </w:r>
      <w:r w:rsidR="00247B28" w:rsidRPr="001E125D">
        <w:t xml:space="preserve">couples with children </w:t>
      </w:r>
      <w:r w:rsidR="00247B28">
        <w:t xml:space="preserve">(including adult children) (20.2%), </w:t>
      </w:r>
      <w:r w:rsidRPr="001E125D">
        <w:t>couples with no children</w:t>
      </w:r>
      <w:r>
        <w:t xml:space="preserve"> (</w:t>
      </w:r>
      <w:r w:rsidR="00247B28">
        <w:t>17.2</w:t>
      </w:r>
      <w:r>
        <w:t>%)</w:t>
      </w:r>
      <w:r w:rsidRPr="001E125D">
        <w:t>, and lone parents</w:t>
      </w:r>
      <w:r w:rsidR="00247B28">
        <w:t xml:space="preserve"> (17.1</w:t>
      </w:r>
      <w:r>
        <w:t>%)</w:t>
      </w:r>
      <w:r w:rsidRPr="001E125D">
        <w:t xml:space="preserve">. </w:t>
      </w:r>
      <w:r w:rsidR="00247B28">
        <w:t>46.4</w:t>
      </w:r>
      <w:r w:rsidRPr="001E125D">
        <w:t xml:space="preserve">% have lived in their accommodation for less than two years. </w:t>
      </w:r>
      <w:r>
        <w:t xml:space="preserve">In terms of income, </w:t>
      </w:r>
      <w:r w:rsidR="00247B28">
        <w:t>60.0</w:t>
      </w:r>
      <w:r>
        <w:t>%</w:t>
      </w:r>
      <w:r w:rsidRPr="001E125D">
        <w:t xml:space="preserve"> of privately renting households receive less </w:t>
      </w:r>
      <w:r w:rsidR="00247B28">
        <w:t>than £300 gross each week, 19.9</w:t>
      </w:r>
      <w:r>
        <w:t xml:space="preserve">% receive between </w:t>
      </w:r>
      <w:r w:rsidR="00247B28">
        <w:t>£300 and £500 each week and 21.1</w:t>
      </w:r>
      <w:r w:rsidRPr="001E125D">
        <w:t xml:space="preserve">% receive at least £500 each week, indicating that the private rented sector </w:t>
      </w:r>
      <w:r>
        <w:t>tends to accommodate lower income households.</w:t>
      </w:r>
      <w:r w:rsidR="00247B28">
        <w:t xml:space="preserve"> 52.0</w:t>
      </w:r>
      <w:r>
        <w:t xml:space="preserve">% of household reference people (heads of household) living in private rented accommodation are employed, </w:t>
      </w:r>
      <w:r w:rsidR="00247B28">
        <w:t>9.2</w:t>
      </w:r>
      <w:r>
        <w:t xml:space="preserve">% are unemployed, </w:t>
      </w:r>
      <w:r w:rsidR="00247B28">
        <w:t>12.6</w:t>
      </w:r>
      <w:r>
        <w:t xml:space="preserve">% are permanently sick/disabled, </w:t>
      </w:r>
      <w:r w:rsidR="00247B28">
        <w:t>9.8</w:t>
      </w:r>
      <w:r>
        <w:t>% are ca</w:t>
      </w:r>
      <w:r w:rsidR="00247B28">
        <w:t>rers or looking after the home,</w:t>
      </w:r>
      <w:r>
        <w:t xml:space="preserve"> </w:t>
      </w:r>
      <w:r w:rsidR="00247B28">
        <w:t>12.5</w:t>
      </w:r>
      <w:r>
        <w:t xml:space="preserve">% are wholly retired from work and </w:t>
      </w:r>
      <w:r w:rsidR="00247B28">
        <w:t>3.9</w:t>
      </w:r>
      <w:r>
        <w:t>% are in full-time education.</w:t>
      </w:r>
    </w:p>
    <w:p w:rsidR="00942F99" w:rsidRDefault="00942F99" w:rsidP="00942F99">
      <w:pPr>
        <w:pStyle w:val="Maintext"/>
        <w:rPr>
          <w:lang w:val="en-US"/>
        </w:rPr>
      </w:pPr>
      <w:r>
        <w:rPr>
          <w:lang w:val="en-US"/>
        </w:rPr>
        <w:t>Stakeholder</w:t>
      </w:r>
      <w:r w:rsidR="003A0F4E">
        <w:rPr>
          <w:lang w:val="en-US"/>
        </w:rPr>
        <w:t>s</w:t>
      </w:r>
      <w:r>
        <w:rPr>
          <w:lang w:val="en-US"/>
        </w:rPr>
        <w:t xml:space="preserve"> commented that the private rented sector has continued to grow in response to current demand as people struggle to access mortgage finance.  Some stakeholders identified scope to develop new market rent solutions as distinct from some of the poorer quality private rented accommodation that is on offer in certain areas.</w:t>
      </w:r>
    </w:p>
    <w:p w:rsidR="00942F99" w:rsidRDefault="00942F99" w:rsidP="00942F99">
      <w:pPr>
        <w:pStyle w:val="Maintext"/>
        <w:rPr>
          <w:lang w:val="en-US"/>
        </w:rPr>
      </w:pPr>
      <w:r>
        <w:rPr>
          <w:lang w:val="en-US"/>
        </w:rPr>
        <w:t xml:space="preserve">The lack of </w:t>
      </w:r>
      <w:r w:rsidR="003A0F4E">
        <w:rPr>
          <w:lang w:val="en-US"/>
        </w:rPr>
        <w:t xml:space="preserve">bespoke </w:t>
      </w:r>
      <w:r>
        <w:rPr>
          <w:lang w:val="en-US"/>
        </w:rPr>
        <w:t xml:space="preserve">provision for students in and around Durham City was flagged up as an issue, and the impact this has on the local housing market with provision of high numbers of student lets. With an increase in the student population projected some felt that there should be provision of some purpose built accommodation.  </w:t>
      </w:r>
    </w:p>
    <w:p w:rsidR="00BE4B05" w:rsidRPr="006C31AF" w:rsidRDefault="00942F99" w:rsidP="006C31AF">
      <w:pPr>
        <w:pStyle w:val="Maintext"/>
        <w:rPr>
          <w:lang w:val="en-US"/>
        </w:rPr>
      </w:pPr>
      <w:r>
        <w:rPr>
          <w:lang w:val="en-US"/>
        </w:rPr>
        <w:t>Th</w:t>
      </w:r>
      <w:r w:rsidR="003A0F4E">
        <w:rPr>
          <w:lang w:val="en-US"/>
        </w:rPr>
        <w:t xml:space="preserve">ere was evidence that some </w:t>
      </w:r>
      <w:r>
        <w:rPr>
          <w:lang w:val="en-US"/>
        </w:rPr>
        <w:t>landlords are using long-term private sector leasing schemes with housing associations to provide supported accommodation for vulnerable adults.</w:t>
      </w:r>
    </w:p>
    <w:p w:rsidR="00BE4B05" w:rsidRDefault="00BE4B05" w:rsidP="00BE4B05">
      <w:pPr>
        <w:pStyle w:val="Maintext"/>
        <w:rPr>
          <w:lang w:val="en-US"/>
        </w:rPr>
      </w:pPr>
      <w:r>
        <w:rPr>
          <w:lang w:val="en-US"/>
        </w:rPr>
        <w:t>When asked what outcomes they wanted for the private rented sector, stakeholders identified the following:</w:t>
      </w:r>
    </w:p>
    <w:p w:rsidR="00BE4B05" w:rsidRDefault="00BE4B05" w:rsidP="00BE4B05">
      <w:pPr>
        <w:pStyle w:val="Maintext"/>
        <w:numPr>
          <w:ilvl w:val="2"/>
          <w:numId w:val="10"/>
        </w:numPr>
        <w:rPr>
          <w:lang w:val="en-US"/>
        </w:rPr>
      </w:pPr>
      <w:r>
        <w:rPr>
          <w:lang w:val="en-US"/>
        </w:rPr>
        <w:t>Strengthen links with private landlords; and</w:t>
      </w:r>
    </w:p>
    <w:p w:rsidR="00BE4B05" w:rsidRDefault="00BE4B05" w:rsidP="00BE4B05">
      <w:pPr>
        <w:pStyle w:val="Maintext"/>
        <w:numPr>
          <w:ilvl w:val="2"/>
          <w:numId w:val="10"/>
        </w:numPr>
        <w:rPr>
          <w:lang w:val="en-US"/>
        </w:rPr>
      </w:pPr>
      <w:r>
        <w:rPr>
          <w:lang w:val="en-US"/>
        </w:rPr>
        <w:t>The Council to take a stronger role in driving up standards in the private rented sector.</w:t>
      </w:r>
    </w:p>
    <w:p w:rsidR="00BE4B05" w:rsidRPr="00BE4B05" w:rsidRDefault="00BE4B05" w:rsidP="00BE4B05"/>
    <w:p w:rsidR="003A6F13" w:rsidRDefault="003A6F13" w:rsidP="005922DD">
      <w:pPr>
        <w:pStyle w:val="Heading3"/>
      </w:pPr>
      <w:r>
        <w:t>Affordable sector</w:t>
      </w:r>
    </w:p>
    <w:p w:rsidR="00FA0C31" w:rsidRDefault="00FA0C31">
      <w:pPr>
        <w:pStyle w:val="Maintext"/>
      </w:pPr>
      <w:r>
        <w:t xml:space="preserve">There are around </w:t>
      </w:r>
      <w:r w:rsidR="0098724D">
        <w:t>45,</w:t>
      </w:r>
      <w:r w:rsidR="00C62D00">
        <w:t>492</w:t>
      </w:r>
      <w:r>
        <w:t xml:space="preserve"> households</w:t>
      </w:r>
      <w:r w:rsidR="003A0F4E">
        <w:rPr>
          <w:rStyle w:val="FootnoteReference"/>
        </w:rPr>
        <w:footnoteReference w:id="18"/>
      </w:r>
      <w:r>
        <w:t xml:space="preserve"> who live in an affordable </w:t>
      </w:r>
      <w:r w:rsidR="00C62D00">
        <w:t>across County Durham housing. Of these, 45,082 (20.1%) live in social</w:t>
      </w:r>
      <w:r>
        <w:t xml:space="preserve"> rented property</w:t>
      </w:r>
      <w:r w:rsidR="00C62D00">
        <w:t xml:space="preserve"> and 410 (0.2%) live in intermediate tenures.</w:t>
      </w:r>
    </w:p>
    <w:p w:rsidR="004A5579" w:rsidRDefault="00F80B11">
      <w:pPr>
        <w:pStyle w:val="Maintext"/>
      </w:pPr>
      <w:r>
        <w:t>According to the 2012 household survey</w:t>
      </w:r>
      <w:r w:rsidR="00C62D00">
        <w:t>, rebased to the 2011 census</w:t>
      </w:r>
      <w:r>
        <w:t>, h</w:t>
      </w:r>
      <w:r w:rsidR="0098724D">
        <w:t xml:space="preserve">ouses account for </w:t>
      </w:r>
      <w:r w:rsidR="00922DA2">
        <w:t>51.1</w:t>
      </w:r>
      <w:r w:rsidR="001E125D">
        <w:t xml:space="preserve">% of </w:t>
      </w:r>
      <w:r w:rsidR="00355984">
        <w:t>occupied affordable dwelling stock,</w:t>
      </w:r>
      <w:r w:rsidR="00FA0C31">
        <w:t xml:space="preserve"> </w:t>
      </w:r>
      <w:r w:rsidR="00922DA2">
        <w:t>37.8</w:t>
      </w:r>
      <w:r w:rsidR="0098724D">
        <w:t xml:space="preserve">% are bungalows and </w:t>
      </w:r>
      <w:r w:rsidR="00922DA2">
        <w:t>10.7</w:t>
      </w:r>
      <w:r w:rsidR="0098724D">
        <w:t xml:space="preserve">% </w:t>
      </w:r>
      <w:r w:rsidR="00355984">
        <w:t xml:space="preserve">are </w:t>
      </w:r>
      <w:r w:rsidR="00FA0C31">
        <w:t>flats/apartments</w:t>
      </w:r>
      <w:r w:rsidR="00922DA2">
        <w:t>/maisonettes</w:t>
      </w:r>
      <w:r w:rsidR="001E125D">
        <w:t xml:space="preserve">. </w:t>
      </w:r>
      <w:r w:rsidR="004A5579">
        <w:t xml:space="preserve">Affordable dwellings tend </w:t>
      </w:r>
      <w:r w:rsidR="00E54933">
        <w:t xml:space="preserve">to have </w:t>
      </w:r>
      <w:r w:rsidR="0098724D">
        <w:t>one (</w:t>
      </w:r>
      <w:r w:rsidR="00922DA2">
        <w:t>22.2</w:t>
      </w:r>
      <w:r w:rsidR="0098724D">
        <w:t>%), two (</w:t>
      </w:r>
      <w:r w:rsidR="00922DA2">
        <w:t>51.8</w:t>
      </w:r>
      <w:r w:rsidR="00D55EDF">
        <w:t>%) or t</w:t>
      </w:r>
      <w:r w:rsidR="00FA0C31">
        <w:t>hree (</w:t>
      </w:r>
      <w:r w:rsidR="00922DA2">
        <w:t>24.3</w:t>
      </w:r>
      <w:r w:rsidR="001E125D">
        <w:t xml:space="preserve">%) bedrooms, with </w:t>
      </w:r>
      <w:r w:rsidR="003A0F4E">
        <w:t>only</w:t>
      </w:r>
      <w:r w:rsidR="001E125D">
        <w:t xml:space="preserve"> </w:t>
      </w:r>
      <w:r w:rsidR="00922DA2">
        <w:t>0.9</w:t>
      </w:r>
      <w:r w:rsidR="00D55EDF">
        <w:t>%</w:t>
      </w:r>
      <w:r w:rsidR="001E125D">
        <w:t xml:space="preserve"> having four or more bedrooms</w:t>
      </w:r>
      <w:r w:rsidR="004A5579">
        <w:t>.</w:t>
      </w:r>
    </w:p>
    <w:p w:rsidR="004C0316" w:rsidRDefault="00922DA2" w:rsidP="00F52A96">
      <w:pPr>
        <w:pStyle w:val="Maintext"/>
      </w:pPr>
      <w:r>
        <w:t>34.9</w:t>
      </w:r>
      <w:r w:rsidR="004C0316">
        <w:t xml:space="preserve">% of households living in affordable (social) rented dwellings are singles aged 60 or over and </w:t>
      </w:r>
      <w:r>
        <w:t>16.8</w:t>
      </w:r>
      <w:r w:rsidR="004C0316">
        <w:t xml:space="preserve">% are </w:t>
      </w:r>
      <w:r>
        <w:t xml:space="preserve">older </w:t>
      </w:r>
      <w:r w:rsidR="004C0316">
        <w:t xml:space="preserve">couples (one or both aged 60 or over). A further </w:t>
      </w:r>
      <w:r>
        <w:t>18.1</w:t>
      </w:r>
      <w:r w:rsidR="004C0316">
        <w:t>%</w:t>
      </w:r>
      <w:r>
        <w:t xml:space="preserve"> are singles aged under 60, 11.7</w:t>
      </w:r>
      <w:r w:rsidR="004C0316">
        <w:t xml:space="preserve">% are lone parent families, </w:t>
      </w:r>
      <w:r>
        <w:t>11.1</w:t>
      </w:r>
      <w:r w:rsidR="004C0316">
        <w:t xml:space="preserve">% are couples with children, </w:t>
      </w:r>
      <w:r>
        <w:t xml:space="preserve">5.3% are couples under 60 </w:t>
      </w:r>
      <w:r w:rsidR="004C0316">
        <w:t xml:space="preserve">and </w:t>
      </w:r>
      <w:r>
        <w:t>2.0</w:t>
      </w:r>
      <w:r w:rsidR="004C0316">
        <w:t>% are other household types.</w:t>
      </w:r>
    </w:p>
    <w:p w:rsidR="00D55EDF" w:rsidRDefault="00922DA2" w:rsidP="004C0316">
      <w:pPr>
        <w:pStyle w:val="Maintext"/>
      </w:pPr>
      <w:r>
        <w:t>21.5</w:t>
      </w:r>
      <w:r w:rsidR="003A6F13">
        <w:t xml:space="preserve">% of all people aged 16 or over living in affordable housing </w:t>
      </w:r>
      <w:r w:rsidR="0066197B">
        <w:t xml:space="preserve">are in employment. A further </w:t>
      </w:r>
      <w:r>
        <w:t>38.3</w:t>
      </w:r>
      <w:r w:rsidR="004C0316">
        <w:t>% ar</w:t>
      </w:r>
      <w:r>
        <w:t>e wholly retired from work, 23.8</w:t>
      </w:r>
      <w:r w:rsidR="004C0316">
        <w:t>% are</w:t>
      </w:r>
      <w:r w:rsidR="00F52A96">
        <w:t xml:space="preserve"> permanently sick/disabled, </w:t>
      </w:r>
      <w:r>
        <w:t>7.7</w:t>
      </w:r>
      <w:r w:rsidR="004C0316">
        <w:t xml:space="preserve">% are unemployed and </w:t>
      </w:r>
      <w:r>
        <w:t>7.6</w:t>
      </w:r>
      <w:r w:rsidR="004C0316">
        <w:t>% are</w:t>
      </w:r>
      <w:r w:rsidR="00F52A96">
        <w:t xml:space="preserve"> </w:t>
      </w:r>
      <w:r w:rsidR="00D55EDF">
        <w:t>looking after the home/a full-time carer or volunteer</w:t>
      </w:r>
      <w:r w:rsidR="00F52A96">
        <w:t>,</w:t>
      </w:r>
      <w:r w:rsidR="004C0316">
        <w:t xml:space="preserve"> and </w:t>
      </w:r>
      <w:r>
        <w:t>0.3</w:t>
      </w:r>
      <w:r w:rsidR="00F52A96">
        <w:t>% are in full-time education or training</w:t>
      </w:r>
      <w:r w:rsidR="0018556A">
        <w:t>.</w:t>
      </w:r>
    </w:p>
    <w:p w:rsidR="003A6F13" w:rsidRDefault="003A6F13" w:rsidP="00D55EDF">
      <w:pPr>
        <w:pStyle w:val="Maintext"/>
      </w:pPr>
      <w:r>
        <w:t>Inco</w:t>
      </w:r>
      <w:r w:rsidR="003D3E68">
        <w:t>mes</w:t>
      </w:r>
      <w:r w:rsidR="00D55EDF">
        <w:t xml:space="preserve"> are generally low, with </w:t>
      </w:r>
      <w:r w:rsidR="00922DA2">
        <w:t>84.6</w:t>
      </w:r>
      <w:r>
        <w:t>% receiving an income of less than £300 gross each week</w:t>
      </w:r>
      <w:r w:rsidR="003D3E68">
        <w:t xml:space="preserve"> and </w:t>
      </w:r>
      <w:r w:rsidR="00922DA2">
        <w:t>60.3</w:t>
      </w:r>
      <w:r w:rsidR="003D3E68">
        <w:t>% receiving</w:t>
      </w:r>
      <w:r w:rsidR="00F52A96">
        <w:t xml:space="preserve"> less than £20</w:t>
      </w:r>
      <w:r w:rsidR="00EE3D7F">
        <w:t>0 gross each week</w:t>
      </w:r>
      <w:r>
        <w:t xml:space="preserve">.  </w:t>
      </w:r>
    </w:p>
    <w:p w:rsidR="00492C6F" w:rsidRDefault="00492C6F" w:rsidP="00922DA2">
      <w:pPr>
        <w:pStyle w:val="Maintext"/>
        <w:numPr>
          <w:ilvl w:val="0"/>
          <w:numId w:val="0"/>
        </w:numPr>
      </w:pPr>
    </w:p>
    <w:p w:rsidR="00FA0C31" w:rsidRPr="00E72B66" w:rsidRDefault="00FA0C31" w:rsidP="00FA0C31">
      <w:pPr>
        <w:pStyle w:val="Heading4"/>
        <w:rPr>
          <w:b/>
        </w:rPr>
      </w:pPr>
      <w:r w:rsidRPr="005922DD">
        <w:rPr>
          <w:b/>
        </w:rPr>
        <w:t>Views of affordable housing providers</w:t>
      </w:r>
    </w:p>
    <w:p w:rsidR="00BE4B05" w:rsidRDefault="00BE4B05" w:rsidP="00BE4B05">
      <w:pPr>
        <w:pStyle w:val="Maintext"/>
        <w:rPr>
          <w:lang w:val="en-US"/>
        </w:rPr>
      </w:pPr>
      <w:r>
        <w:rPr>
          <w:lang w:val="en-US"/>
        </w:rPr>
        <w:t xml:space="preserve">Stakeholders felt that supply pressures driven by welfare reforms would increase as households struggle to access the private rented sector (there being anecdotal evidence that changes in benefit eligibility has deterred private landlords from letting to households on benefit). </w:t>
      </w:r>
    </w:p>
    <w:p w:rsidR="00BE4B05" w:rsidRDefault="00BE4B05" w:rsidP="00BE4B05">
      <w:pPr>
        <w:pStyle w:val="Maintext"/>
        <w:rPr>
          <w:lang w:val="en-US"/>
        </w:rPr>
      </w:pPr>
      <w:r>
        <w:rPr>
          <w:lang w:val="en-US"/>
        </w:rPr>
        <w:t xml:space="preserve">An additional factor driving demand for affordable housing is the economic downturn, with unemployment and access to mortgage finance being problematic. Increasing rents within the private sector (as demand for this type of property rises) also increases demand for affordable housing. </w:t>
      </w:r>
    </w:p>
    <w:p w:rsidR="00BE4B05" w:rsidRDefault="00BE4B05" w:rsidP="00BE4B05">
      <w:pPr>
        <w:pStyle w:val="Maintext"/>
        <w:rPr>
          <w:lang w:val="en-US"/>
        </w:rPr>
      </w:pPr>
      <w:r>
        <w:rPr>
          <w:lang w:val="en-US"/>
        </w:rPr>
        <w:t>Registered providers were uncertain about the impact of affordable rents and welfare reform in the long term. In terms of outcomes providers wanted to see:</w:t>
      </w:r>
    </w:p>
    <w:p w:rsidR="00BE4B05" w:rsidRDefault="00BE4B05" w:rsidP="00BE4B05">
      <w:pPr>
        <w:pStyle w:val="Maintext"/>
        <w:numPr>
          <w:ilvl w:val="2"/>
          <w:numId w:val="10"/>
        </w:numPr>
        <w:rPr>
          <w:lang w:val="en-US"/>
        </w:rPr>
      </w:pPr>
      <w:r>
        <w:rPr>
          <w:lang w:val="en-US"/>
        </w:rPr>
        <w:t xml:space="preserve">More affordable rented housing; </w:t>
      </w:r>
    </w:p>
    <w:p w:rsidR="00BE4B05" w:rsidRDefault="00BE4B05" w:rsidP="00BE4B05">
      <w:pPr>
        <w:pStyle w:val="Maintext"/>
        <w:numPr>
          <w:ilvl w:val="2"/>
          <w:numId w:val="10"/>
        </w:numPr>
        <w:rPr>
          <w:lang w:val="en-US"/>
        </w:rPr>
      </w:pPr>
      <w:r>
        <w:rPr>
          <w:lang w:val="en-US"/>
        </w:rPr>
        <w:t>Provision of more family housing;</w:t>
      </w:r>
    </w:p>
    <w:p w:rsidR="00BE4B05" w:rsidRDefault="00BE4B05" w:rsidP="00BE4B05">
      <w:pPr>
        <w:pStyle w:val="Maintext"/>
        <w:numPr>
          <w:ilvl w:val="2"/>
          <w:numId w:val="10"/>
        </w:numPr>
        <w:rPr>
          <w:lang w:val="en-US"/>
        </w:rPr>
      </w:pPr>
      <w:r>
        <w:rPr>
          <w:lang w:val="en-US"/>
        </w:rPr>
        <w:t>Demolition of older, poorly maintained stock;</w:t>
      </w:r>
    </w:p>
    <w:p w:rsidR="00BE4B05" w:rsidRDefault="00BE4B05" w:rsidP="00BE4B05">
      <w:pPr>
        <w:pStyle w:val="Maintext"/>
        <w:numPr>
          <w:ilvl w:val="2"/>
          <w:numId w:val="10"/>
        </w:numPr>
        <w:rPr>
          <w:lang w:val="en-US"/>
        </w:rPr>
      </w:pPr>
      <w:r>
        <w:rPr>
          <w:lang w:val="en-US"/>
        </w:rPr>
        <w:t xml:space="preserve">More adapted homes for older people; </w:t>
      </w:r>
    </w:p>
    <w:p w:rsidR="00BE4B05" w:rsidRDefault="00BE4B05" w:rsidP="00BE4B05">
      <w:pPr>
        <w:pStyle w:val="Maintext"/>
        <w:numPr>
          <w:ilvl w:val="2"/>
          <w:numId w:val="10"/>
        </w:numPr>
        <w:rPr>
          <w:lang w:val="en-US"/>
        </w:rPr>
      </w:pPr>
      <w:r>
        <w:rPr>
          <w:lang w:val="en-US"/>
        </w:rPr>
        <w:t>Provision of low cost home ownership options; and</w:t>
      </w:r>
    </w:p>
    <w:p w:rsidR="00BE4B05" w:rsidRDefault="00BE4B05" w:rsidP="00BE4B05">
      <w:pPr>
        <w:pStyle w:val="Maintext"/>
        <w:numPr>
          <w:ilvl w:val="2"/>
          <w:numId w:val="10"/>
        </w:numPr>
        <w:rPr>
          <w:lang w:val="en-US"/>
        </w:rPr>
      </w:pPr>
      <w:r>
        <w:rPr>
          <w:lang w:val="en-US"/>
        </w:rPr>
        <w:t xml:space="preserve">The use of ‘in lieu’ affordable housing contributions to tackle empty homes. </w:t>
      </w:r>
    </w:p>
    <w:p w:rsidR="00961568" w:rsidRDefault="00961568" w:rsidP="00CF5794">
      <w:pPr>
        <w:pStyle w:val="Heading3"/>
      </w:pPr>
    </w:p>
    <w:p w:rsidR="00CF5794" w:rsidRPr="00961568" w:rsidRDefault="00CF5794" w:rsidP="00CF5794">
      <w:pPr>
        <w:pStyle w:val="Heading3"/>
      </w:pPr>
      <w:r>
        <w:t>Student renting</w:t>
      </w:r>
    </w:p>
    <w:p w:rsidR="00695EA2" w:rsidRPr="00961568" w:rsidRDefault="00961568" w:rsidP="00CF5794">
      <w:pPr>
        <w:pStyle w:val="Maintext"/>
      </w:pPr>
      <w:r w:rsidRPr="00961568">
        <w:t>Across County Durham there are around 1,500 dwellings which are wholly rented to students and are identified as such in Council tax records</w:t>
      </w:r>
      <w:r w:rsidR="001E3095">
        <w:t xml:space="preserve"> (Table 4.8)</w:t>
      </w:r>
      <w:r w:rsidRPr="00961568">
        <w:t xml:space="preserve">. This does not include those households which are occupied partly by students. </w:t>
      </w:r>
    </w:p>
    <w:p w:rsidR="00961568" w:rsidRPr="00961568" w:rsidRDefault="00961568" w:rsidP="00961568">
      <w:pPr>
        <w:pStyle w:val="Maintext"/>
      </w:pPr>
      <w:r w:rsidRPr="00961568">
        <w:t>42</w:t>
      </w:r>
      <w:r w:rsidR="005E1619">
        <w:t>.0</w:t>
      </w:r>
      <w:r w:rsidRPr="00961568">
        <w:t>% of all wholly student rented dwellings are located in Central Durham</w:t>
      </w:r>
      <w:r w:rsidR="00AC2472">
        <w:t>,</w:t>
      </w:r>
      <w:r w:rsidRPr="00961568">
        <w:t xml:space="preserve"> and of this number 25.5% are located in Durham </w:t>
      </w:r>
      <w:r w:rsidR="00AC2472">
        <w:t>City</w:t>
      </w:r>
      <w:r w:rsidRPr="00961568">
        <w:t xml:space="preserve">. </w:t>
      </w:r>
    </w:p>
    <w:p w:rsidR="00961568" w:rsidRPr="00961568" w:rsidRDefault="00961568" w:rsidP="00961568">
      <w:pPr>
        <w:pStyle w:val="Maintext"/>
      </w:pPr>
      <w:r w:rsidRPr="00961568">
        <w:t xml:space="preserve">The impact of student renting on overall market dynamics has been explored in </w:t>
      </w:r>
      <w:r w:rsidR="00DD3EB7">
        <w:t>discussions with Estate Agents, which would point to a saturation of private rented properties in areas such as Durham City.</w:t>
      </w:r>
      <w:r w:rsidR="00F80B11">
        <w:t xml:space="preserve"> Further evidence is being gathered through a houses in multiple occupation study which will inform future iterations of the SHMA.</w:t>
      </w:r>
    </w:p>
    <w:p w:rsidR="00CF5794" w:rsidRDefault="00CF5794">
      <w:pPr>
        <w:ind w:left="709"/>
        <w:rPr>
          <w:b/>
        </w:rPr>
      </w:pPr>
    </w:p>
    <w:p w:rsidR="00961568" w:rsidRDefault="001E3095" w:rsidP="00942F99">
      <w:pPr>
        <w:ind w:left="2160" w:hanging="1451"/>
      </w:pPr>
      <w:r>
        <w:rPr>
          <w:b/>
        </w:rPr>
        <w:t>Table 4.8</w:t>
      </w:r>
      <w:r w:rsidR="00961568">
        <w:rPr>
          <w:b/>
        </w:rPr>
        <w:tab/>
      </w:r>
      <w:r w:rsidR="00961568">
        <w:t xml:space="preserve">Student rented accommodation by </w:t>
      </w:r>
      <w:r w:rsidR="00B440F0">
        <w:t>delivery area</w:t>
      </w:r>
      <w:r w:rsidR="00961568">
        <w:t xml:space="preserve"> </w:t>
      </w:r>
    </w:p>
    <w:tbl>
      <w:tblPr>
        <w:tblW w:w="6792" w:type="dxa"/>
        <w:tblInd w:w="720" w:type="dxa"/>
        <w:tblLook w:val="04A0" w:firstRow="1" w:lastRow="0" w:firstColumn="1" w:lastColumn="0" w:noHBand="0" w:noVBand="1"/>
      </w:tblPr>
      <w:tblGrid>
        <w:gridCol w:w="2407"/>
        <w:gridCol w:w="972"/>
        <w:gridCol w:w="735"/>
        <w:gridCol w:w="1339"/>
        <w:gridCol w:w="1339"/>
      </w:tblGrid>
      <w:tr w:rsidR="00961568" w:rsidRPr="00961568" w:rsidTr="00F80B11">
        <w:trPr>
          <w:trHeight w:val="510"/>
        </w:trPr>
        <w:tc>
          <w:tcPr>
            <w:tcW w:w="2407"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961568" w:rsidRPr="00961568" w:rsidRDefault="00B440F0" w:rsidP="00961568">
            <w:pPr>
              <w:spacing w:before="0" w:after="0"/>
              <w:rPr>
                <w:rFonts w:cs="Arial"/>
                <w:b/>
                <w:bCs/>
                <w:color w:val="FFFFFF"/>
                <w:sz w:val="20"/>
                <w:szCs w:val="20"/>
                <w:lang w:eastAsia="en-GB"/>
              </w:rPr>
            </w:pPr>
            <w:r>
              <w:rPr>
                <w:rFonts w:cs="Arial"/>
                <w:b/>
                <w:bCs/>
                <w:color w:val="FFFFFF"/>
                <w:sz w:val="20"/>
                <w:szCs w:val="20"/>
                <w:lang w:eastAsia="en-GB"/>
              </w:rPr>
              <w:t>Delivery area</w:t>
            </w:r>
          </w:p>
        </w:tc>
        <w:tc>
          <w:tcPr>
            <w:tcW w:w="972" w:type="dxa"/>
            <w:tcBorders>
              <w:top w:val="single" w:sz="4" w:space="0" w:color="auto"/>
              <w:left w:val="nil"/>
              <w:bottom w:val="single" w:sz="4" w:space="0" w:color="auto"/>
              <w:right w:val="single" w:sz="4" w:space="0" w:color="auto"/>
            </w:tcBorders>
            <w:shd w:val="clear" w:color="000000" w:fill="008080"/>
            <w:vAlign w:val="bottom"/>
            <w:hideMark/>
          </w:tcPr>
          <w:p w:rsidR="00961568" w:rsidRPr="00961568" w:rsidRDefault="00961568" w:rsidP="00961568">
            <w:pPr>
              <w:spacing w:before="0" w:after="0"/>
              <w:jc w:val="center"/>
              <w:rPr>
                <w:rFonts w:cs="Arial"/>
                <w:b/>
                <w:bCs/>
                <w:color w:val="FFFFFF"/>
                <w:sz w:val="20"/>
                <w:szCs w:val="20"/>
                <w:lang w:eastAsia="en-GB"/>
              </w:rPr>
            </w:pPr>
            <w:r w:rsidRPr="00961568">
              <w:rPr>
                <w:rFonts w:cs="Arial"/>
                <w:b/>
                <w:bCs/>
                <w:color w:val="FFFFFF"/>
                <w:sz w:val="20"/>
                <w:szCs w:val="20"/>
                <w:lang w:eastAsia="en-GB"/>
              </w:rPr>
              <w:t>Number</w:t>
            </w:r>
          </w:p>
        </w:tc>
        <w:tc>
          <w:tcPr>
            <w:tcW w:w="735" w:type="dxa"/>
            <w:tcBorders>
              <w:top w:val="single" w:sz="4" w:space="0" w:color="auto"/>
              <w:left w:val="nil"/>
              <w:bottom w:val="single" w:sz="4" w:space="0" w:color="auto"/>
              <w:right w:val="single" w:sz="4" w:space="0" w:color="auto"/>
            </w:tcBorders>
            <w:shd w:val="clear" w:color="000000" w:fill="008080"/>
            <w:vAlign w:val="bottom"/>
            <w:hideMark/>
          </w:tcPr>
          <w:p w:rsidR="00961568" w:rsidRPr="00961568" w:rsidRDefault="00961568" w:rsidP="00961568">
            <w:pPr>
              <w:spacing w:before="0" w:after="0"/>
              <w:jc w:val="center"/>
              <w:rPr>
                <w:rFonts w:cs="Arial"/>
                <w:b/>
                <w:bCs/>
                <w:color w:val="FFFFFF"/>
                <w:sz w:val="20"/>
                <w:szCs w:val="20"/>
                <w:lang w:eastAsia="en-GB"/>
              </w:rPr>
            </w:pPr>
            <w:r w:rsidRPr="00961568">
              <w:rPr>
                <w:rFonts w:cs="Arial"/>
                <w:b/>
                <w:bCs/>
                <w:color w:val="FFFFFF"/>
                <w:sz w:val="20"/>
                <w:szCs w:val="20"/>
                <w:lang w:eastAsia="en-GB"/>
              </w:rPr>
              <w:t>%</w:t>
            </w:r>
          </w:p>
        </w:tc>
        <w:tc>
          <w:tcPr>
            <w:tcW w:w="1339" w:type="dxa"/>
            <w:tcBorders>
              <w:top w:val="single" w:sz="4" w:space="0" w:color="auto"/>
              <w:left w:val="nil"/>
              <w:bottom w:val="single" w:sz="4" w:space="0" w:color="auto"/>
              <w:right w:val="single" w:sz="4" w:space="0" w:color="auto"/>
            </w:tcBorders>
            <w:shd w:val="clear" w:color="000000" w:fill="008080"/>
            <w:vAlign w:val="bottom"/>
            <w:hideMark/>
          </w:tcPr>
          <w:p w:rsidR="00961568" w:rsidRPr="00961568" w:rsidRDefault="00961568" w:rsidP="00961568">
            <w:pPr>
              <w:spacing w:before="0" w:after="0"/>
              <w:jc w:val="center"/>
              <w:rPr>
                <w:rFonts w:cs="Arial"/>
                <w:b/>
                <w:bCs/>
                <w:color w:val="FFFFFF"/>
                <w:sz w:val="20"/>
                <w:szCs w:val="20"/>
                <w:lang w:eastAsia="en-GB"/>
              </w:rPr>
            </w:pPr>
            <w:r w:rsidRPr="00961568">
              <w:rPr>
                <w:rFonts w:cs="Arial"/>
                <w:b/>
                <w:bCs/>
                <w:color w:val="FFFFFF"/>
                <w:sz w:val="20"/>
                <w:szCs w:val="20"/>
                <w:lang w:eastAsia="en-GB"/>
              </w:rPr>
              <w:t>Total households</w:t>
            </w:r>
          </w:p>
        </w:tc>
        <w:tc>
          <w:tcPr>
            <w:tcW w:w="1339" w:type="dxa"/>
            <w:tcBorders>
              <w:top w:val="single" w:sz="4" w:space="0" w:color="auto"/>
              <w:left w:val="nil"/>
              <w:bottom w:val="single" w:sz="4" w:space="0" w:color="auto"/>
              <w:right w:val="single" w:sz="4" w:space="0" w:color="auto"/>
            </w:tcBorders>
            <w:shd w:val="clear" w:color="000000" w:fill="008080"/>
            <w:vAlign w:val="bottom"/>
            <w:hideMark/>
          </w:tcPr>
          <w:p w:rsidR="00961568" w:rsidRPr="00961568" w:rsidRDefault="00961568" w:rsidP="00961568">
            <w:pPr>
              <w:spacing w:before="0" w:after="0"/>
              <w:jc w:val="center"/>
              <w:rPr>
                <w:rFonts w:cs="Arial"/>
                <w:b/>
                <w:bCs/>
                <w:color w:val="FFFFFF"/>
                <w:sz w:val="20"/>
                <w:szCs w:val="20"/>
                <w:lang w:eastAsia="en-GB"/>
              </w:rPr>
            </w:pPr>
            <w:r w:rsidRPr="00961568">
              <w:rPr>
                <w:rFonts w:cs="Arial"/>
                <w:b/>
                <w:bCs/>
                <w:color w:val="FFFFFF"/>
                <w:sz w:val="20"/>
                <w:szCs w:val="20"/>
                <w:lang w:eastAsia="en-GB"/>
              </w:rPr>
              <w:t>As % total households</w:t>
            </w:r>
          </w:p>
        </w:tc>
      </w:tr>
      <w:tr w:rsidR="00AC2472" w:rsidRPr="00961568" w:rsidTr="00F80B11">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rPr>
                <w:rFonts w:cs="Arial"/>
                <w:sz w:val="20"/>
                <w:szCs w:val="20"/>
                <w:lang w:eastAsia="en-GB"/>
              </w:rPr>
            </w:pPr>
            <w:r w:rsidRPr="00961568">
              <w:rPr>
                <w:rFonts w:cs="Arial"/>
                <w:sz w:val="20"/>
                <w:szCs w:val="20"/>
                <w:lang w:eastAsia="en-GB"/>
              </w:rPr>
              <w:t>Central Durham</w:t>
            </w:r>
          </w:p>
        </w:tc>
        <w:tc>
          <w:tcPr>
            <w:tcW w:w="972"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631</w:t>
            </w:r>
          </w:p>
        </w:tc>
        <w:tc>
          <w:tcPr>
            <w:tcW w:w="735"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42.0</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42905</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1.5</w:t>
            </w:r>
          </w:p>
        </w:tc>
      </w:tr>
      <w:tr w:rsidR="00AC2472" w:rsidRPr="00961568" w:rsidTr="00F80B11">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rPr>
                <w:rFonts w:cs="Arial"/>
                <w:sz w:val="20"/>
                <w:szCs w:val="20"/>
                <w:lang w:eastAsia="en-GB"/>
              </w:rPr>
            </w:pPr>
            <w:r w:rsidRPr="00961568">
              <w:rPr>
                <w:rFonts w:cs="Arial"/>
                <w:sz w:val="20"/>
                <w:szCs w:val="20"/>
                <w:lang w:eastAsia="en-GB"/>
              </w:rPr>
              <w:t>East Durham</w:t>
            </w:r>
          </w:p>
        </w:tc>
        <w:tc>
          <w:tcPr>
            <w:tcW w:w="972"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324</w:t>
            </w:r>
          </w:p>
        </w:tc>
        <w:tc>
          <w:tcPr>
            <w:tcW w:w="735"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21.6</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41416</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0.8</w:t>
            </w:r>
          </w:p>
        </w:tc>
      </w:tr>
      <w:tr w:rsidR="00AC2472" w:rsidRPr="00961568" w:rsidTr="00F80B11">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rPr>
                <w:rFonts w:cs="Arial"/>
                <w:sz w:val="20"/>
                <w:szCs w:val="20"/>
                <w:lang w:eastAsia="en-GB"/>
              </w:rPr>
            </w:pPr>
            <w:r w:rsidRPr="00961568">
              <w:rPr>
                <w:rFonts w:cs="Arial"/>
                <w:sz w:val="20"/>
                <w:szCs w:val="20"/>
                <w:lang w:eastAsia="en-GB"/>
              </w:rPr>
              <w:t>North Durham</w:t>
            </w:r>
          </w:p>
        </w:tc>
        <w:tc>
          <w:tcPr>
            <w:tcW w:w="972"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321</w:t>
            </w:r>
          </w:p>
        </w:tc>
        <w:tc>
          <w:tcPr>
            <w:tcW w:w="735"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21.4</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60151</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0.5</w:t>
            </w:r>
          </w:p>
        </w:tc>
      </w:tr>
      <w:tr w:rsidR="00AC2472" w:rsidRPr="00961568" w:rsidTr="00F80B11">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rPr>
                <w:rFonts w:cs="Arial"/>
                <w:sz w:val="20"/>
                <w:szCs w:val="20"/>
                <w:lang w:eastAsia="en-GB"/>
              </w:rPr>
            </w:pPr>
            <w:r w:rsidRPr="00961568">
              <w:rPr>
                <w:rFonts w:cs="Arial"/>
                <w:sz w:val="20"/>
                <w:szCs w:val="20"/>
                <w:lang w:eastAsia="en-GB"/>
              </w:rPr>
              <w:t>South Durham</w:t>
            </w:r>
          </w:p>
        </w:tc>
        <w:tc>
          <w:tcPr>
            <w:tcW w:w="972"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191</w:t>
            </w:r>
          </w:p>
        </w:tc>
        <w:tc>
          <w:tcPr>
            <w:tcW w:w="735"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12.7</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64520</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0.3</w:t>
            </w:r>
          </w:p>
        </w:tc>
      </w:tr>
      <w:tr w:rsidR="00AC2472" w:rsidRPr="00961568" w:rsidTr="00F80B11">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rPr>
                <w:rFonts w:cs="Arial"/>
                <w:sz w:val="20"/>
                <w:szCs w:val="20"/>
                <w:lang w:eastAsia="en-GB"/>
              </w:rPr>
            </w:pPr>
            <w:r w:rsidRPr="00961568">
              <w:rPr>
                <w:rFonts w:cs="Arial"/>
                <w:sz w:val="20"/>
                <w:szCs w:val="20"/>
                <w:lang w:eastAsia="en-GB"/>
              </w:rPr>
              <w:t>West Durham</w:t>
            </w:r>
          </w:p>
        </w:tc>
        <w:tc>
          <w:tcPr>
            <w:tcW w:w="972"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36</w:t>
            </w:r>
          </w:p>
        </w:tc>
        <w:tc>
          <w:tcPr>
            <w:tcW w:w="735"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sz w:val="20"/>
                <w:szCs w:val="20"/>
                <w:lang w:eastAsia="en-GB"/>
              </w:rPr>
            </w:pPr>
            <w:r w:rsidRPr="00961568">
              <w:rPr>
                <w:rFonts w:cs="Arial"/>
                <w:sz w:val="20"/>
                <w:szCs w:val="20"/>
                <w:lang w:eastAsia="en-GB"/>
              </w:rPr>
              <w:t>2.4</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14811</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sz w:val="20"/>
                <w:szCs w:val="20"/>
              </w:rPr>
            </w:pPr>
            <w:r>
              <w:rPr>
                <w:rFonts w:cs="Arial"/>
                <w:sz w:val="20"/>
                <w:szCs w:val="20"/>
              </w:rPr>
              <w:t>0.2</w:t>
            </w:r>
          </w:p>
        </w:tc>
      </w:tr>
      <w:tr w:rsidR="00AC2472" w:rsidRPr="00961568" w:rsidTr="00F80B11">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rPr>
                <w:rFonts w:cs="Arial"/>
                <w:b/>
                <w:bCs/>
                <w:sz w:val="20"/>
                <w:szCs w:val="20"/>
                <w:lang w:eastAsia="en-GB"/>
              </w:rPr>
            </w:pPr>
            <w:r w:rsidRPr="00961568">
              <w:rPr>
                <w:rFonts w:cs="Arial"/>
                <w:b/>
                <w:bCs/>
                <w:sz w:val="20"/>
                <w:szCs w:val="20"/>
                <w:lang w:eastAsia="en-GB"/>
              </w:rPr>
              <w:t>Total</w:t>
            </w:r>
          </w:p>
        </w:tc>
        <w:tc>
          <w:tcPr>
            <w:tcW w:w="972"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b/>
                <w:bCs/>
                <w:sz w:val="20"/>
                <w:szCs w:val="20"/>
                <w:lang w:eastAsia="en-GB"/>
              </w:rPr>
            </w:pPr>
            <w:r w:rsidRPr="00961568">
              <w:rPr>
                <w:rFonts w:cs="Arial"/>
                <w:b/>
                <w:bCs/>
                <w:sz w:val="20"/>
                <w:szCs w:val="20"/>
                <w:lang w:eastAsia="en-GB"/>
              </w:rPr>
              <w:t>1503</w:t>
            </w:r>
          </w:p>
        </w:tc>
        <w:tc>
          <w:tcPr>
            <w:tcW w:w="735" w:type="dxa"/>
            <w:tcBorders>
              <w:top w:val="nil"/>
              <w:left w:val="nil"/>
              <w:bottom w:val="single" w:sz="4" w:space="0" w:color="auto"/>
              <w:right w:val="single" w:sz="4" w:space="0" w:color="auto"/>
            </w:tcBorders>
            <w:shd w:val="clear" w:color="auto" w:fill="auto"/>
            <w:noWrap/>
            <w:vAlign w:val="bottom"/>
            <w:hideMark/>
          </w:tcPr>
          <w:p w:rsidR="00AC2472" w:rsidRPr="00961568" w:rsidRDefault="00AC2472" w:rsidP="00961568">
            <w:pPr>
              <w:spacing w:before="0" w:after="0"/>
              <w:jc w:val="center"/>
              <w:rPr>
                <w:rFonts w:cs="Arial"/>
                <w:b/>
                <w:bCs/>
                <w:sz w:val="20"/>
                <w:szCs w:val="20"/>
                <w:lang w:eastAsia="en-GB"/>
              </w:rPr>
            </w:pPr>
            <w:r w:rsidRPr="00961568">
              <w:rPr>
                <w:rFonts w:cs="Arial"/>
                <w:b/>
                <w:bCs/>
                <w:sz w:val="20"/>
                <w:szCs w:val="20"/>
                <w:lang w:eastAsia="en-GB"/>
              </w:rPr>
              <w:t>100.0</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b/>
                <w:bCs/>
                <w:sz w:val="20"/>
                <w:szCs w:val="20"/>
              </w:rPr>
            </w:pPr>
            <w:r>
              <w:rPr>
                <w:rFonts w:cs="Arial"/>
                <w:b/>
                <w:bCs/>
                <w:sz w:val="20"/>
                <w:szCs w:val="20"/>
              </w:rPr>
              <w:t>223081</w:t>
            </w:r>
          </w:p>
        </w:tc>
        <w:tc>
          <w:tcPr>
            <w:tcW w:w="1339" w:type="dxa"/>
            <w:tcBorders>
              <w:top w:val="nil"/>
              <w:left w:val="nil"/>
              <w:bottom w:val="single" w:sz="4" w:space="0" w:color="auto"/>
              <w:right w:val="single" w:sz="4" w:space="0" w:color="auto"/>
            </w:tcBorders>
            <w:shd w:val="clear" w:color="auto" w:fill="auto"/>
            <w:noWrap/>
            <w:vAlign w:val="bottom"/>
            <w:hideMark/>
          </w:tcPr>
          <w:p w:rsidR="00AC2472" w:rsidRDefault="00AC2472" w:rsidP="00AC2472">
            <w:pPr>
              <w:spacing w:before="0" w:after="0"/>
              <w:jc w:val="center"/>
              <w:rPr>
                <w:rFonts w:cs="Arial"/>
                <w:b/>
                <w:bCs/>
                <w:sz w:val="20"/>
                <w:szCs w:val="20"/>
              </w:rPr>
            </w:pPr>
            <w:r>
              <w:rPr>
                <w:rFonts w:cs="Arial"/>
                <w:b/>
                <w:bCs/>
                <w:sz w:val="20"/>
                <w:szCs w:val="20"/>
              </w:rPr>
              <w:t>0.7</w:t>
            </w:r>
          </w:p>
        </w:tc>
      </w:tr>
    </w:tbl>
    <w:p w:rsidR="00961568" w:rsidRPr="00DD3EB7" w:rsidRDefault="00961568" w:rsidP="00DD3EB7">
      <w:pPr>
        <w:ind w:firstLine="709"/>
        <w:rPr>
          <w:sz w:val="20"/>
          <w:szCs w:val="20"/>
        </w:rPr>
      </w:pPr>
      <w:r w:rsidRPr="00DD3EB7">
        <w:rPr>
          <w:sz w:val="20"/>
          <w:szCs w:val="20"/>
        </w:rPr>
        <w:t>Source: Council Tax 2012</w:t>
      </w:r>
    </w:p>
    <w:p w:rsidR="00961568" w:rsidRDefault="00961568">
      <w:pPr>
        <w:ind w:left="709"/>
        <w:rPr>
          <w:b/>
        </w:rPr>
      </w:pPr>
    </w:p>
    <w:p w:rsidR="00460563" w:rsidRDefault="00460563" w:rsidP="00460563">
      <w:pPr>
        <w:pStyle w:val="Heading3"/>
      </w:pPr>
      <w:r>
        <w:t xml:space="preserve">Executive housing </w:t>
      </w:r>
    </w:p>
    <w:p w:rsidR="00460563" w:rsidRDefault="00460563" w:rsidP="00460563">
      <w:pPr>
        <w:pStyle w:val="Maintext"/>
      </w:pPr>
      <w:r>
        <w:t xml:space="preserve">Executive housing is currently under-represented in the dwelling stock in the North East Region.  Although the executive housing market only constitutes a small segment of the overall housing market this lack of supply </w:t>
      </w:r>
      <w:r>
        <w:rPr>
          <w:lang w:eastAsia="en-GB"/>
        </w:rPr>
        <w:t>is considered to be acting as a barrier to economic growth and in-migration in the Region</w:t>
      </w:r>
      <w:r>
        <w:rPr>
          <w:rStyle w:val="FootnoteReference"/>
          <w:lang w:eastAsia="en-GB"/>
        </w:rPr>
        <w:footnoteReference w:id="19"/>
      </w:r>
      <w:r>
        <w:rPr>
          <w:lang w:eastAsia="en-GB"/>
        </w:rPr>
        <w:t xml:space="preserve">. </w:t>
      </w:r>
    </w:p>
    <w:p w:rsidR="00460563" w:rsidRDefault="00460563" w:rsidP="00460563">
      <w:pPr>
        <w:pStyle w:val="Maintext"/>
      </w:pPr>
      <w:r>
        <w:t>Previous study definitions</w:t>
      </w:r>
      <w:r w:rsidRPr="00B93760">
        <w:t xml:space="preserve"> into Executive Housing in the North East (NLP and DCHR 2004) developed a broad definition of this market:</w:t>
      </w:r>
      <w:r w:rsidRPr="00460563">
        <w:rPr>
          <w:rFonts w:cs="Arial"/>
          <w:i/>
        </w:rPr>
        <w:t xml:space="preserve"> </w:t>
      </w:r>
      <w:r w:rsidRPr="00460563">
        <w:rPr>
          <w:rFonts w:eastAsia="Calibri" w:cs="Arial"/>
          <w:i/>
        </w:rPr>
        <w:t>“High quality accommodation suited to the needs and aspirations of higher income households”</w:t>
      </w:r>
      <w:r>
        <w:rPr>
          <w:rFonts w:eastAsia="Calibri" w:cs="Arial"/>
          <w:i/>
        </w:rPr>
        <w:t>.</w:t>
      </w:r>
    </w:p>
    <w:p w:rsidR="00460563" w:rsidRPr="00460563" w:rsidRDefault="00460563" w:rsidP="00460563">
      <w:pPr>
        <w:pStyle w:val="Maintext"/>
      </w:pPr>
      <w:r w:rsidRPr="00460563">
        <w:rPr>
          <w:rFonts w:cs="Arial"/>
        </w:rPr>
        <w:t>Distinctive features of executive housing are:</w:t>
      </w:r>
    </w:p>
    <w:p w:rsidR="00460563" w:rsidRDefault="00460563" w:rsidP="00C76826">
      <w:pPr>
        <w:pStyle w:val="Maintext"/>
        <w:numPr>
          <w:ilvl w:val="2"/>
          <w:numId w:val="8"/>
        </w:numPr>
        <w:rPr>
          <w:rFonts w:cs="Arial"/>
        </w:rPr>
      </w:pPr>
      <w:r w:rsidRPr="005F7B9B">
        <w:rPr>
          <w:rFonts w:cs="Arial"/>
        </w:rPr>
        <w:t>High property values</w:t>
      </w:r>
      <w:r>
        <w:rPr>
          <w:rFonts w:cs="Arial"/>
        </w:rPr>
        <w:t>:</w:t>
      </w:r>
    </w:p>
    <w:p w:rsidR="00460563" w:rsidRPr="000B7655" w:rsidRDefault="00460563" w:rsidP="00C76826">
      <w:pPr>
        <w:pStyle w:val="Maintext"/>
        <w:numPr>
          <w:ilvl w:val="3"/>
          <w:numId w:val="8"/>
        </w:numPr>
        <w:rPr>
          <w:rFonts w:cs="Arial"/>
        </w:rPr>
      </w:pPr>
      <w:r>
        <w:rPr>
          <w:rFonts w:cs="Arial"/>
        </w:rPr>
        <w:t>With h</w:t>
      </w:r>
      <w:r w:rsidRPr="005F7B9B">
        <w:rPr>
          <w:rFonts w:cs="Arial"/>
        </w:rPr>
        <w:t>igh incomes required to support purchase</w:t>
      </w:r>
      <w:r>
        <w:rPr>
          <w:rFonts w:cs="Arial"/>
        </w:rPr>
        <w:t xml:space="preserve"> and h</w:t>
      </w:r>
      <w:r w:rsidRPr="000B7655">
        <w:rPr>
          <w:rFonts w:cs="Arial"/>
        </w:rPr>
        <w:t>igh values are linked to desirable locations</w:t>
      </w:r>
      <w:r>
        <w:rPr>
          <w:rFonts w:cs="Arial"/>
        </w:rPr>
        <w:t>; and</w:t>
      </w:r>
    </w:p>
    <w:p w:rsidR="00460563" w:rsidRPr="000B7655" w:rsidRDefault="00460563" w:rsidP="00C76826">
      <w:pPr>
        <w:pStyle w:val="Maintext"/>
        <w:numPr>
          <w:ilvl w:val="2"/>
          <w:numId w:val="8"/>
        </w:numPr>
        <w:rPr>
          <w:rFonts w:cs="Arial"/>
        </w:rPr>
      </w:pPr>
      <w:r w:rsidRPr="005F7B9B">
        <w:rPr>
          <w:rFonts w:cs="Arial"/>
        </w:rPr>
        <w:t xml:space="preserve">High quality construction </w:t>
      </w:r>
      <w:r>
        <w:rPr>
          <w:rFonts w:cs="Arial"/>
        </w:rPr>
        <w:t>including e</w:t>
      </w:r>
      <w:r w:rsidRPr="000B7655">
        <w:rPr>
          <w:rFonts w:cs="Arial"/>
        </w:rPr>
        <w:t>xterior and interior fittings.</w:t>
      </w:r>
    </w:p>
    <w:p w:rsidR="00460563" w:rsidRDefault="00460563" w:rsidP="00460563">
      <w:pPr>
        <w:pStyle w:val="Maintext"/>
      </w:pPr>
      <w:r>
        <w:t xml:space="preserve">The former RSS stated that the provision and location of executive housing has a role in both attracting and retaining mobile professionals in the North East.  In </w:t>
      </w:r>
      <w:r w:rsidR="004C0316">
        <w:t xml:space="preserve">County Durham </w:t>
      </w:r>
      <w:r>
        <w:t xml:space="preserve">executive housing provision will have a role in response to the need for diversification and expansion of the sub-region’s economy and in contributing towards achieving wider population and economic </w:t>
      </w:r>
      <w:r w:rsidR="004C0316">
        <w:t>growth objectives for the Region generally</w:t>
      </w:r>
      <w:r>
        <w:t xml:space="preserve">.  </w:t>
      </w:r>
    </w:p>
    <w:p w:rsidR="00460563" w:rsidRDefault="00460563" w:rsidP="00460563">
      <w:pPr>
        <w:pStyle w:val="Maintext"/>
      </w:pPr>
      <w:r>
        <w:t>This SHMA has sought to investigate the requirements for Executive Housing through a review of existing provision, stakeholder discussions and analysis of household survey evidence.</w:t>
      </w:r>
    </w:p>
    <w:p w:rsidR="00377FC4" w:rsidRDefault="002324A9" w:rsidP="00AC2472">
      <w:pPr>
        <w:pStyle w:val="Maintext"/>
      </w:pPr>
      <w:r>
        <w:t xml:space="preserve">In terms </w:t>
      </w:r>
      <w:r w:rsidR="001E3095">
        <w:t>of existing provision, Table 4.9</w:t>
      </w:r>
      <w:r>
        <w:t xml:space="preserve"> considers the number and distribution of Council Tax Band </w:t>
      </w:r>
      <w:r w:rsidR="00D7682F">
        <w:t xml:space="preserve">F to I </w:t>
      </w:r>
      <w:r>
        <w:t xml:space="preserve">properties across </w:t>
      </w:r>
      <w:r w:rsidR="00377FC4">
        <w:t>County Durham</w:t>
      </w:r>
      <w:r w:rsidR="00AC2472">
        <w:t>. It indicates that 2.6</w:t>
      </w:r>
      <w:r w:rsidR="00D7682F">
        <w:t>% of all dwelling stock are in these higher bands</w:t>
      </w:r>
      <w:r w:rsidR="00942F99">
        <w:t xml:space="preserve"> and the proportions </w:t>
      </w:r>
      <w:r w:rsidR="00322C32">
        <w:t>are</w:t>
      </w:r>
      <w:r w:rsidR="00942F99">
        <w:t xml:space="preserve"> highest in </w:t>
      </w:r>
      <w:r w:rsidR="00322C32">
        <w:t>The Dales</w:t>
      </w:r>
      <w:r w:rsidR="00942F99">
        <w:t xml:space="preserve"> </w:t>
      </w:r>
      <w:r w:rsidR="005D7D0B">
        <w:t>d</w:t>
      </w:r>
      <w:r w:rsidR="00B440F0">
        <w:t>elivery area</w:t>
      </w:r>
      <w:r w:rsidR="00942F99">
        <w:t xml:space="preserve"> (6.9% of dwelling stock) and Central Durham (</w:t>
      </w:r>
      <w:r w:rsidR="00322C32">
        <w:t>5.3% of dwelling stock).</w:t>
      </w:r>
    </w:p>
    <w:p w:rsidR="00E158CA" w:rsidRDefault="00E158CA" w:rsidP="00E158CA">
      <w:pPr>
        <w:pStyle w:val="Maintext"/>
      </w:pPr>
      <w:r w:rsidRPr="00460563">
        <w:t>The household survey can be used to explore the housing options being considered by higher income groups (wit</w:t>
      </w:r>
      <w:r w:rsidR="0014652D">
        <w:t>h a weekly income of at least £100</w:t>
      </w:r>
      <w:r w:rsidRPr="00460563">
        <w:t xml:space="preserve">0). Although the executive housing market is a niche market, reviewing the housing aspirations of high income groups is an appropriate way of investigating the potential demand for executive housing. </w:t>
      </w:r>
    </w:p>
    <w:p w:rsidR="0090485B" w:rsidRDefault="00E158CA" w:rsidP="0090485B">
      <w:pPr>
        <w:pStyle w:val="Maintext"/>
      </w:pPr>
      <w:r w:rsidRPr="00460563">
        <w:t xml:space="preserve">The household survey identifies </w:t>
      </w:r>
      <w:r w:rsidR="00322C32">
        <w:t>2,946</w:t>
      </w:r>
      <w:r w:rsidRPr="00460563">
        <w:t xml:space="preserve"> households</w:t>
      </w:r>
      <w:r w:rsidR="007C0D8D">
        <w:t xml:space="preserve"> with a gross</w:t>
      </w:r>
      <w:r w:rsidR="0090485B">
        <w:t xml:space="preserve"> income </w:t>
      </w:r>
      <w:r w:rsidR="007C0D8D">
        <w:t xml:space="preserve">of the head of household and partner (if applicable) </w:t>
      </w:r>
      <w:r w:rsidR="0090485B">
        <w:t xml:space="preserve">of at least £1000 </w:t>
      </w:r>
      <w:r w:rsidRPr="00460563">
        <w:t xml:space="preserve">intending to move in the next five years. </w:t>
      </w:r>
      <w:r w:rsidR="0090485B">
        <w:t>A majority of higher income households planning to move were intending on staying in County Durham (</w:t>
      </w:r>
      <w:r w:rsidR="00322C32">
        <w:t>64.9</w:t>
      </w:r>
      <w:r w:rsidR="0090485B">
        <w:t xml:space="preserve">%) with a further </w:t>
      </w:r>
      <w:r w:rsidR="00322C32">
        <w:t>35.1</w:t>
      </w:r>
      <w:r w:rsidR="0090485B">
        <w:t xml:space="preserve">% planning to move out of the </w:t>
      </w:r>
      <w:r w:rsidR="00322C32">
        <w:t>County. In terms of location, 24.2</w:t>
      </w:r>
      <w:r w:rsidR="0090485B">
        <w:t>% stated Durha</w:t>
      </w:r>
      <w:r w:rsidR="00322C32">
        <w:t>m City as a choice, followed by Chester-le-Street (6.8</w:t>
      </w:r>
      <w:r w:rsidR="0090485B">
        <w:t>%). Of ch</w:t>
      </w:r>
      <w:r w:rsidR="00322C32">
        <w:t>oices outside County Durham, 7.4% stated Northumberland, 5.4</w:t>
      </w:r>
      <w:r w:rsidR="0090485B">
        <w:t xml:space="preserve">% Tyne </w:t>
      </w:r>
      <w:r w:rsidR="00322C32">
        <w:t>and Wear, 1.9% Darlington and 17</w:t>
      </w:r>
      <w:r w:rsidR="0090485B">
        <w:t>.2% els</w:t>
      </w:r>
      <w:r w:rsidR="00322C32">
        <w:t>ewhere in the UK and 3</w:t>
      </w:r>
      <w:r w:rsidR="0090485B">
        <w:t>.2% outside the UK.</w:t>
      </w:r>
    </w:p>
    <w:p w:rsidR="00F80B11" w:rsidRDefault="00F80B11" w:rsidP="00942F99">
      <w:pPr>
        <w:pStyle w:val="Maintext"/>
        <w:numPr>
          <w:ilvl w:val="0"/>
          <w:numId w:val="0"/>
        </w:numPr>
        <w:ind w:left="2160" w:hanging="1451"/>
        <w:rPr>
          <w:b/>
        </w:rPr>
      </w:pPr>
    </w:p>
    <w:p w:rsidR="002324A9" w:rsidRDefault="002324A9" w:rsidP="00942F99">
      <w:pPr>
        <w:pStyle w:val="Maintext"/>
        <w:numPr>
          <w:ilvl w:val="0"/>
          <w:numId w:val="0"/>
        </w:numPr>
        <w:ind w:left="2160" w:hanging="1451"/>
      </w:pPr>
      <w:r w:rsidRPr="002324A9">
        <w:rPr>
          <w:b/>
        </w:rPr>
        <w:t>Table 4.</w:t>
      </w:r>
      <w:r w:rsidR="001E3095">
        <w:rPr>
          <w:b/>
        </w:rPr>
        <w:t>9</w:t>
      </w:r>
      <w:r>
        <w:tab/>
        <w:t xml:space="preserve">Location of Council Tax Band </w:t>
      </w:r>
      <w:r w:rsidR="00D7682F">
        <w:t>F, G, H and I</w:t>
      </w:r>
      <w:r w:rsidR="00377FC4">
        <w:t xml:space="preserve"> </w:t>
      </w:r>
      <w:r w:rsidR="00D7682F">
        <w:t xml:space="preserve">properties by </w:t>
      </w:r>
      <w:r w:rsidR="005D7D0B">
        <w:t>d</w:t>
      </w:r>
      <w:r w:rsidR="00B440F0">
        <w:t>elivery area</w:t>
      </w:r>
    </w:p>
    <w:tbl>
      <w:tblPr>
        <w:tblW w:w="8789" w:type="dxa"/>
        <w:tblInd w:w="817" w:type="dxa"/>
        <w:tblLook w:val="04A0" w:firstRow="1" w:lastRow="0" w:firstColumn="1" w:lastColumn="0" w:noHBand="0" w:noVBand="1"/>
      </w:tblPr>
      <w:tblGrid>
        <w:gridCol w:w="2835"/>
        <w:gridCol w:w="1985"/>
        <w:gridCol w:w="2126"/>
        <w:gridCol w:w="1843"/>
      </w:tblGrid>
      <w:tr w:rsidR="00AC2472" w:rsidRPr="00AC2472" w:rsidTr="00AC2472">
        <w:trPr>
          <w:trHeight w:val="255"/>
        </w:trPr>
        <w:tc>
          <w:tcPr>
            <w:tcW w:w="2835"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AC2472" w:rsidRPr="00AC2472" w:rsidRDefault="00AC2472" w:rsidP="00AC2472">
            <w:pPr>
              <w:spacing w:before="0" w:after="0"/>
              <w:rPr>
                <w:rFonts w:cs="Arial"/>
                <w:b/>
                <w:bCs/>
                <w:color w:val="FFFFFF"/>
                <w:sz w:val="20"/>
                <w:szCs w:val="20"/>
                <w:lang w:eastAsia="en-GB"/>
              </w:rPr>
            </w:pPr>
            <w:r w:rsidRPr="00AC2472">
              <w:rPr>
                <w:rFonts w:cs="Arial"/>
                <w:b/>
                <w:bCs/>
                <w:color w:val="FFFFFF"/>
                <w:sz w:val="20"/>
                <w:szCs w:val="20"/>
                <w:lang w:eastAsia="en-GB"/>
              </w:rPr>
              <w:t>Delivery area</w:t>
            </w:r>
          </w:p>
        </w:tc>
        <w:tc>
          <w:tcPr>
            <w:tcW w:w="1985" w:type="dxa"/>
            <w:tcBorders>
              <w:top w:val="single" w:sz="4" w:space="0" w:color="auto"/>
              <w:left w:val="nil"/>
              <w:bottom w:val="single" w:sz="4" w:space="0" w:color="auto"/>
              <w:right w:val="single" w:sz="4" w:space="0" w:color="auto"/>
            </w:tcBorders>
            <w:shd w:val="clear" w:color="000000" w:fill="008080"/>
            <w:noWrap/>
            <w:vAlign w:val="bottom"/>
            <w:hideMark/>
          </w:tcPr>
          <w:p w:rsidR="00AC2472" w:rsidRPr="00AC2472" w:rsidRDefault="00AC2472" w:rsidP="00AC2472">
            <w:pPr>
              <w:spacing w:before="0" w:after="0"/>
              <w:jc w:val="center"/>
              <w:rPr>
                <w:rFonts w:cs="Arial"/>
                <w:b/>
                <w:bCs/>
                <w:color w:val="FFFFFF"/>
                <w:sz w:val="20"/>
                <w:szCs w:val="20"/>
                <w:lang w:eastAsia="en-GB"/>
              </w:rPr>
            </w:pPr>
            <w:r w:rsidRPr="00AC2472">
              <w:rPr>
                <w:rFonts w:cs="Arial"/>
                <w:b/>
                <w:bCs/>
                <w:color w:val="FFFFFF"/>
                <w:sz w:val="20"/>
                <w:szCs w:val="20"/>
                <w:lang w:eastAsia="en-GB"/>
              </w:rPr>
              <w:t>No. Bands F to I</w:t>
            </w:r>
          </w:p>
        </w:tc>
        <w:tc>
          <w:tcPr>
            <w:tcW w:w="2126" w:type="dxa"/>
            <w:tcBorders>
              <w:top w:val="single" w:sz="4" w:space="0" w:color="auto"/>
              <w:left w:val="nil"/>
              <w:bottom w:val="single" w:sz="4" w:space="0" w:color="auto"/>
              <w:right w:val="single" w:sz="4" w:space="0" w:color="auto"/>
            </w:tcBorders>
            <w:shd w:val="clear" w:color="000000" w:fill="008080"/>
            <w:noWrap/>
            <w:vAlign w:val="bottom"/>
            <w:hideMark/>
          </w:tcPr>
          <w:p w:rsidR="00AC2472" w:rsidRPr="00AC2472" w:rsidRDefault="00AC2472" w:rsidP="00AC2472">
            <w:pPr>
              <w:spacing w:before="0" w:after="0"/>
              <w:jc w:val="center"/>
              <w:rPr>
                <w:rFonts w:cs="Arial"/>
                <w:b/>
                <w:bCs/>
                <w:color w:val="FFFFFF"/>
                <w:sz w:val="20"/>
                <w:szCs w:val="20"/>
                <w:lang w:eastAsia="en-GB"/>
              </w:rPr>
            </w:pPr>
            <w:r w:rsidRPr="00AC2472">
              <w:rPr>
                <w:rFonts w:cs="Arial"/>
                <w:b/>
                <w:bCs/>
                <w:color w:val="FFFFFF"/>
                <w:sz w:val="20"/>
                <w:szCs w:val="20"/>
                <w:lang w:eastAsia="en-GB"/>
              </w:rPr>
              <w:t>% Bands F to I</w:t>
            </w:r>
          </w:p>
        </w:tc>
        <w:tc>
          <w:tcPr>
            <w:tcW w:w="1843" w:type="dxa"/>
            <w:tcBorders>
              <w:top w:val="single" w:sz="4" w:space="0" w:color="auto"/>
              <w:left w:val="nil"/>
              <w:bottom w:val="single" w:sz="4" w:space="0" w:color="auto"/>
              <w:right w:val="single" w:sz="4" w:space="0" w:color="auto"/>
            </w:tcBorders>
            <w:shd w:val="clear" w:color="000000" w:fill="008080"/>
            <w:noWrap/>
            <w:vAlign w:val="bottom"/>
            <w:hideMark/>
          </w:tcPr>
          <w:p w:rsidR="00AC2472" w:rsidRPr="00AC2472" w:rsidRDefault="00AC2472" w:rsidP="00AC2472">
            <w:pPr>
              <w:spacing w:before="0" w:after="0"/>
              <w:jc w:val="center"/>
              <w:rPr>
                <w:rFonts w:cs="Arial"/>
                <w:b/>
                <w:bCs/>
                <w:color w:val="FFFFFF"/>
                <w:sz w:val="20"/>
                <w:szCs w:val="20"/>
                <w:lang w:eastAsia="en-GB"/>
              </w:rPr>
            </w:pPr>
            <w:r w:rsidRPr="00AC2472">
              <w:rPr>
                <w:rFonts w:cs="Arial"/>
                <w:b/>
                <w:bCs/>
                <w:color w:val="FFFFFF"/>
                <w:sz w:val="20"/>
                <w:szCs w:val="20"/>
                <w:lang w:eastAsia="en-GB"/>
              </w:rPr>
              <w:t>Total Dwellings</w:t>
            </w:r>
          </w:p>
        </w:tc>
      </w:tr>
      <w:tr w:rsidR="00AC2472" w:rsidRPr="00AC2472" w:rsidTr="00AC2472">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rPr>
                <w:rFonts w:cs="Arial"/>
                <w:sz w:val="20"/>
                <w:szCs w:val="20"/>
                <w:lang w:eastAsia="en-GB"/>
              </w:rPr>
            </w:pPr>
            <w:r w:rsidRPr="00AC2472">
              <w:rPr>
                <w:rFonts w:cs="Arial"/>
                <w:sz w:val="20"/>
                <w:szCs w:val="20"/>
                <w:lang w:eastAsia="en-GB"/>
              </w:rPr>
              <w:t>Central Durham</w:t>
            </w:r>
          </w:p>
        </w:tc>
        <w:tc>
          <w:tcPr>
            <w:tcW w:w="1985"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2263</w:t>
            </w:r>
          </w:p>
        </w:tc>
        <w:tc>
          <w:tcPr>
            <w:tcW w:w="2126"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5.3</w:t>
            </w:r>
          </w:p>
        </w:tc>
        <w:tc>
          <w:tcPr>
            <w:tcW w:w="1843"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42905</w:t>
            </w:r>
          </w:p>
        </w:tc>
      </w:tr>
      <w:tr w:rsidR="00AC2472" w:rsidRPr="00AC2472" w:rsidTr="00AC2472">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rPr>
                <w:rFonts w:cs="Arial"/>
                <w:sz w:val="20"/>
                <w:szCs w:val="20"/>
                <w:lang w:eastAsia="en-GB"/>
              </w:rPr>
            </w:pPr>
            <w:r w:rsidRPr="00AC2472">
              <w:rPr>
                <w:rFonts w:cs="Arial"/>
                <w:sz w:val="20"/>
                <w:szCs w:val="20"/>
                <w:lang w:eastAsia="en-GB"/>
              </w:rPr>
              <w:t>East Durham</w:t>
            </w:r>
          </w:p>
        </w:tc>
        <w:tc>
          <w:tcPr>
            <w:tcW w:w="1985"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477</w:t>
            </w:r>
          </w:p>
        </w:tc>
        <w:tc>
          <w:tcPr>
            <w:tcW w:w="2126"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1.2</w:t>
            </w:r>
          </w:p>
        </w:tc>
        <w:tc>
          <w:tcPr>
            <w:tcW w:w="1843"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41416</w:t>
            </w:r>
          </w:p>
        </w:tc>
      </w:tr>
      <w:tr w:rsidR="00AC2472" w:rsidRPr="00AC2472" w:rsidTr="00AC2472">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rPr>
                <w:rFonts w:cs="Arial"/>
                <w:sz w:val="20"/>
                <w:szCs w:val="20"/>
                <w:lang w:eastAsia="en-GB"/>
              </w:rPr>
            </w:pPr>
            <w:r w:rsidRPr="00AC2472">
              <w:rPr>
                <w:rFonts w:cs="Arial"/>
                <w:sz w:val="20"/>
                <w:szCs w:val="20"/>
                <w:lang w:eastAsia="en-GB"/>
              </w:rPr>
              <w:t>North Durham</w:t>
            </w:r>
          </w:p>
        </w:tc>
        <w:tc>
          <w:tcPr>
            <w:tcW w:w="1985"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1326</w:t>
            </w:r>
          </w:p>
        </w:tc>
        <w:tc>
          <w:tcPr>
            <w:tcW w:w="2126"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2.2</w:t>
            </w:r>
          </w:p>
        </w:tc>
        <w:tc>
          <w:tcPr>
            <w:tcW w:w="1843"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60151</w:t>
            </w:r>
          </w:p>
        </w:tc>
      </w:tr>
      <w:tr w:rsidR="00AC2472" w:rsidRPr="00AC2472" w:rsidTr="00AC2472">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rPr>
                <w:rFonts w:cs="Arial"/>
                <w:sz w:val="20"/>
                <w:szCs w:val="20"/>
                <w:lang w:eastAsia="en-GB"/>
              </w:rPr>
            </w:pPr>
            <w:r w:rsidRPr="00AC2472">
              <w:rPr>
                <w:rFonts w:cs="Arial"/>
                <w:sz w:val="20"/>
                <w:szCs w:val="20"/>
                <w:lang w:eastAsia="en-GB"/>
              </w:rPr>
              <w:t>South Durham</w:t>
            </w:r>
          </w:p>
        </w:tc>
        <w:tc>
          <w:tcPr>
            <w:tcW w:w="1985"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695</w:t>
            </w:r>
          </w:p>
        </w:tc>
        <w:tc>
          <w:tcPr>
            <w:tcW w:w="2126"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1.1</w:t>
            </w:r>
          </w:p>
        </w:tc>
        <w:tc>
          <w:tcPr>
            <w:tcW w:w="1843"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64520</w:t>
            </w:r>
          </w:p>
        </w:tc>
      </w:tr>
      <w:tr w:rsidR="00AC2472" w:rsidRPr="00AC2472" w:rsidTr="00AC2472">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rPr>
                <w:rFonts w:cs="Arial"/>
                <w:sz w:val="20"/>
                <w:szCs w:val="20"/>
                <w:lang w:eastAsia="en-GB"/>
              </w:rPr>
            </w:pPr>
            <w:r w:rsidRPr="00AC2472">
              <w:rPr>
                <w:rFonts w:cs="Arial"/>
                <w:sz w:val="20"/>
                <w:szCs w:val="20"/>
                <w:lang w:eastAsia="en-GB"/>
              </w:rPr>
              <w:t>The Dales</w:t>
            </w:r>
          </w:p>
        </w:tc>
        <w:tc>
          <w:tcPr>
            <w:tcW w:w="1985"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1026</w:t>
            </w:r>
          </w:p>
        </w:tc>
        <w:tc>
          <w:tcPr>
            <w:tcW w:w="2126"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6.9</w:t>
            </w:r>
          </w:p>
        </w:tc>
        <w:tc>
          <w:tcPr>
            <w:tcW w:w="1843"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14811</w:t>
            </w:r>
          </w:p>
        </w:tc>
      </w:tr>
      <w:tr w:rsidR="00AC2472" w:rsidRPr="00AC2472" w:rsidTr="00AC2472">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rPr>
                <w:rFonts w:cs="Arial"/>
                <w:b/>
                <w:bCs/>
                <w:sz w:val="20"/>
                <w:szCs w:val="20"/>
                <w:lang w:eastAsia="en-GB"/>
              </w:rPr>
            </w:pPr>
            <w:r w:rsidRPr="00AC2472">
              <w:rPr>
                <w:rFonts w:cs="Arial"/>
                <w:b/>
                <w:bCs/>
                <w:sz w:val="20"/>
                <w:szCs w:val="20"/>
                <w:lang w:eastAsia="en-GB"/>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5787</w:t>
            </w:r>
          </w:p>
        </w:tc>
        <w:tc>
          <w:tcPr>
            <w:tcW w:w="2126"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2.6</w:t>
            </w:r>
          </w:p>
        </w:tc>
        <w:tc>
          <w:tcPr>
            <w:tcW w:w="1843" w:type="dxa"/>
            <w:tcBorders>
              <w:top w:val="nil"/>
              <w:left w:val="nil"/>
              <w:bottom w:val="single" w:sz="4" w:space="0" w:color="auto"/>
              <w:right w:val="single" w:sz="4" w:space="0" w:color="auto"/>
            </w:tcBorders>
            <w:shd w:val="clear" w:color="auto" w:fill="auto"/>
            <w:noWrap/>
            <w:vAlign w:val="bottom"/>
            <w:hideMark/>
          </w:tcPr>
          <w:p w:rsidR="00AC2472" w:rsidRPr="00AC2472" w:rsidRDefault="00AC2472" w:rsidP="00AC2472">
            <w:pPr>
              <w:spacing w:before="0" w:after="0"/>
              <w:jc w:val="center"/>
              <w:rPr>
                <w:rFonts w:cs="Arial"/>
                <w:sz w:val="20"/>
                <w:szCs w:val="20"/>
                <w:lang w:eastAsia="en-GB"/>
              </w:rPr>
            </w:pPr>
            <w:r w:rsidRPr="00AC2472">
              <w:rPr>
                <w:rFonts w:cs="Arial"/>
                <w:sz w:val="20"/>
                <w:szCs w:val="20"/>
                <w:lang w:eastAsia="en-GB"/>
              </w:rPr>
              <w:t>223803</w:t>
            </w:r>
          </w:p>
        </w:tc>
      </w:tr>
    </w:tbl>
    <w:p w:rsidR="00942F99" w:rsidRPr="00942F99" w:rsidRDefault="00942F99" w:rsidP="00AC2472">
      <w:pPr>
        <w:pStyle w:val="Maintext"/>
        <w:numPr>
          <w:ilvl w:val="0"/>
          <w:numId w:val="0"/>
        </w:numPr>
        <w:ind w:firstLine="709"/>
        <w:rPr>
          <w:sz w:val="20"/>
          <w:szCs w:val="20"/>
        </w:rPr>
      </w:pPr>
      <w:r w:rsidRPr="00942F99">
        <w:rPr>
          <w:sz w:val="20"/>
          <w:szCs w:val="20"/>
        </w:rPr>
        <w:t>Source: Council Tax 2012</w:t>
      </w:r>
    </w:p>
    <w:p w:rsidR="00942F99" w:rsidRDefault="00942F99" w:rsidP="00942F99">
      <w:pPr>
        <w:pStyle w:val="Maintext"/>
        <w:numPr>
          <w:ilvl w:val="0"/>
          <w:numId w:val="0"/>
        </w:numPr>
        <w:ind w:left="709"/>
      </w:pPr>
    </w:p>
    <w:p w:rsidR="00460563" w:rsidRPr="00460563" w:rsidRDefault="00460563" w:rsidP="00460563">
      <w:pPr>
        <w:pStyle w:val="Maintext"/>
      </w:pPr>
      <w:r w:rsidRPr="00460563">
        <w:t>In terms of dwelling preferences, likes and expectat</w:t>
      </w:r>
      <w:r w:rsidR="001E3095">
        <w:t>ions are summarised in Table 4.10</w:t>
      </w:r>
      <w:r w:rsidRPr="00460563">
        <w:t xml:space="preserve">. This indicates strongest </w:t>
      </w:r>
      <w:r w:rsidR="0090485B">
        <w:t>likes/</w:t>
      </w:r>
      <w:r w:rsidRPr="00460563">
        <w:t>aspiration</w:t>
      </w:r>
      <w:r w:rsidR="0090485B">
        <w:t>s</w:t>
      </w:r>
      <w:r w:rsidRPr="00460563">
        <w:t xml:space="preserve"> towards det</w:t>
      </w:r>
      <w:r w:rsidR="0090485B">
        <w:t>ached houses with at least four</w:t>
      </w:r>
      <w:r w:rsidRPr="00460563">
        <w:t xml:space="preserve"> bedrooms; a majority would still expect to move to a detached property but they are more likely to expect to move to a semi-detached property with three or more bedrooms. </w:t>
      </w:r>
    </w:p>
    <w:p w:rsidR="00460563" w:rsidRDefault="00460563" w:rsidP="00460563">
      <w:pPr>
        <w:pStyle w:val="Maintext"/>
        <w:numPr>
          <w:ilvl w:val="0"/>
          <w:numId w:val="0"/>
        </w:numPr>
        <w:ind w:left="709"/>
        <w:jc w:val="left"/>
        <w:rPr>
          <w:i/>
        </w:rPr>
      </w:pPr>
    </w:p>
    <w:p w:rsidR="00460563" w:rsidRDefault="00460563" w:rsidP="00377FC4">
      <w:pPr>
        <w:pStyle w:val="Maintext"/>
        <w:numPr>
          <w:ilvl w:val="0"/>
          <w:numId w:val="0"/>
        </w:numPr>
        <w:ind w:firstLine="709"/>
        <w:jc w:val="left"/>
      </w:pPr>
      <w:r w:rsidRPr="00460563">
        <w:rPr>
          <w:b/>
        </w:rPr>
        <w:t>Table 4.</w:t>
      </w:r>
      <w:r w:rsidR="001E3095">
        <w:rPr>
          <w:b/>
        </w:rPr>
        <w:t>10</w:t>
      </w:r>
      <w:r w:rsidRPr="000B7655">
        <w:tab/>
        <w:t>High income household dwelli</w:t>
      </w:r>
      <w:r w:rsidR="0090485B">
        <w:t>ng aspirations and expectations</w:t>
      </w:r>
    </w:p>
    <w:tbl>
      <w:tblPr>
        <w:tblW w:w="7538" w:type="dxa"/>
        <w:tblInd w:w="720" w:type="dxa"/>
        <w:tblLook w:val="04A0" w:firstRow="1" w:lastRow="0" w:firstColumn="1" w:lastColumn="0" w:noHBand="0" w:noVBand="1"/>
      </w:tblPr>
      <w:tblGrid>
        <w:gridCol w:w="1450"/>
        <w:gridCol w:w="1073"/>
        <w:gridCol w:w="1260"/>
        <w:gridCol w:w="1040"/>
        <w:gridCol w:w="660"/>
        <w:gridCol w:w="1095"/>
        <w:gridCol w:w="960"/>
      </w:tblGrid>
      <w:tr w:rsidR="0090485B" w:rsidRPr="0090485B" w:rsidTr="00F80B11">
        <w:trPr>
          <w:trHeight w:val="255"/>
        </w:trPr>
        <w:tc>
          <w:tcPr>
            <w:tcW w:w="2523" w:type="dxa"/>
            <w:gridSpan w:val="2"/>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b/>
                <w:bCs/>
                <w:sz w:val="20"/>
                <w:szCs w:val="20"/>
                <w:lang w:eastAsia="en-GB"/>
              </w:rPr>
            </w:pPr>
            <w:r w:rsidRPr="0090485B">
              <w:rPr>
                <w:rFonts w:cs="Arial"/>
                <w:b/>
                <w:bCs/>
                <w:sz w:val="20"/>
                <w:szCs w:val="20"/>
                <w:lang w:eastAsia="en-GB"/>
              </w:rPr>
              <w:t>Like/Aspiration</w:t>
            </w:r>
          </w:p>
        </w:tc>
        <w:tc>
          <w:tcPr>
            <w:tcW w:w="12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04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6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095"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9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r>
      <w:tr w:rsidR="0090485B" w:rsidRPr="0090485B" w:rsidTr="00F80B11">
        <w:trPr>
          <w:trHeight w:val="255"/>
        </w:trPr>
        <w:tc>
          <w:tcPr>
            <w:tcW w:w="145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No. Beds</w:t>
            </w:r>
          </w:p>
        </w:tc>
        <w:tc>
          <w:tcPr>
            <w:tcW w:w="2333" w:type="dxa"/>
            <w:gridSpan w:val="2"/>
            <w:tcBorders>
              <w:top w:val="single" w:sz="4" w:space="0" w:color="auto"/>
              <w:left w:val="single" w:sz="4" w:space="0" w:color="auto"/>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Property type (Table %)</w:t>
            </w:r>
          </w:p>
        </w:tc>
        <w:tc>
          <w:tcPr>
            <w:tcW w:w="1040" w:type="dxa"/>
            <w:tcBorders>
              <w:top w:val="single" w:sz="4" w:space="0" w:color="auto"/>
              <w:left w:val="nil"/>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660" w:type="dxa"/>
            <w:tcBorders>
              <w:top w:val="single" w:sz="4" w:space="0" w:color="auto"/>
              <w:left w:val="nil"/>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1095" w:type="dxa"/>
            <w:tcBorders>
              <w:top w:val="single" w:sz="4" w:space="0" w:color="auto"/>
              <w:left w:val="nil"/>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960" w:type="dxa"/>
            <w:tcBorders>
              <w:top w:val="single" w:sz="4" w:space="0" w:color="auto"/>
              <w:left w:val="nil"/>
              <w:bottom w:val="single" w:sz="4" w:space="0" w:color="auto"/>
              <w:right w:val="single" w:sz="4" w:space="0" w:color="auto"/>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r>
      <w:tr w:rsidR="0090485B" w:rsidRPr="0090485B" w:rsidTr="00F80B11">
        <w:trPr>
          <w:trHeight w:val="765"/>
        </w:trPr>
        <w:tc>
          <w:tcPr>
            <w:tcW w:w="1450" w:type="dxa"/>
            <w:tcBorders>
              <w:top w:val="nil"/>
              <w:left w:val="single" w:sz="4" w:space="0" w:color="auto"/>
              <w:bottom w:val="single" w:sz="4" w:space="0" w:color="auto"/>
              <w:right w:val="single" w:sz="4" w:space="0" w:color="auto"/>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1073"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Detached house</w:t>
            </w:r>
          </w:p>
        </w:tc>
        <w:tc>
          <w:tcPr>
            <w:tcW w:w="126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Semi-detached house</w:t>
            </w:r>
          </w:p>
        </w:tc>
        <w:tc>
          <w:tcPr>
            <w:tcW w:w="104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Large terraced house</w:t>
            </w:r>
          </w:p>
        </w:tc>
        <w:tc>
          <w:tcPr>
            <w:tcW w:w="66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Flat</w:t>
            </w:r>
          </w:p>
        </w:tc>
        <w:tc>
          <w:tcPr>
            <w:tcW w:w="1095"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Bungalow</w:t>
            </w:r>
          </w:p>
        </w:tc>
        <w:tc>
          <w:tcPr>
            <w:tcW w:w="96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Total</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Two</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1.3</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1.6</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6.5</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Three</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16.0</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2.8</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3.1</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1.6</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26.4</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Four</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46.0</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3.1</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50.6</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Five or more</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16.4</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16.4</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Total</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79.8</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5.9</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3.1</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3.1</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8.1</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100.0</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Base</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2902</w:t>
            </w:r>
          </w:p>
        </w:tc>
        <w:tc>
          <w:tcPr>
            <w:tcW w:w="126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104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66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1095"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96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r>
      <w:tr w:rsidR="0090485B" w:rsidRPr="0090485B" w:rsidTr="00F80B11">
        <w:trPr>
          <w:trHeight w:val="255"/>
        </w:trPr>
        <w:tc>
          <w:tcPr>
            <w:tcW w:w="145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073"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2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04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6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095"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9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r>
      <w:tr w:rsidR="0090485B" w:rsidRPr="0090485B" w:rsidTr="00F80B11">
        <w:trPr>
          <w:trHeight w:val="255"/>
        </w:trPr>
        <w:tc>
          <w:tcPr>
            <w:tcW w:w="145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b/>
                <w:bCs/>
                <w:sz w:val="20"/>
                <w:szCs w:val="20"/>
                <w:lang w:eastAsia="en-GB"/>
              </w:rPr>
            </w:pPr>
            <w:r w:rsidRPr="0090485B">
              <w:rPr>
                <w:rFonts w:cs="Arial"/>
                <w:b/>
                <w:bCs/>
                <w:sz w:val="20"/>
                <w:szCs w:val="20"/>
                <w:lang w:eastAsia="en-GB"/>
              </w:rPr>
              <w:t>Expect</w:t>
            </w:r>
          </w:p>
        </w:tc>
        <w:tc>
          <w:tcPr>
            <w:tcW w:w="1073"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2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04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6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1095"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c>
          <w:tcPr>
            <w:tcW w:w="960" w:type="dxa"/>
            <w:tcBorders>
              <w:top w:val="nil"/>
              <w:left w:val="nil"/>
              <w:bottom w:val="nil"/>
              <w:right w:val="nil"/>
            </w:tcBorders>
            <w:shd w:val="clear" w:color="auto" w:fill="auto"/>
            <w:noWrap/>
            <w:vAlign w:val="bottom"/>
            <w:hideMark/>
          </w:tcPr>
          <w:p w:rsidR="0090485B" w:rsidRPr="0090485B" w:rsidRDefault="0090485B" w:rsidP="0090485B">
            <w:pPr>
              <w:spacing w:before="0" w:after="0"/>
              <w:rPr>
                <w:rFonts w:cs="Arial"/>
                <w:sz w:val="20"/>
                <w:szCs w:val="20"/>
                <w:lang w:eastAsia="en-GB"/>
              </w:rPr>
            </w:pPr>
          </w:p>
        </w:tc>
      </w:tr>
      <w:tr w:rsidR="0090485B" w:rsidRPr="0090485B" w:rsidTr="00F80B11">
        <w:trPr>
          <w:trHeight w:val="255"/>
        </w:trPr>
        <w:tc>
          <w:tcPr>
            <w:tcW w:w="1450"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No. Beds</w:t>
            </w:r>
          </w:p>
        </w:tc>
        <w:tc>
          <w:tcPr>
            <w:tcW w:w="2333" w:type="dxa"/>
            <w:gridSpan w:val="2"/>
            <w:tcBorders>
              <w:top w:val="single" w:sz="4" w:space="0" w:color="auto"/>
              <w:left w:val="single" w:sz="4" w:space="0" w:color="auto"/>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Property type (Table %)</w:t>
            </w:r>
          </w:p>
        </w:tc>
        <w:tc>
          <w:tcPr>
            <w:tcW w:w="1040" w:type="dxa"/>
            <w:tcBorders>
              <w:top w:val="single" w:sz="4" w:space="0" w:color="auto"/>
              <w:left w:val="nil"/>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660" w:type="dxa"/>
            <w:tcBorders>
              <w:top w:val="single" w:sz="4" w:space="0" w:color="auto"/>
              <w:left w:val="nil"/>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1095" w:type="dxa"/>
            <w:tcBorders>
              <w:top w:val="single" w:sz="4" w:space="0" w:color="auto"/>
              <w:left w:val="nil"/>
              <w:bottom w:val="single" w:sz="4" w:space="0" w:color="auto"/>
              <w:right w:val="nil"/>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960" w:type="dxa"/>
            <w:tcBorders>
              <w:top w:val="single" w:sz="4" w:space="0" w:color="auto"/>
              <w:left w:val="nil"/>
              <w:bottom w:val="single" w:sz="4" w:space="0" w:color="auto"/>
              <w:right w:val="single" w:sz="4" w:space="0" w:color="auto"/>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r>
      <w:tr w:rsidR="0090485B" w:rsidRPr="0090485B" w:rsidTr="00F80B11">
        <w:trPr>
          <w:trHeight w:val="765"/>
        </w:trPr>
        <w:tc>
          <w:tcPr>
            <w:tcW w:w="1450" w:type="dxa"/>
            <w:tcBorders>
              <w:top w:val="nil"/>
              <w:left w:val="single" w:sz="4" w:space="0" w:color="auto"/>
              <w:bottom w:val="single" w:sz="4" w:space="0" w:color="auto"/>
              <w:right w:val="single" w:sz="4" w:space="0" w:color="auto"/>
            </w:tcBorders>
            <w:shd w:val="clear" w:color="000000" w:fill="006666"/>
            <w:noWrap/>
            <w:vAlign w:val="bottom"/>
            <w:hideMark/>
          </w:tcPr>
          <w:p w:rsidR="0090485B" w:rsidRPr="0090485B" w:rsidRDefault="0090485B" w:rsidP="0090485B">
            <w:pPr>
              <w:spacing w:before="0" w:after="0"/>
              <w:rPr>
                <w:rFonts w:cs="Arial"/>
                <w:color w:val="FFFFFF"/>
                <w:sz w:val="20"/>
                <w:szCs w:val="20"/>
                <w:lang w:eastAsia="en-GB"/>
              </w:rPr>
            </w:pPr>
            <w:r w:rsidRPr="0090485B">
              <w:rPr>
                <w:rFonts w:cs="Arial"/>
                <w:color w:val="FFFFFF"/>
                <w:sz w:val="20"/>
                <w:szCs w:val="20"/>
                <w:lang w:eastAsia="en-GB"/>
              </w:rPr>
              <w:t> </w:t>
            </w:r>
          </w:p>
        </w:tc>
        <w:tc>
          <w:tcPr>
            <w:tcW w:w="1073"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Detached house</w:t>
            </w:r>
          </w:p>
        </w:tc>
        <w:tc>
          <w:tcPr>
            <w:tcW w:w="126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Semi-detached house</w:t>
            </w:r>
          </w:p>
        </w:tc>
        <w:tc>
          <w:tcPr>
            <w:tcW w:w="104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Large terraced house</w:t>
            </w:r>
          </w:p>
        </w:tc>
        <w:tc>
          <w:tcPr>
            <w:tcW w:w="66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Flat</w:t>
            </w:r>
          </w:p>
        </w:tc>
        <w:tc>
          <w:tcPr>
            <w:tcW w:w="1095"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Bungalow</w:t>
            </w:r>
          </w:p>
        </w:tc>
        <w:tc>
          <w:tcPr>
            <w:tcW w:w="960" w:type="dxa"/>
            <w:tcBorders>
              <w:top w:val="nil"/>
              <w:left w:val="nil"/>
              <w:bottom w:val="single" w:sz="4" w:space="0" w:color="auto"/>
              <w:right w:val="single" w:sz="4" w:space="0" w:color="auto"/>
            </w:tcBorders>
            <w:shd w:val="clear" w:color="000000" w:fill="006666"/>
            <w:vAlign w:val="bottom"/>
            <w:hideMark/>
          </w:tcPr>
          <w:p w:rsidR="0090485B" w:rsidRPr="0090485B" w:rsidRDefault="0090485B" w:rsidP="0090485B">
            <w:pPr>
              <w:spacing w:before="0" w:after="0"/>
              <w:jc w:val="center"/>
              <w:rPr>
                <w:rFonts w:cs="Arial"/>
                <w:color w:val="FFFFFF"/>
                <w:sz w:val="20"/>
                <w:szCs w:val="20"/>
                <w:lang w:eastAsia="en-GB"/>
              </w:rPr>
            </w:pPr>
            <w:r w:rsidRPr="0090485B">
              <w:rPr>
                <w:rFonts w:cs="Arial"/>
                <w:color w:val="FFFFFF"/>
                <w:sz w:val="20"/>
                <w:szCs w:val="20"/>
                <w:lang w:eastAsia="en-GB"/>
              </w:rPr>
              <w:t>Total</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Two</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1.4</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1.6</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6.6</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Three</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17.3</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12.3</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2.1</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37.9</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Four</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38.1</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5.7</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43.8</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Five or more</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11.7</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 </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11.7</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Total</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68.4</w:t>
            </w:r>
          </w:p>
        </w:tc>
        <w:tc>
          <w:tcPr>
            <w:tcW w:w="12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18.1</w:t>
            </w:r>
          </w:p>
        </w:tc>
        <w:tc>
          <w:tcPr>
            <w:tcW w:w="104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2.1</w:t>
            </w:r>
          </w:p>
        </w:tc>
        <w:tc>
          <w:tcPr>
            <w:tcW w:w="6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1.6</w:t>
            </w:r>
          </w:p>
        </w:tc>
        <w:tc>
          <w:tcPr>
            <w:tcW w:w="1095"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100.0</w:t>
            </w:r>
          </w:p>
        </w:tc>
      </w:tr>
      <w:tr w:rsidR="00322C32" w:rsidRPr="0090485B" w:rsidTr="00F80B11">
        <w:trPr>
          <w:trHeight w:val="255"/>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322C32" w:rsidRPr="0090485B" w:rsidRDefault="00322C32" w:rsidP="0090485B">
            <w:pPr>
              <w:spacing w:before="0" w:after="0"/>
              <w:rPr>
                <w:rFonts w:cs="Arial"/>
                <w:sz w:val="20"/>
                <w:szCs w:val="20"/>
                <w:lang w:eastAsia="en-GB"/>
              </w:rPr>
            </w:pPr>
            <w:r w:rsidRPr="0090485B">
              <w:rPr>
                <w:rFonts w:cs="Arial"/>
                <w:sz w:val="20"/>
                <w:szCs w:val="20"/>
                <w:lang w:eastAsia="en-GB"/>
              </w:rPr>
              <w:t>Base</w:t>
            </w:r>
          </w:p>
        </w:tc>
        <w:tc>
          <w:tcPr>
            <w:tcW w:w="1073" w:type="dxa"/>
            <w:tcBorders>
              <w:top w:val="nil"/>
              <w:left w:val="nil"/>
              <w:bottom w:val="single" w:sz="4" w:space="0" w:color="auto"/>
              <w:right w:val="single" w:sz="4" w:space="0" w:color="auto"/>
            </w:tcBorders>
            <w:shd w:val="clear" w:color="auto" w:fill="auto"/>
            <w:noWrap/>
            <w:vAlign w:val="bottom"/>
            <w:hideMark/>
          </w:tcPr>
          <w:p w:rsidR="00322C32" w:rsidRDefault="00322C32" w:rsidP="00322C32">
            <w:pPr>
              <w:spacing w:before="0" w:after="0"/>
              <w:jc w:val="center"/>
              <w:rPr>
                <w:rFonts w:cs="Arial"/>
                <w:sz w:val="20"/>
                <w:szCs w:val="20"/>
              </w:rPr>
            </w:pPr>
            <w:r>
              <w:rPr>
                <w:rFonts w:cs="Arial"/>
                <w:sz w:val="20"/>
                <w:szCs w:val="20"/>
              </w:rPr>
              <w:t>2857</w:t>
            </w:r>
          </w:p>
        </w:tc>
        <w:tc>
          <w:tcPr>
            <w:tcW w:w="126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104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66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1095"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c>
          <w:tcPr>
            <w:tcW w:w="960" w:type="dxa"/>
            <w:tcBorders>
              <w:top w:val="nil"/>
              <w:left w:val="nil"/>
              <w:bottom w:val="nil"/>
              <w:right w:val="nil"/>
            </w:tcBorders>
            <w:shd w:val="clear" w:color="auto" w:fill="auto"/>
            <w:noWrap/>
            <w:vAlign w:val="bottom"/>
            <w:hideMark/>
          </w:tcPr>
          <w:p w:rsidR="00322C32" w:rsidRDefault="00322C32" w:rsidP="00322C32">
            <w:pPr>
              <w:spacing w:before="0" w:after="0"/>
              <w:jc w:val="center"/>
              <w:rPr>
                <w:rFonts w:cs="Arial"/>
                <w:sz w:val="20"/>
                <w:szCs w:val="20"/>
              </w:rPr>
            </w:pPr>
          </w:p>
        </w:tc>
      </w:tr>
    </w:tbl>
    <w:p w:rsidR="00460563" w:rsidRPr="002324A9" w:rsidRDefault="0090485B" w:rsidP="00460563">
      <w:pPr>
        <w:pStyle w:val="Maintext"/>
        <w:numPr>
          <w:ilvl w:val="0"/>
          <w:numId w:val="0"/>
        </w:numPr>
        <w:spacing w:before="0"/>
        <w:jc w:val="left"/>
        <w:rPr>
          <w:sz w:val="20"/>
          <w:szCs w:val="20"/>
        </w:rPr>
      </w:pPr>
      <w:r>
        <w:rPr>
          <w:sz w:val="20"/>
          <w:szCs w:val="20"/>
        </w:rPr>
        <w:tab/>
        <w:t>Source: 2012</w:t>
      </w:r>
      <w:r w:rsidR="00460563" w:rsidRPr="002324A9">
        <w:rPr>
          <w:sz w:val="20"/>
          <w:szCs w:val="20"/>
        </w:rPr>
        <w:t xml:space="preserve"> Household Survey</w:t>
      </w:r>
      <w:r w:rsidR="00322C32">
        <w:rPr>
          <w:sz w:val="20"/>
          <w:szCs w:val="20"/>
        </w:rPr>
        <w:t xml:space="preserve"> rebased to 2011 Census</w:t>
      </w:r>
    </w:p>
    <w:p w:rsidR="002324A9" w:rsidRPr="00AE2720" w:rsidRDefault="002324A9" w:rsidP="00460563">
      <w:pPr>
        <w:pStyle w:val="Maintext"/>
        <w:numPr>
          <w:ilvl w:val="0"/>
          <w:numId w:val="0"/>
        </w:numPr>
        <w:spacing w:before="0"/>
        <w:jc w:val="left"/>
        <w:rPr>
          <w:i/>
          <w:sz w:val="20"/>
          <w:szCs w:val="20"/>
        </w:rPr>
      </w:pPr>
    </w:p>
    <w:p w:rsidR="0090485B" w:rsidRPr="0090485B" w:rsidRDefault="00460563" w:rsidP="0090485B">
      <w:pPr>
        <w:pStyle w:val="Maintext"/>
        <w:rPr>
          <w:b/>
        </w:rPr>
      </w:pPr>
      <w:r w:rsidRPr="00460563">
        <w:t xml:space="preserve">In terms of reasons for moving, </w:t>
      </w:r>
      <w:r w:rsidR="00EC0408">
        <w:t>47</w:t>
      </w:r>
      <w:r w:rsidR="0090485B">
        <w:t xml:space="preserve">.1% stated the main reason was to move to a larger property or one that was better in some way, followed by </w:t>
      </w:r>
      <w:r w:rsidR="00EC0408">
        <w:t xml:space="preserve">12.7% to move to a better neighbourhood and </w:t>
      </w:r>
      <w:r w:rsidR="0021643B">
        <w:t>11.0</w:t>
      </w:r>
      <w:r w:rsidR="0090485B">
        <w:t>% to move to be closer to work/new job and.</w:t>
      </w:r>
    </w:p>
    <w:p w:rsidR="00843CC0" w:rsidRDefault="00843CC0" w:rsidP="0021643B">
      <w:pPr>
        <w:pStyle w:val="Maintext"/>
        <w:numPr>
          <w:ilvl w:val="0"/>
          <w:numId w:val="0"/>
        </w:numPr>
        <w:ind w:left="709"/>
        <w:rPr>
          <w:b/>
        </w:rPr>
      </w:pPr>
    </w:p>
    <w:p w:rsidR="00C87A8A" w:rsidRDefault="00C87A8A" w:rsidP="00C87A8A">
      <w:pPr>
        <w:pStyle w:val="Heading3"/>
      </w:pPr>
      <w:r>
        <w:t>Self-build</w:t>
      </w:r>
    </w:p>
    <w:p w:rsidR="00C87A8A" w:rsidRPr="00157612" w:rsidRDefault="00C87A8A" w:rsidP="00C87A8A">
      <w:pPr>
        <w:pStyle w:val="Maintext"/>
      </w:pPr>
      <w:r w:rsidRPr="00157612">
        <w:t xml:space="preserve">Discussions with developers suggests there is a degree of interest in self-build and some developers are offering this option to potential purchasers. However, it would be prudent to keep any approach to self-build flexible and market-led. </w:t>
      </w:r>
    </w:p>
    <w:p w:rsidR="00C87A8A" w:rsidRPr="00157612" w:rsidRDefault="00C87A8A" w:rsidP="0021643B">
      <w:pPr>
        <w:pStyle w:val="Maintext"/>
        <w:numPr>
          <w:ilvl w:val="0"/>
          <w:numId w:val="0"/>
        </w:numPr>
        <w:ind w:left="709"/>
      </w:pPr>
    </w:p>
    <w:p w:rsidR="00F52A96" w:rsidRDefault="00F52A96" w:rsidP="00F52A96">
      <w:pPr>
        <w:pStyle w:val="Heading3"/>
      </w:pPr>
      <w:r>
        <w:t>Open market demand and supply</w:t>
      </w:r>
    </w:p>
    <w:p w:rsidR="003A6F13" w:rsidRDefault="003A6F13">
      <w:pPr>
        <w:pStyle w:val="Maintext"/>
      </w:pPr>
      <w:r>
        <w:t xml:space="preserve">It is possible to review the extent to which open market demand and supply is balanced.  Using household survey data, it is possible to ascertain market </w:t>
      </w:r>
      <w:r w:rsidR="00B139FE">
        <w:t xml:space="preserve">demand (as measured by the aspirations </w:t>
      </w:r>
      <w:r>
        <w:t>from existing households, newly-forming households and in-migrant households</w:t>
      </w:r>
      <w:r w:rsidR="00B139FE">
        <w:t>)</w:t>
      </w:r>
      <w:r>
        <w:t xml:space="preserve">.  This can then be reconciled with the likely supply based on turnover rates in the preceding five years. </w:t>
      </w:r>
    </w:p>
    <w:p w:rsidR="00F52A96" w:rsidRDefault="003A6F13" w:rsidP="00F52A96">
      <w:pPr>
        <w:pStyle w:val="Maintext"/>
      </w:pPr>
      <w:r>
        <w:t>This analysis helps to identify areas where there are imbalances in the provision of general market accommodation</w:t>
      </w:r>
      <w:r w:rsidR="00B139FE">
        <w:t xml:space="preserve"> relative to </w:t>
      </w:r>
      <w:r w:rsidR="000C2B99">
        <w:t>expectations</w:t>
      </w:r>
      <w:r>
        <w:t>,</w:t>
      </w:r>
      <w:r w:rsidR="002324A9">
        <w:t xml:space="preserve"> and is illustrated in Table 4.</w:t>
      </w:r>
      <w:r w:rsidR="001E3095">
        <w:t>11</w:t>
      </w:r>
      <w:r w:rsidR="00B12C8A">
        <w:t>.</w:t>
      </w:r>
    </w:p>
    <w:p w:rsidR="00F52A96" w:rsidRDefault="00F52A96" w:rsidP="00F52A96">
      <w:pPr>
        <w:pStyle w:val="Maintext"/>
        <w:numPr>
          <w:ilvl w:val="0"/>
          <w:numId w:val="0"/>
        </w:numPr>
        <w:ind w:left="709"/>
      </w:pPr>
    </w:p>
    <w:p w:rsidR="00062403" w:rsidRPr="00C87A8A" w:rsidRDefault="0021643B" w:rsidP="00C87A8A">
      <w:pPr>
        <w:spacing w:before="0" w:after="0"/>
        <w:ind w:firstLine="709"/>
        <w:rPr>
          <w:b/>
        </w:rPr>
      </w:pPr>
      <w:r>
        <w:rPr>
          <w:b/>
        </w:rPr>
        <w:t>T</w:t>
      </w:r>
      <w:r w:rsidR="002324A9">
        <w:rPr>
          <w:b/>
        </w:rPr>
        <w:t>able 4.</w:t>
      </w:r>
      <w:r w:rsidR="001E3095">
        <w:rPr>
          <w:b/>
        </w:rPr>
        <w:t>11</w:t>
      </w:r>
      <w:r w:rsidR="00062403">
        <w:tab/>
        <w:t>Review of general mark</w:t>
      </w:r>
      <w:r w:rsidR="00B12C8A">
        <w:t xml:space="preserve">et supply and demand by </w:t>
      </w:r>
      <w:r w:rsidR="005D7D0B">
        <w:t>d</w:t>
      </w:r>
      <w:r w:rsidR="00B440F0">
        <w:t>elivery area</w:t>
      </w:r>
    </w:p>
    <w:tbl>
      <w:tblPr>
        <w:tblW w:w="7655" w:type="dxa"/>
        <w:tblInd w:w="817" w:type="dxa"/>
        <w:tblLook w:val="04A0" w:firstRow="1" w:lastRow="0" w:firstColumn="1" w:lastColumn="0" w:noHBand="0" w:noVBand="1"/>
      </w:tblPr>
      <w:tblGrid>
        <w:gridCol w:w="1843"/>
        <w:gridCol w:w="992"/>
        <w:gridCol w:w="992"/>
        <w:gridCol w:w="993"/>
        <w:gridCol w:w="992"/>
        <w:gridCol w:w="928"/>
        <w:gridCol w:w="915"/>
      </w:tblGrid>
      <w:tr w:rsidR="0021643B" w:rsidRPr="0021643B" w:rsidTr="0021643B">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b/>
                <w:bCs/>
                <w:color w:val="000000"/>
                <w:sz w:val="22"/>
                <w:szCs w:val="22"/>
                <w:lang w:eastAsia="en-GB"/>
              </w:rPr>
            </w:pPr>
            <w:r w:rsidRPr="0021643B">
              <w:rPr>
                <w:rFonts w:cs="Arial"/>
                <w:b/>
                <w:bCs/>
                <w:color w:val="000000"/>
                <w:sz w:val="22"/>
                <w:szCs w:val="22"/>
                <w:lang w:eastAsia="en-GB"/>
              </w:rPr>
              <w:t> </w:t>
            </w:r>
          </w:p>
        </w:tc>
        <w:tc>
          <w:tcPr>
            <w:tcW w:w="581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21643B" w:rsidRPr="0021643B" w:rsidRDefault="0021643B" w:rsidP="0021643B">
            <w:pPr>
              <w:spacing w:before="0" w:after="0"/>
              <w:jc w:val="center"/>
              <w:rPr>
                <w:rFonts w:cs="Arial"/>
                <w:b/>
                <w:bCs/>
                <w:color w:val="000000"/>
                <w:sz w:val="22"/>
                <w:szCs w:val="22"/>
                <w:lang w:eastAsia="en-GB"/>
              </w:rPr>
            </w:pPr>
            <w:r w:rsidRPr="0021643B">
              <w:rPr>
                <w:rFonts w:cs="Arial"/>
                <w:b/>
                <w:bCs/>
                <w:color w:val="000000"/>
                <w:sz w:val="22"/>
                <w:szCs w:val="22"/>
                <w:lang w:eastAsia="en-GB"/>
              </w:rPr>
              <w:t>Delivery Area</w:t>
            </w:r>
          </w:p>
        </w:tc>
      </w:tr>
      <w:tr w:rsidR="0021643B" w:rsidRPr="0021643B" w:rsidTr="0021643B">
        <w:trPr>
          <w:trHeight w:val="52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b/>
                <w:bCs/>
                <w:color w:val="000000"/>
                <w:sz w:val="22"/>
                <w:szCs w:val="22"/>
                <w:lang w:eastAsia="en-GB"/>
              </w:rPr>
            </w:pPr>
            <w:r w:rsidRPr="0021643B">
              <w:rPr>
                <w:rFonts w:cs="Arial"/>
                <w:b/>
                <w:bCs/>
                <w:color w:val="000000"/>
                <w:sz w:val="22"/>
                <w:szCs w:val="22"/>
                <w:lang w:eastAsia="en-GB"/>
              </w:rPr>
              <w:t>Dwelling type</w:t>
            </w:r>
          </w:p>
        </w:tc>
        <w:tc>
          <w:tcPr>
            <w:tcW w:w="992" w:type="dxa"/>
            <w:tcBorders>
              <w:top w:val="nil"/>
              <w:left w:val="nil"/>
              <w:bottom w:val="single" w:sz="4" w:space="0" w:color="auto"/>
              <w:right w:val="single" w:sz="4" w:space="0" w:color="auto"/>
            </w:tcBorders>
            <w:shd w:val="clear" w:color="auto" w:fill="auto"/>
            <w:vAlign w:val="bottom"/>
            <w:hideMark/>
          </w:tcPr>
          <w:p w:rsidR="0021643B" w:rsidRPr="0021643B" w:rsidRDefault="0021643B" w:rsidP="0021643B">
            <w:pPr>
              <w:spacing w:before="0" w:after="0"/>
              <w:jc w:val="center"/>
              <w:rPr>
                <w:rFonts w:cs="Arial"/>
                <w:sz w:val="20"/>
                <w:szCs w:val="20"/>
                <w:lang w:eastAsia="en-GB"/>
              </w:rPr>
            </w:pPr>
            <w:r w:rsidRPr="0021643B">
              <w:rPr>
                <w:rFonts w:cs="Arial"/>
                <w:sz w:val="20"/>
                <w:szCs w:val="20"/>
                <w:lang w:eastAsia="en-GB"/>
              </w:rPr>
              <w:t>North Durham</w:t>
            </w:r>
          </w:p>
        </w:tc>
        <w:tc>
          <w:tcPr>
            <w:tcW w:w="992" w:type="dxa"/>
            <w:tcBorders>
              <w:top w:val="nil"/>
              <w:left w:val="nil"/>
              <w:bottom w:val="single" w:sz="4" w:space="0" w:color="auto"/>
              <w:right w:val="single" w:sz="4" w:space="0" w:color="auto"/>
            </w:tcBorders>
            <w:shd w:val="clear" w:color="auto" w:fill="auto"/>
            <w:vAlign w:val="bottom"/>
            <w:hideMark/>
          </w:tcPr>
          <w:p w:rsidR="0021643B" w:rsidRPr="0021643B" w:rsidRDefault="0021643B" w:rsidP="0021643B">
            <w:pPr>
              <w:spacing w:before="0" w:after="0"/>
              <w:jc w:val="center"/>
              <w:rPr>
                <w:rFonts w:cs="Arial"/>
                <w:sz w:val="20"/>
                <w:szCs w:val="20"/>
                <w:lang w:eastAsia="en-GB"/>
              </w:rPr>
            </w:pPr>
            <w:r w:rsidRPr="0021643B">
              <w:rPr>
                <w:rFonts w:cs="Arial"/>
                <w:sz w:val="20"/>
                <w:szCs w:val="20"/>
                <w:lang w:eastAsia="en-GB"/>
              </w:rPr>
              <w:t>Central Durham</w:t>
            </w:r>
          </w:p>
        </w:tc>
        <w:tc>
          <w:tcPr>
            <w:tcW w:w="993" w:type="dxa"/>
            <w:tcBorders>
              <w:top w:val="nil"/>
              <w:left w:val="nil"/>
              <w:bottom w:val="single" w:sz="4" w:space="0" w:color="auto"/>
              <w:right w:val="single" w:sz="4" w:space="0" w:color="auto"/>
            </w:tcBorders>
            <w:shd w:val="clear" w:color="auto" w:fill="auto"/>
            <w:vAlign w:val="bottom"/>
            <w:hideMark/>
          </w:tcPr>
          <w:p w:rsidR="0021643B" w:rsidRPr="0021643B" w:rsidRDefault="0021643B" w:rsidP="0021643B">
            <w:pPr>
              <w:spacing w:before="0" w:after="0"/>
              <w:jc w:val="center"/>
              <w:rPr>
                <w:rFonts w:cs="Arial"/>
                <w:sz w:val="20"/>
                <w:szCs w:val="20"/>
                <w:lang w:eastAsia="en-GB"/>
              </w:rPr>
            </w:pPr>
            <w:r w:rsidRPr="0021643B">
              <w:rPr>
                <w:rFonts w:cs="Arial"/>
                <w:sz w:val="20"/>
                <w:szCs w:val="20"/>
                <w:lang w:eastAsia="en-GB"/>
              </w:rPr>
              <w:t>East Durham</w:t>
            </w:r>
          </w:p>
        </w:tc>
        <w:tc>
          <w:tcPr>
            <w:tcW w:w="992" w:type="dxa"/>
            <w:tcBorders>
              <w:top w:val="nil"/>
              <w:left w:val="nil"/>
              <w:bottom w:val="single" w:sz="4" w:space="0" w:color="auto"/>
              <w:right w:val="single" w:sz="4" w:space="0" w:color="auto"/>
            </w:tcBorders>
            <w:shd w:val="clear" w:color="auto" w:fill="auto"/>
            <w:vAlign w:val="bottom"/>
            <w:hideMark/>
          </w:tcPr>
          <w:p w:rsidR="0021643B" w:rsidRPr="0021643B" w:rsidRDefault="0021643B" w:rsidP="0021643B">
            <w:pPr>
              <w:spacing w:before="0" w:after="0"/>
              <w:jc w:val="center"/>
              <w:rPr>
                <w:rFonts w:cs="Arial"/>
                <w:sz w:val="20"/>
                <w:szCs w:val="20"/>
                <w:lang w:eastAsia="en-GB"/>
              </w:rPr>
            </w:pPr>
            <w:r w:rsidRPr="0021643B">
              <w:rPr>
                <w:rFonts w:cs="Arial"/>
                <w:sz w:val="20"/>
                <w:szCs w:val="20"/>
                <w:lang w:eastAsia="en-GB"/>
              </w:rPr>
              <w:t>The Dales</w:t>
            </w:r>
          </w:p>
        </w:tc>
        <w:tc>
          <w:tcPr>
            <w:tcW w:w="928" w:type="dxa"/>
            <w:tcBorders>
              <w:top w:val="nil"/>
              <w:left w:val="nil"/>
              <w:bottom w:val="single" w:sz="4" w:space="0" w:color="auto"/>
              <w:right w:val="single" w:sz="4" w:space="0" w:color="auto"/>
            </w:tcBorders>
            <w:shd w:val="clear" w:color="auto" w:fill="auto"/>
            <w:vAlign w:val="bottom"/>
            <w:hideMark/>
          </w:tcPr>
          <w:p w:rsidR="0021643B" w:rsidRPr="0021643B" w:rsidRDefault="0021643B" w:rsidP="0021643B">
            <w:pPr>
              <w:spacing w:before="0" w:after="0"/>
              <w:jc w:val="center"/>
              <w:rPr>
                <w:rFonts w:cs="Arial"/>
                <w:sz w:val="20"/>
                <w:szCs w:val="20"/>
                <w:lang w:eastAsia="en-GB"/>
              </w:rPr>
            </w:pPr>
            <w:r w:rsidRPr="0021643B">
              <w:rPr>
                <w:rFonts w:cs="Arial"/>
                <w:sz w:val="20"/>
                <w:szCs w:val="20"/>
                <w:lang w:eastAsia="en-GB"/>
              </w:rPr>
              <w:t>South Durham</w:t>
            </w:r>
          </w:p>
        </w:tc>
        <w:tc>
          <w:tcPr>
            <w:tcW w:w="915" w:type="dxa"/>
            <w:tcBorders>
              <w:top w:val="nil"/>
              <w:left w:val="nil"/>
              <w:bottom w:val="single" w:sz="4" w:space="0" w:color="auto"/>
              <w:right w:val="single" w:sz="4" w:space="0" w:color="auto"/>
            </w:tcBorders>
            <w:shd w:val="clear" w:color="auto" w:fill="auto"/>
            <w:vAlign w:val="bottom"/>
            <w:hideMark/>
          </w:tcPr>
          <w:p w:rsidR="0021643B" w:rsidRPr="0021643B" w:rsidRDefault="0021643B" w:rsidP="0021643B">
            <w:pPr>
              <w:spacing w:before="0" w:after="0"/>
              <w:jc w:val="center"/>
              <w:rPr>
                <w:rFonts w:cs="Arial"/>
                <w:sz w:val="20"/>
                <w:szCs w:val="20"/>
                <w:lang w:eastAsia="en-GB"/>
              </w:rPr>
            </w:pPr>
            <w:r w:rsidRPr="0021643B">
              <w:rPr>
                <w:rFonts w:cs="Arial"/>
                <w:sz w:val="20"/>
                <w:szCs w:val="20"/>
                <w:lang w:eastAsia="en-GB"/>
              </w:rPr>
              <w:t>Total</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Detached House</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0.85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1.10</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1.03</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Semi-Detached House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0.95</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1.11</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0.87</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1.15</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1.02</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Terraced House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0.96</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0.93</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0.70</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0.97</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Bungalow</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1.31</w:t>
            </w:r>
          </w:p>
        </w:tc>
        <w:tc>
          <w:tcPr>
            <w:tcW w:w="992" w:type="dxa"/>
            <w:tcBorders>
              <w:top w:val="nil"/>
              <w:left w:val="nil"/>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0.95</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1.35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1.09</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Flat</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0.73</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0.58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0.67</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1.25</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0.89</w:t>
            </w:r>
          </w:p>
        </w:tc>
      </w:tr>
      <w:tr w:rsidR="0021643B" w:rsidRPr="0021643B" w:rsidTr="0021643B">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b/>
                <w:bCs/>
                <w:color w:val="000000"/>
                <w:sz w:val="22"/>
                <w:szCs w:val="22"/>
                <w:lang w:eastAsia="en-GB"/>
              </w:rPr>
            </w:pPr>
            <w:r w:rsidRPr="0021643B">
              <w:rPr>
                <w:rFonts w:cs="Arial"/>
                <w:b/>
                <w:bCs/>
                <w:color w:val="000000"/>
                <w:sz w:val="22"/>
                <w:szCs w:val="22"/>
                <w:lang w:eastAsia="en-GB"/>
              </w:rPr>
              <w:t>TOTAL</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1.01</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0.94</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0.79</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1.10</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0.99</w:t>
            </w:r>
          </w:p>
        </w:tc>
      </w:tr>
      <w:tr w:rsidR="0021643B" w:rsidRPr="0021643B" w:rsidTr="0021643B">
        <w:trPr>
          <w:trHeight w:val="300"/>
        </w:trPr>
        <w:tc>
          <w:tcPr>
            <w:tcW w:w="1843" w:type="dxa"/>
            <w:tcBorders>
              <w:top w:val="nil"/>
              <w:left w:val="single" w:sz="4" w:space="0" w:color="auto"/>
              <w:bottom w:val="single" w:sz="4" w:space="0" w:color="auto"/>
              <w:right w:val="nil"/>
            </w:tcBorders>
            <w:shd w:val="clear" w:color="auto" w:fill="auto"/>
            <w:noWrap/>
            <w:vAlign w:val="bottom"/>
            <w:hideMark/>
          </w:tcPr>
          <w:p w:rsidR="0021643B" w:rsidRPr="0021643B" w:rsidRDefault="0021643B" w:rsidP="0021643B">
            <w:pPr>
              <w:spacing w:before="0" w:after="0"/>
              <w:rPr>
                <w:rFonts w:cs="Arial"/>
                <w:b/>
                <w:bCs/>
                <w:color w:val="000000"/>
                <w:sz w:val="22"/>
                <w:szCs w:val="22"/>
                <w:lang w:eastAsia="en-GB"/>
              </w:rPr>
            </w:pPr>
            <w:r w:rsidRPr="0021643B">
              <w:rPr>
                <w:rFonts w:cs="Arial"/>
                <w:b/>
                <w:bCs/>
                <w:color w:val="000000"/>
                <w:sz w:val="22"/>
                <w:szCs w:val="22"/>
                <w:lang w:eastAsia="en-GB"/>
              </w:rPr>
              <w:t>Dwelling size</w:t>
            </w:r>
          </w:p>
        </w:tc>
        <w:tc>
          <w:tcPr>
            <w:tcW w:w="992" w:type="dxa"/>
            <w:tcBorders>
              <w:top w:val="nil"/>
              <w:left w:val="nil"/>
              <w:bottom w:val="single" w:sz="4" w:space="0" w:color="auto"/>
              <w:right w:val="nil"/>
            </w:tcBorders>
            <w:shd w:val="clear" w:color="auto" w:fill="auto"/>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92" w:type="dxa"/>
            <w:tcBorders>
              <w:top w:val="nil"/>
              <w:left w:val="nil"/>
              <w:bottom w:val="single" w:sz="4" w:space="0" w:color="auto"/>
              <w:right w:val="nil"/>
            </w:tcBorders>
            <w:shd w:val="clear" w:color="auto" w:fill="auto"/>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93" w:type="dxa"/>
            <w:tcBorders>
              <w:top w:val="nil"/>
              <w:left w:val="nil"/>
              <w:bottom w:val="single" w:sz="4" w:space="0" w:color="auto"/>
              <w:right w:val="nil"/>
            </w:tcBorders>
            <w:shd w:val="clear" w:color="auto" w:fill="auto"/>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92" w:type="dxa"/>
            <w:tcBorders>
              <w:top w:val="nil"/>
              <w:left w:val="nil"/>
              <w:bottom w:val="single" w:sz="4" w:space="0" w:color="auto"/>
              <w:right w:val="nil"/>
            </w:tcBorders>
            <w:shd w:val="clear" w:color="auto" w:fill="auto"/>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28" w:type="dxa"/>
            <w:tcBorders>
              <w:top w:val="nil"/>
              <w:left w:val="nil"/>
              <w:bottom w:val="single" w:sz="4" w:space="0" w:color="auto"/>
              <w:right w:val="nil"/>
            </w:tcBorders>
            <w:shd w:val="clear" w:color="auto" w:fill="auto"/>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 </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One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0.70</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1.53</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1.35</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Two</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0.88</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0.65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1.04</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0.96</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Three</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1.06</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0.96</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0.87</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1.15</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1.01</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Four</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0.97</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0.99</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1.04</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0.76</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1.14</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1.03</w:t>
            </w:r>
          </w:p>
        </w:tc>
      </w:tr>
      <w:tr w:rsidR="0021643B" w:rsidRPr="0021643B" w:rsidTr="0021643B">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sz w:val="20"/>
                <w:szCs w:val="20"/>
                <w:lang w:eastAsia="en-GB"/>
              </w:rPr>
            </w:pPr>
            <w:r w:rsidRPr="0021643B">
              <w:rPr>
                <w:rFonts w:cs="Arial"/>
                <w:sz w:val="20"/>
                <w:szCs w:val="20"/>
                <w:lang w:eastAsia="en-GB"/>
              </w:rPr>
              <w:t>Five or more</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1.44</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3"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1.00</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0.85</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1.15</w:t>
            </w:r>
          </w:p>
        </w:tc>
        <w:tc>
          <w:tcPr>
            <w:tcW w:w="915"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1.10</w:t>
            </w:r>
          </w:p>
        </w:tc>
      </w:tr>
      <w:tr w:rsidR="0021643B" w:rsidRPr="0021643B" w:rsidTr="0021643B">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643B" w:rsidRPr="0021643B" w:rsidRDefault="0021643B" w:rsidP="0021643B">
            <w:pPr>
              <w:spacing w:before="0" w:after="0"/>
              <w:rPr>
                <w:rFonts w:cs="Arial"/>
                <w:b/>
                <w:bCs/>
                <w:color w:val="000000"/>
                <w:sz w:val="22"/>
                <w:szCs w:val="22"/>
                <w:lang w:eastAsia="en-GB"/>
              </w:rPr>
            </w:pPr>
            <w:r w:rsidRPr="0021643B">
              <w:rPr>
                <w:rFonts w:cs="Arial"/>
                <w:b/>
                <w:bCs/>
                <w:color w:val="000000"/>
                <w:sz w:val="22"/>
                <w:szCs w:val="22"/>
                <w:lang w:eastAsia="en-GB"/>
              </w:rPr>
              <w:t>TOTAL</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0.98</w:t>
            </w:r>
          </w:p>
        </w:tc>
        <w:tc>
          <w:tcPr>
            <w:tcW w:w="992"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1.01</w:t>
            </w:r>
          </w:p>
        </w:tc>
        <w:tc>
          <w:tcPr>
            <w:tcW w:w="99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0.94</w:t>
            </w:r>
          </w:p>
        </w:tc>
        <w:tc>
          <w:tcPr>
            <w:tcW w:w="99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0.79</w:t>
            </w:r>
          </w:p>
        </w:tc>
        <w:tc>
          <w:tcPr>
            <w:tcW w:w="928"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1.10</w:t>
            </w:r>
          </w:p>
        </w:tc>
        <w:tc>
          <w:tcPr>
            <w:tcW w:w="91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1643B" w:rsidRPr="0021643B" w:rsidRDefault="0021643B" w:rsidP="0021643B">
            <w:pPr>
              <w:spacing w:before="0" w:after="0"/>
              <w:jc w:val="center"/>
              <w:rPr>
                <w:rFonts w:cs="Arial"/>
                <w:color w:val="000000"/>
                <w:sz w:val="16"/>
                <w:szCs w:val="16"/>
                <w:lang w:eastAsia="en-GB"/>
              </w:rPr>
            </w:pPr>
            <w:r w:rsidRPr="0021643B">
              <w:rPr>
                <w:rFonts w:cs="Arial"/>
                <w:color w:val="000000"/>
                <w:sz w:val="16"/>
                <w:szCs w:val="16"/>
                <w:lang w:eastAsia="en-GB"/>
              </w:rPr>
              <w:t>0.99</w:t>
            </w:r>
          </w:p>
        </w:tc>
      </w:tr>
    </w:tbl>
    <w:p w:rsidR="008624E1" w:rsidRDefault="008624E1" w:rsidP="008624E1">
      <w:pPr>
        <w:pStyle w:val="Maintext"/>
        <w:numPr>
          <w:ilvl w:val="0"/>
          <w:numId w:val="0"/>
        </w:numPr>
        <w:ind w:left="2160" w:hanging="1451"/>
      </w:pPr>
    </w:p>
    <w:tbl>
      <w:tblPr>
        <w:tblW w:w="6252" w:type="dxa"/>
        <w:tblInd w:w="720" w:type="dxa"/>
        <w:tblLook w:val="04A0" w:firstRow="1" w:lastRow="0" w:firstColumn="1" w:lastColumn="0" w:noHBand="0" w:noVBand="1"/>
      </w:tblPr>
      <w:tblGrid>
        <w:gridCol w:w="2360"/>
        <w:gridCol w:w="3892"/>
      </w:tblGrid>
      <w:tr w:rsidR="001A0CFB" w:rsidRPr="001A0CFB" w:rsidTr="008624E1">
        <w:trPr>
          <w:trHeight w:val="285"/>
        </w:trPr>
        <w:tc>
          <w:tcPr>
            <w:tcW w:w="2360" w:type="dxa"/>
            <w:tcBorders>
              <w:top w:val="single" w:sz="4" w:space="0" w:color="auto"/>
              <w:left w:val="single" w:sz="4" w:space="0" w:color="auto"/>
              <w:bottom w:val="single" w:sz="4" w:space="0" w:color="auto"/>
              <w:right w:val="single" w:sz="4" w:space="0" w:color="auto"/>
            </w:tcBorders>
            <w:shd w:val="clear" w:color="000000" w:fill="339966"/>
            <w:noWrap/>
            <w:vAlign w:val="bottom"/>
            <w:hideMark/>
          </w:tcPr>
          <w:p w:rsidR="001A0CFB" w:rsidRPr="001A0CFB" w:rsidRDefault="001A0CFB" w:rsidP="001A0CFB">
            <w:pPr>
              <w:spacing w:before="0" w:after="0"/>
              <w:jc w:val="right"/>
              <w:rPr>
                <w:rFonts w:cs="Arial"/>
                <w:color w:val="000000"/>
                <w:sz w:val="16"/>
                <w:szCs w:val="16"/>
                <w:lang w:eastAsia="en-GB"/>
              </w:rPr>
            </w:pPr>
            <w:r w:rsidRPr="001A0CFB">
              <w:rPr>
                <w:rFonts w:cs="Arial"/>
                <w:color w:val="000000"/>
                <w:sz w:val="16"/>
                <w:szCs w:val="16"/>
                <w:lang w:eastAsia="en-GB"/>
              </w:rPr>
              <w:t>1.0</w:t>
            </w:r>
          </w:p>
        </w:tc>
        <w:tc>
          <w:tcPr>
            <w:tcW w:w="3892" w:type="dxa"/>
            <w:tcBorders>
              <w:top w:val="nil"/>
              <w:left w:val="nil"/>
              <w:bottom w:val="nil"/>
              <w:right w:val="nil"/>
            </w:tcBorders>
            <w:shd w:val="clear" w:color="auto" w:fill="auto"/>
            <w:noWrap/>
            <w:vAlign w:val="bottom"/>
            <w:hideMark/>
          </w:tcPr>
          <w:p w:rsidR="001A0CFB" w:rsidRPr="001A0CFB" w:rsidRDefault="001A0CFB" w:rsidP="001A0CFB">
            <w:pPr>
              <w:spacing w:before="0" w:after="0"/>
              <w:rPr>
                <w:rFonts w:cs="Arial"/>
                <w:color w:val="000000"/>
                <w:sz w:val="16"/>
                <w:szCs w:val="16"/>
                <w:lang w:eastAsia="en-GB"/>
              </w:rPr>
            </w:pPr>
            <w:r w:rsidRPr="001A0CFB">
              <w:rPr>
                <w:rFonts w:cs="Arial"/>
                <w:color w:val="000000"/>
                <w:sz w:val="16"/>
                <w:szCs w:val="16"/>
                <w:lang w:eastAsia="en-GB"/>
              </w:rPr>
              <w:t>Supply matches demand</w:t>
            </w:r>
          </w:p>
        </w:tc>
      </w:tr>
      <w:tr w:rsidR="001A0CFB" w:rsidRPr="001A0CFB" w:rsidTr="001A0CFB">
        <w:trPr>
          <w:trHeight w:val="285"/>
        </w:trPr>
        <w:tc>
          <w:tcPr>
            <w:tcW w:w="23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1A0CFB" w:rsidRPr="001A0CFB" w:rsidRDefault="001A0CFB" w:rsidP="001A0CFB">
            <w:pPr>
              <w:spacing w:before="0" w:after="0"/>
              <w:jc w:val="right"/>
              <w:rPr>
                <w:rFonts w:cs="Arial"/>
                <w:color w:val="000000"/>
                <w:sz w:val="16"/>
                <w:szCs w:val="16"/>
                <w:lang w:eastAsia="en-GB"/>
              </w:rPr>
            </w:pPr>
            <w:r w:rsidRPr="001A0CFB">
              <w:rPr>
                <w:rFonts w:cs="Arial"/>
                <w:color w:val="000000"/>
                <w:sz w:val="16"/>
                <w:szCs w:val="16"/>
                <w:lang w:eastAsia="en-GB"/>
              </w:rPr>
              <w:t>1.0</w:t>
            </w:r>
          </w:p>
        </w:tc>
        <w:tc>
          <w:tcPr>
            <w:tcW w:w="3892" w:type="dxa"/>
            <w:tcBorders>
              <w:top w:val="nil"/>
              <w:left w:val="nil"/>
              <w:bottom w:val="nil"/>
              <w:right w:val="nil"/>
            </w:tcBorders>
            <w:shd w:val="clear" w:color="auto" w:fill="auto"/>
            <w:noWrap/>
            <w:vAlign w:val="bottom"/>
            <w:hideMark/>
          </w:tcPr>
          <w:p w:rsidR="001A0CFB" w:rsidRPr="001A0CFB" w:rsidRDefault="001A0CFB" w:rsidP="001A0CFB">
            <w:pPr>
              <w:spacing w:before="0" w:after="0"/>
              <w:rPr>
                <w:rFonts w:cs="Arial"/>
                <w:color w:val="000000"/>
                <w:sz w:val="16"/>
                <w:szCs w:val="16"/>
                <w:lang w:eastAsia="en-GB"/>
              </w:rPr>
            </w:pPr>
            <w:r w:rsidRPr="001A0CFB">
              <w:rPr>
                <w:rFonts w:cs="Arial"/>
                <w:color w:val="000000"/>
                <w:sz w:val="16"/>
                <w:szCs w:val="16"/>
                <w:lang w:eastAsia="en-GB"/>
              </w:rPr>
              <w:t>Demand greater than supply</w:t>
            </w:r>
          </w:p>
        </w:tc>
      </w:tr>
    </w:tbl>
    <w:p w:rsidR="0021643B" w:rsidRDefault="0021643B" w:rsidP="0021643B">
      <w:pPr>
        <w:pStyle w:val="Maintext"/>
        <w:numPr>
          <w:ilvl w:val="0"/>
          <w:numId w:val="0"/>
        </w:numPr>
        <w:ind w:firstLine="709"/>
        <w:rPr>
          <w:sz w:val="20"/>
          <w:szCs w:val="20"/>
        </w:rPr>
      </w:pPr>
    </w:p>
    <w:p w:rsidR="00062403" w:rsidRPr="003B50AF" w:rsidRDefault="001A0CFB" w:rsidP="0021643B">
      <w:pPr>
        <w:pStyle w:val="Maintext"/>
        <w:numPr>
          <w:ilvl w:val="0"/>
          <w:numId w:val="0"/>
        </w:numPr>
        <w:ind w:firstLine="709"/>
        <w:rPr>
          <w:sz w:val="20"/>
          <w:szCs w:val="20"/>
        </w:rPr>
      </w:pPr>
      <w:r>
        <w:rPr>
          <w:sz w:val="20"/>
          <w:szCs w:val="20"/>
        </w:rPr>
        <w:t>Source: 2012</w:t>
      </w:r>
      <w:r w:rsidR="003B50AF" w:rsidRPr="003B50AF">
        <w:rPr>
          <w:sz w:val="20"/>
          <w:szCs w:val="20"/>
        </w:rPr>
        <w:t xml:space="preserve"> Household Survey</w:t>
      </w:r>
      <w:r w:rsidR="0021643B">
        <w:rPr>
          <w:sz w:val="20"/>
          <w:szCs w:val="20"/>
        </w:rPr>
        <w:t xml:space="preserve"> rebased to 2011 Census</w:t>
      </w:r>
    </w:p>
    <w:p w:rsidR="00EA6ADC" w:rsidRDefault="00EA6ADC" w:rsidP="0021643B">
      <w:pPr>
        <w:pStyle w:val="Maintext"/>
        <w:numPr>
          <w:ilvl w:val="0"/>
          <w:numId w:val="0"/>
        </w:numPr>
        <w:tabs>
          <w:tab w:val="left" w:pos="4526"/>
        </w:tabs>
        <w:ind w:left="709" w:hanging="709"/>
        <w:rPr>
          <w:b/>
        </w:rPr>
      </w:pPr>
    </w:p>
    <w:p w:rsidR="0021643B" w:rsidRDefault="0021643B" w:rsidP="00407DE1">
      <w:pPr>
        <w:pStyle w:val="Maintext"/>
      </w:pPr>
      <w:r w:rsidRPr="0021643B">
        <w:t>In summary, analysis of general market supply and demand suggests that across County Durham the overall demand for open market dwellings exceeds supply. Only in South and Central Durham is supply sufficient for overall demand, but in these areas there remain imbalances in some property types and sizes. Data suggests</w:t>
      </w:r>
      <w:r>
        <w:t>:</w:t>
      </w:r>
    </w:p>
    <w:p w:rsidR="00B12C8A" w:rsidRDefault="00B12C8A" w:rsidP="00C76826">
      <w:pPr>
        <w:pStyle w:val="Maintext"/>
        <w:numPr>
          <w:ilvl w:val="2"/>
          <w:numId w:val="10"/>
        </w:numPr>
      </w:pPr>
      <w:r>
        <w:t xml:space="preserve">Strongest market shortfalls in </w:t>
      </w:r>
      <w:r w:rsidR="0021643B">
        <w:t>North Durham, East Durham and The Dales</w:t>
      </w:r>
      <w:r>
        <w:t>;</w:t>
      </w:r>
      <w:r w:rsidR="0021643B">
        <w:t xml:space="preserve"> and</w:t>
      </w:r>
    </w:p>
    <w:p w:rsidR="00407DE1" w:rsidRDefault="0021643B" w:rsidP="0021643B">
      <w:pPr>
        <w:pStyle w:val="Maintext"/>
        <w:numPr>
          <w:ilvl w:val="2"/>
          <w:numId w:val="10"/>
        </w:numPr>
      </w:pPr>
      <w:r>
        <w:t>A general balance in property sizes, with specific shortfalls of smaller dwellings evidenced.</w:t>
      </w:r>
    </w:p>
    <w:p w:rsidR="0009011B" w:rsidRPr="00E4595A" w:rsidRDefault="00E72B66" w:rsidP="00BD620A">
      <w:pPr>
        <w:pStyle w:val="Maintext"/>
      </w:pPr>
      <w:r w:rsidRPr="00E4595A">
        <w:t xml:space="preserve">Future development should focus on delivering </w:t>
      </w:r>
      <w:r w:rsidR="00D42388">
        <w:t xml:space="preserve">the right housing </w:t>
      </w:r>
      <w:r w:rsidRPr="00E4595A">
        <w:t xml:space="preserve">to address identified shortfalls and reflect household </w:t>
      </w:r>
      <w:r w:rsidR="006E3921" w:rsidRPr="00E4595A">
        <w:t>aspirations which</w:t>
      </w:r>
      <w:r w:rsidRPr="00E4595A">
        <w:t xml:space="preserve"> are discussed in more detail later in this chapter.</w:t>
      </w:r>
      <w:r w:rsidR="00BD620A">
        <w:t xml:space="preserve"> </w:t>
      </w:r>
      <w:r w:rsidR="0009011B">
        <w:t>The actual product mix to be delivered on a site by site basis should take account of the imbalance</w:t>
      </w:r>
      <w:r w:rsidR="001E3095">
        <w:t>s evidenced in Table 4.11</w:t>
      </w:r>
      <w:r w:rsidR="0009011B">
        <w:t>.</w:t>
      </w:r>
    </w:p>
    <w:p w:rsidR="004A1373" w:rsidRPr="00E4595A" w:rsidRDefault="00FC62D1" w:rsidP="003B50AF">
      <w:pPr>
        <w:pStyle w:val="Maintext"/>
      </w:pPr>
      <w:r w:rsidRPr="00E4595A">
        <w:t>This analysis has been carried out during a period of economic uncerta</w:t>
      </w:r>
      <w:r w:rsidR="003B50AF">
        <w:t>inty and mortgage finance restri</w:t>
      </w:r>
      <w:r w:rsidRPr="00E4595A">
        <w:t>ctions are inhibiting the ability of households to move. The substantial degree of market balance should be c</w:t>
      </w:r>
      <w:r w:rsidR="003B50AF">
        <w:t>onsidered in this context. Argu</w:t>
      </w:r>
      <w:r w:rsidRPr="00E4595A">
        <w:t xml:space="preserve">ably, as economic circumstances improve there is likely to be an increase in market activity. </w:t>
      </w:r>
    </w:p>
    <w:p w:rsidR="00C23288" w:rsidRDefault="00C23288" w:rsidP="00592B3B">
      <w:pPr>
        <w:ind w:firstLine="709"/>
        <w:rPr>
          <w:b/>
        </w:rPr>
      </w:pPr>
    </w:p>
    <w:p w:rsidR="0021643B" w:rsidRDefault="0021643B">
      <w:pPr>
        <w:spacing w:before="0" w:after="0"/>
        <w:rPr>
          <w:b/>
        </w:rPr>
      </w:pPr>
      <w:r>
        <w:rPr>
          <w:b/>
        </w:rPr>
        <w:br w:type="page"/>
      </w:r>
    </w:p>
    <w:p w:rsidR="003A6F13" w:rsidRDefault="003A6F13" w:rsidP="00592B3B">
      <w:pPr>
        <w:ind w:firstLine="709"/>
        <w:rPr>
          <w:b/>
        </w:rPr>
      </w:pPr>
      <w:r>
        <w:rPr>
          <w:b/>
        </w:rPr>
        <w:t>Key market drivers</w:t>
      </w:r>
    </w:p>
    <w:p w:rsidR="00377FC4" w:rsidRPr="001A0CFB" w:rsidRDefault="003A6F13" w:rsidP="001A0CFB">
      <w:pPr>
        <w:pStyle w:val="Maintext"/>
        <w:rPr>
          <w:bCs/>
          <w:iCs/>
        </w:rPr>
      </w:pPr>
      <w:r>
        <w:rPr>
          <w:bCs/>
          <w:iCs/>
        </w:rPr>
        <w:t xml:space="preserve">The factors underpinning housing markets in </w:t>
      </w:r>
      <w:r w:rsidR="001A0CFB">
        <w:t>County Durham</w:t>
      </w:r>
      <w:r w:rsidR="003B50AF">
        <w:t xml:space="preserve"> </w:t>
      </w:r>
      <w:r>
        <w:rPr>
          <w:bCs/>
          <w:iCs/>
        </w:rPr>
        <w:t xml:space="preserve">are explored in detail in Appendix B.  </w:t>
      </w:r>
      <w:r>
        <w:t>Essentially, there are three key primary drivers influencing the curren</w:t>
      </w:r>
      <w:r w:rsidR="00B5798D">
        <w:t>t (a</w:t>
      </w:r>
      <w:r w:rsidR="006A3AD8">
        <w:t>nd future) housing market</w:t>
      </w:r>
      <w:r w:rsidR="00B5798D">
        <w:t xml:space="preserve">: </w:t>
      </w:r>
      <w:r>
        <w:t>demographic, economic and dwelling stock characteris</w:t>
      </w:r>
      <w:r w:rsidR="00460563">
        <w:t>tics,</w:t>
      </w:r>
      <w:r w:rsidR="001E3095">
        <w:t xml:space="preserve"> as summarised in Table 4.12</w:t>
      </w:r>
      <w:r>
        <w:t>.</w:t>
      </w:r>
    </w:p>
    <w:p w:rsidR="00377FC4" w:rsidRDefault="00377FC4">
      <w:pPr>
        <w:ind w:firstLine="709"/>
        <w:rPr>
          <w:b/>
        </w:rPr>
      </w:pPr>
    </w:p>
    <w:p w:rsidR="003A6F13" w:rsidRDefault="003A6F13">
      <w:pPr>
        <w:ind w:firstLine="709"/>
      </w:pPr>
      <w:r>
        <w:rPr>
          <w:b/>
        </w:rPr>
        <w:t>Table 4.</w:t>
      </w:r>
      <w:r w:rsidR="00942F99">
        <w:rPr>
          <w:b/>
        </w:rPr>
        <w:t>1</w:t>
      </w:r>
      <w:r w:rsidR="001E3095">
        <w:rPr>
          <w:b/>
        </w:rPr>
        <w:t>2</w:t>
      </w:r>
      <w:r>
        <w:tab/>
        <w:t>Primary market drivers</w:t>
      </w:r>
    </w:p>
    <w:tbl>
      <w:tblPr>
        <w:tblW w:w="8651" w:type="dxa"/>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53"/>
        <w:gridCol w:w="3747"/>
        <w:gridCol w:w="2651"/>
      </w:tblGrid>
      <w:tr w:rsidR="003A6F13" w:rsidTr="00EA6ADC">
        <w:tc>
          <w:tcPr>
            <w:tcW w:w="2253" w:type="dxa"/>
            <w:shd w:val="clear" w:color="auto" w:fill="008080"/>
          </w:tcPr>
          <w:p w:rsidR="003A6F13" w:rsidRPr="00843CC0" w:rsidRDefault="003A6F13" w:rsidP="002324A9">
            <w:pPr>
              <w:spacing w:after="0"/>
              <w:rPr>
                <w:b/>
                <w:color w:val="FFFFFF"/>
                <w:sz w:val="22"/>
                <w:szCs w:val="22"/>
                <w:lang w:val="en-US"/>
              </w:rPr>
            </w:pPr>
            <w:r w:rsidRPr="00843CC0">
              <w:rPr>
                <w:b/>
                <w:color w:val="FFFFFF"/>
                <w:sz w:val="22"/>
                <w:szCs w:val="22"/>
                <w:lang w:val="en-US"/>
              </w:rPr>
              <w:t>Primary Driver</w:t>
            </w:r>
          </w:p>
        </w:tc>
        <w:tc>
          <w:tcPr>
            <w:tcW w:w="3747" w:type="dxa"/>
            <w:shd w:val="clear" w:color="auto" w:fill="008080"/>
          </w:tcPr>
          <w:p w:rsidR="003A6F13" w:rsidRPr="00843CC0" w:rsidRDefault="003A6F13" w:rsidP="002324A9">
            <w:pPr>
              <w:spacing w:after="0"/>
              <w:rPr>
                <w:b/>
                <w:color w:val="FFFFFF"/>
                <w:sz w:val="22"/>
                <w:szCs w:val="22"/>
                <w:lang w:val="en-US"/>
              </w:rPr>
            </w:pPr>
            <w:r w:rsidRPr="00843CC0">
              <w:rPr>
                <w:b/>
                <w:color w:val="FFFFFF"/>
                <w:sz w:val="22"/>
                <w:szCs w:val="22"/>
                <w:lang w:val="en-US"/>
              </w:rPr>
              <w:t>Attributes</w:t>
            </w:r>
          </w:p>
        </w:tc>
        <w:tc>
          <w:tcPr>
            <w:tcW w:w="2651" w:type="dxa"/>
            <w:shd w:val="clear" w:color="auto" w:fill="008080"/>
          </w:tcPr>
          <w:p w:rsidR="003A6F13" w:rsidRPr="00843CC0" w:rsidRDefault="003A6F13" w:rsidP="002324A9">
            <w:pPr>
              <w:spacing w:after="0"/>
              <w:rPr>
                <w:b/>
                <w:color w:val="FFFFFF"/>
                <w:sz w:val="22"/>
                <w:szCs w:val="22"/>
                <w:lang w:val="en-US"/>
              </w:rPr>
            </w:pPr>
            <w:r w:rsidRPr="00843CC0">
              <w:rPr>
                <w:b/>
                <w:color w:val="FFFFFF"/>
                <w:sz w:val="22"/>
                <w:szCs w:val="22"/>
                <w:lang w:val="en-US"/>
              </w:rPr>
              <w:t>Impact on overall demand through:</w:t>
            </w:r>
          </w:p>
        </w:tc>
      </w:tr>
      <w:tr w:rsidR="003A6F13" w:rsidTr="00EA6ADC">
        <w:tc>
          <w:tcPr>
            <w:tcW w:w="2253" w:type="dxa"/>
          </w:tcPr>
          <w:p w:rsidR="003A6F13" w:rsidRPr="00843CC0" w:rsidRDefault="003A6F13" w:rsidP="002324A9">
            <w:pPr>
              <w:spacing w:after="0"/>
              <w:rPr>
                <w:sz w:val="22"/>
                <w:szCs w:val="22"/>
                <w:lang w:val="en-US"/>
              </w:rPr>
            </w:pPr>
            <w:r w:rsidRPr="00843CC0">
              <w:rPr>
                <w:sz w:val="22"/>
                <w:szCs w:val="22"/>
                <w:lang w:val="en-US"/>
              </w:rPr>
              <w:t>Demography</w:t>
            </w:r>
          </w:p>
        </w:tc>
        <w:tc>
          <w:tcPr>
            <w:tcW w:w="3747" w:type="dxa"/>
          </w:tcPr>
          <w:p w:rsidR="003A6F13" w:rsidRPr="00843CC0" w:rsidRDefault="003A6F13" w:rsidP="002324A9">
            <w:pPr>
              <w:spacing w:after="0"/>
              <w:rPr>
                <w:sz w:val="22"/>
                <w:szCs w:val="22"/>
                <w:lang w:val="en-US"/>
              </w:rPr>
            </w:pPr>
            <w:r w:rsidRPr="00843CC0">
              <w:rPr>
                <w:sz w:val="22"/>
                <w:szCs w:val="22"/>
                <w:lang w:val="en-US"/>
              </w:rPr>
              <w:t>Changing no. of households, household structure, ethnicity</w:t>
            </w:r>
          </w:p>
        </w:tc>
        <w:tc>
          <w:tcPr>
            <w:tcW w:w="2651" w:type="dxa"/>
          </w:tcPr>
          <w:p w:rsidR="003A6F13" w:rsidRPr="00843CC0" w:rsidRDefault="003A6F13" w:rsidP="002324A9">
            <w:pPr>
              <w:spacing w:after="0"/>
              <w:rPr>
                <w:sz w:val="22"/>
                <w:szCs w:val="22"/>
                <w:lang w:val="en-US"/>
              </w:rPr>
            </w:pPr>
            <w:r w:rsidRPr="00843CC0">
              <w:rPr>
                <w:sz w:val="22"/>
                <w:szCs w:val="22"/>
                <w:lang w:val="en-US"/>
              </w:rPr>
              <w:t>Natural Change</w:t>
            </w:r>
          </w:p>
        </w:tc>
      </w:tr>
      <w:tr w:rsidR="003A6F13" w:rsidTr="00EA6ADC">
        <w:tc>
          <w:tcPr>
            <w:tcW w:w="2253" w:type="dxa"/>
          </w:tcPr>
          <w:p w:rsidR="003A6F13" w:rsidRPr="00843CC0" w:rsidRDefault="003A6F13" w:rsidP="002324A9">
            <w:pPr>
              <w:spacing w:after="0"/>
              <w:rPr>
                <w:sz w:val="22"/>
                <w:szCs w:val="22"/>
                <w:lang w:val="en-US"/>
              </w:rPr>
            </w:pPr>
            <w:r w:rsidRPr="00843CC0">
              <w:rPr>
                <w:sz w:val="22"/>
                <w:szCs w:val="22"/>
                <w:lang w:val="en-US"/>
              </w:rPr>
              <w:t>Economy</w:t>
            </w:r>
          </w:p>
        </w:tc>
        <w:tc>
          <w:tcPr>
            <w:tcW w:w="3747" w:type="dxa"/>
          </w:tcPr>
          <w:p w:rsidR="003A6F13" w:rsidRPr="00843CC0" w:rsidRDefault="003A6F13" w:rsidP="002324A9">
            <w:pPr>
              <w:spacing w:after="0"/>
              <w:rPr>
                <w:sz w:val="22"/>
                <w:szCs w:val="22"/>
                <w:lang w:val="en-US"/>
              </w:rPr>
            </w:pPr>
            <w:r w:rsidRPr="00843CC0">
              <w:rPr>
                <w:sz w:val="22"/>
                <w:szCs w:val="22"/>
                <w:lang w:val="en-US"/>
              </w:rPr>
              <w:t>Jobs, income, activity rates, unemployment</w:t>
            </w:r>
          </w:p>
        </w:tc>
        <w:tc>
          <w:tcPr>
            <w:tcW w:w="2651" w:type="dxa"/>
          </w:tcPr>
          <w:p w:rsidR="003A6F13" w:rsidRPr="00843CC0" w:rsidRDefault="003A6F13" w:rsidP="002324A9">
            <w:pPr>
              <w:spacing w:after="0"/>
              <w:rPr>
                <w:sz w:val="22"/>
                <w:szCs w:val="22"/>
                <w:lang w:val="en-US"/>
              </w:rPr>
            </w:pPr>
            <w:r w:rsidRPr="00843CC0">
              <w:rPr>
                <w:sz w:val="22"/>
                <w:szCs w:val="22"/>
                <w:lang w:val="en-US"/>
              </w:rPr>
              <w:t>Economic migration</w:t>
            </w:r>
          </w:p>
        </w:tc>
      </w:tr>
      <w:tr w:rsidR="003A6F13" w:rsidTr="00EA6ADC">
        <w:tc>
          <w:tcPr>
            <w:tcW w:w="2253" w:type="dxa"/>
          </w:tcPr>
          <w:p w:rsidR="003A6F13" w:rsidRPr="00843CC0" w:rsidRDefault="003A6F13" w:rsidP="002324A9">
            <w:pPr>
              <w:spacing w:after="0"/>
              <w:rPr>
                <w:sz w:val="22"/>
                <w:szCs w:val="22"/>
                <w:lang w:val="en-US"/>
              </w:rPr>
            </w:pPr>
            <w:r w:rsidRPr="00843CC0">
              <w:rPr>
                <w:sz w:val="22"/>
                <w:szCs w:val="22"/>
                <w:lang w:val="en-US"/>
              </w:rPr>
              <w:t>Housing stock and aspirations</w:t>
            </w:r>
          </w:p>
        </w:tc>
        <w:tc>
          <w:tcPr>
            <w:tcW w:w="3747" w:type="dxa"/>
          </w:tcPr>
          <w:p w:rsidR="003A6F13" w:rsidRPr="00843CC0" w:rsidRDefault="003A6F13" w:rsidP="002324A9">
            <w:pPr>
              <w:spacing w:after="0"/>
              <w:rPr>
                <w:sz w:val="22"/>
                <w:szCs w:val="22"/>
                <w:lang w:val="en-US"/>
              </w:rPr>
            </w:pPr>
            <w:r w:rsidRPr="00843CC0">
              <w:rPr>
                <w:sz w:val="22"/>
                <w:szCs w:val="22"/>
                <w:lang w:val="en-US"/>
              </w:rPr>
              <w:t xml:space="preserve">Quality </w:t>
            </w:r>
            <w:r w:rsidR="006E3921" w:rsidRPr="00843CC0">
              <w:rPr>
                <w:sz w:val="22"/>
                <w:szCs w:val="22"/>
                <w:lang w:val="en-US"/>
              </w:rPr>
              <w:t>vs.</w:t>
            </w:r>
            <w:r w:rsidRPr="00843CC0">
              <w:rPr>
                <w:sz w:val="22"/>
                <w:szCs w:val="22"/>
                <w:lang w:val="en-US"/>
              </w:rPr>
              <w:t xml:space="preserve"> aspirations, relative prices, accessibility, development programmes</w:t>
            </w:r>
          </w:p>
        </w:tc>
        <w:tc>
          <w:tcPr>
            <w:tcW w:w="2651" w:type="dxa"/>
          </w:tcPr>
          <w:p w:rsidR="003A6F13" w:rsidRPr="00843CC0" w:rsidRDefault="003A6F13" w:rsidP="002324A9">
            <w:pPr>
              <w:spacing w:after="0"/>
              <w:rPr>
                <w:sz w:val="22"/>
                <w:szCs w:val="22"/>
                <w:lang w:val="en-US"/>
              </w:rPr>
            </w:pPr>
            <w:r w:rsidRPr="00843CC0">
              <w:rPr>
                <w:sz w:val="22"/>
                <w:szCs w:val="22"/>
                <w:lang w:val="en-US"/>
              </w:rPr>
              <w:t>Residential migration</w:t>
            </w:r>
          </w:p>
        </w:tc>
      </w:tr>
    </w:tbl>
    <w:p w:rsidR="00685565" w:rsidRDefault="00685565" w:rsidP="00685565">
      <w:pPr>
        <w:pStyle w:val="Maintext"/>
        <w:numPr>
          <w:ilvl w:val="0"/>
          <w:numId w:val="0"/>
        </w:numPr>
      </w:pPr>
    </w:p>
    <w:p w:rsidR="003B2B5F" w:rsidRDefault="00C2550B" w:rsidP="00155623">
      <w:pPr>
        <w:pStyle w:val="Maintext"/>
      </w:pPr>
      <w:r>
        <w:t xml:space="preserve">In summary, the following demographic drivers will continue to underpin the operation of </w:t>
      </w:r>
      <w:r w:rsidR="003B50AF">
        <w:t xml:space="preserve">the </w:t>
      </w:r>
      <w:r w:rsidR="001A0CFB">
        <w:t xml:space="preserve">County Durham </w:t>
      </w:r>
      <w:r w:rsidR="00A07667">
        <w:t>housing market</w:t>
      </w:r>
      <w:r w:rsidR="00AE4DA1">
        <w:t xml:space="preserve"> area</w:t>
      </w:r>
      <w:r>
        <w:t>:</w:t>
      </w:r>
    </w:p>
    <w:p w:rsidR="003B2B5F" w:rsidRDefault="006E3921" w:rsidP="00C76826">
      <w:pPr>
        <w:pStyle w:val="Maintext"/>
        <w:numPr>
          <w:ilvl w:val="2"/>
          <w:numId w:val="10"/>
        </w:numPr>
      </w:pPr>
      <w:r>
        <w:t>An</w:t>
      </w:r>
      <w:r w:rsidR="003B2B5F">
        <w:t xml:space="preserve"> increasing populati</w:t>
      </w:r>
      <w:r w:rsidR="00E24825">
        <w:t xml:space="preserve">on, with </w:t>
      </w:r>
      <w:r w:rsidR="001276BD">
        <w:t>projections prepared by Durham County Council</w:t>
      </w:r>
      <w:r w:rsidR="004869EC">
        <w:rPr>
          <w:rStyle w:val="FootnoteReference"/>
        </w:rPr>
        <w:footnoteReference w:id="20"/>
      </w:r>
      <w:r w:rsidR="001276BD">
        <w:t xml:space="preserve"> predicting a population of </w:t>
      </w:r>
      <w:r w:rsidR="00A61B18">
        <w:t>560,715</w:t>
      </w:r>
      <w:r w:rsidR="005310CC">
        <w:t xml:space="preserve"> in 2030 compared with </w:t>
      </w:r>
      <w:r w:rsidR="00A61B18">
        <w:t>512,994 in 2011</w:t>
      </w:r>
      <w:r w:rsidR="001276BD">
        <w:t xml:space="preserve">, </w:t>
      </w:r>
      <w:r w:rsidR="006A4C35">
        <w:t xml:space="preserve">an increase of </w:t>
      </w:r>
      <w:r w:rsidR="00A61B18">
        <w:t>47,721</w:t>
      </w:r>
      <w:r w:rsidR="005310CC">
        <w:t xml:space="preserve"> (</w:t>
      </w:r>
      <w:r w:rsidR="00A61B18">
        <w:t>9.3</w:t>
      </w:r>
      <w:r w:rsidR="006A4C35">
        <w:t>%);</w:t>
      </w:r>
      <w:r w:rsidR="00B14C69">
        <w:t xml:space="preserve"> </w:t>
      </w:r>
    </w:p>
    <w:p w:rsidR="003B2B5F" w:rsidRDefault="00C2550B" w:rsidP="00C76826">
      <w:pPr>
        <w:pStyle w:val="Maintext"/>
        <w:numPr>
          <w:ilvl w:val="2"/>
          <w:numId w:val="10"/>
        </w:numPr>
      </w:pPr>
      <w:r>
        <w:t>Over the next few decades, there will be a ‘demographic shift’ with the number (and proportion) of olde</w:t>
      </w:r>
      <w:r w:rsidR="003B2B5F">
        <w:t xml:space="preserve">r people increasing. </w:t>
      </w:r>
      <w:r w:rsidR="00551C00">
        <w:t xml:space="preserve">Durham County Council </w:t>
      </w:r>
      <w:r w:rsidR="008148DD">
        <w:t xml:space="preserve">population projections indicate </w:t>
      </w:r>
      <w:r w:rsidR="00A61B18">
        <w:t>a baseline in 2011</w:t>
      </w:r>
      <w:r w:rsidR="008148DD">
        <w:t xml:space="preserve"> of </w:t>
      </w:r>
      <w:r w:rsidR="00A61B18">
        <w:t>93,014 people aged 65</w:t>
      </w:r>
      <w:r w:rsidR="00C22599">
        <w:t xml:space="preserve"> and over</w:t>
      </w:r>
      <w:r w:rsidR="00A61B18">
        <w:t xml:space="preserve"> </w:t>
      </w:r>
      <w:r w:rsidR="00D54492">
        <w:t>(of whom 69,237 are aged 65-79 and 23,777 are aged 80 and over)</w:t>
      </w:r>
      <w:r w:rsidR="00C22599">
        <w:t>.</w:t>
      </w:r>
      <w:r w:rsidR="00B14C69">
        <w:t xml:space="preserve"> </w:t>
      </w:r>
      <w:r w:rsidR="005310CC">
        <w:t>By 2030</w:t>
      </w:r>
      <w:r w:rsidR="008148DD">
        <w:t>,</w:t>
      </w:r>
      <w:r w:rsidR="00551C00">
        <w:t xml:space="preserve"> these numbers are expected to increase to </w:t>
      </w:r>
      <w:r w:rsidR="00A61B18">
        <w:t>138,402 people aged 65</w:t>
      </w:r>
      <w:r w:rsidR="00950C72">
        <w:t xml:space="preserve"> </w:t>
      </w:r>
      <w:r w:rsidR="00D54492">
        <w:t xml:space="preserve">and over (of whom 93,393 are expected to be aged 65-79 representing a </w:t>
      </w:r>
      <w:r w:rsidR="00A61B18">
        <w:t>48.8</w:t>
      </w:r>
      <w:r w:rsidR="00D54492">
        <w:t>% increase</w:t>
      </w:r>
      <w:r w:rsidR="008148DD">
        <w:t xml:space="preserve"> </w:t>
      </w:r>
      <w:r w:rsidR="00D54492">
        <w:t xml:space="preserve">on 2011 figures </w:t>
      </w:r>
      <w:r w:rsidR="00B87143">
        <w:t xml:space="preserve">and </w:t>
      </w:r>
      <w:r w:rsidR="00A61B18">
        <w:t>45,028 aged 80</w:t>
      </w:r>
      <w:r w:rsidR="00D54492">
        <w:t xml:space="preserve"> and over, representing </w:t>
      </w:r>
      <w:r w:rsidR="008148DD">
        <w:t>a</w:t>
      </w:r>
      <w:r w:rsidR="00D54492">
        <w:t>n</w:t>
      </w:r>
      <w:r w:rsidR="008148DD">
        <w:t xml:space="preserve"> </w:t>
      </w:r>
      <w:r w:rsidR="00A61B18">
        <w:t>89.4% increase)</w:t>
      </w:r>
      <w:r w:rsidR="00927B72">
        <w:t>;</w:t>
      </w:r>
    </w:p>
    <w:p w:rsidR="009D1CD8" w:rsidRDefault="004869EC" w:rsidP="00C76826">
      <w:pPr>
        <w:pStyle w:val="Maintext"/>
        <w:numPr>
          <w:ilvl w:val="2"/>
          <w:numId w:val="10"/>
        </w:numPr>
      </w:pPr>
      <w:r>
        <w:t>Durham County Council</w:t>
      </w:r>
      <w:r w:rsidR="003A6F13">
        <w:t xml:space="preserve"> trend-based projections</w:t>
      </w:r>
      <w:r w:rsidR="005267C9">
        <w:rPr>
          <w:rStyle w:val="FootnoteReference"/>
        </w:rPr>
        <w:footnoteReference w:id="21"/>
      </w:r>
      <w:r w:rsidR="003A6F13">
        <w:t xml:space="preserve"> indicate that the number of households in </w:t>
      </w:r>
      <w:r w:rsidR="008148DD">
        <w:t xml:space="preserve">County Durham </w:t>
      </w:r>
      <w:r w:rsidR="003A6F13">
        <w:t>is ex</w:t>
      </w:r>
      <w:r w:rsidR="005267C9">
        <w:t xml:space="preserve">pected to increase </w:t>
      </w:r>
      <w:r w:rsidR="008148DD">
        <w:t xml:space="preserve">from </w:t>
      </w:r>
      <w:r w:rsidR="00A61B18">
        <w:t>223,636</w:t>
      </w:r>
      <w:r w:rsidR="00DF09A6">
        <w:t xml:space="preserve"> in 20</w:t>
      </w:r>
      <w:r w:rsidR="00A61B18">
        <w:t xml:space="preserve">11 </w:t>
      </w:r>
      <w:r w:rsidR="00DF09A6">
        <w:t xml:space="preserve">to </w:t>
      </w:r>
      <w:r w:rsidR="00A61B18">
        <w:t>246,134</w:t>
      </w:r>
      <w:r w:rsidR="00357754">
        <w:t xml:space="preserve"> in </w:t>
      </w:r>
      <w:r w:rsidR="00A61B18">
        <w:t>2030, an increase of 10.1</w:t>
      </w:r>
      <w:r>
        <w:t>%</w:t>
      </w:r>
      <w:r w:rsidR="003A6F13">
        <w:t xml:space="preserve">. This represents an annual increase </w:t>
      </w:r>
      <w:r w:rsidR="00DF09A6">
        <w:t>to 2030</w:t>
      </w:r>
      <w:r w:rsidR="00357754">
        <w:t xml:space="preserve"> </w:t>
      </w:r>
      <w:r w:rsidR="003A6F13">
        <w:t>of</w:t>
      </w:r>
      <w:r w:rsidR="00B56D96">
        <w:t xml:space="preserve"> around </w:t>
      </w:r>
      <w:r w:rsidR="008148DD">
        <w:t>1,</w:t>
      </w:r>
      <w:r w:rsidR="00381E1B">
        <w:t>125</w:t>
      </w:r>
      <w:r w:rsidR="003A6F13">
        <w:t xml:space="preserve"> households</w:t>
      </w:r>
      <w:r w:rsidR="00381E1B">
        <w:t xml:space="preserve"> each year</w:t>
      </w:r>
      <w:r w:rsidR="009D1CD8">
        <w:t>;</w:t>
      </w:r>
    </w:p>
    <w:p w:rsidR="00357754" w:rsidRDefault="00357754" w:rsidP="00DF09A6">
      <w:pPr>
        <w:pStyle w:val="Maintext"/>
        <w:numPr>
          <w:ilvl w:val="2"/>
          <w:numId w:val="10"/>
        </w:numPr>
      </w:pPr>
      <w:r>
        <w:t xml:space="preserve">Although the total number of households is predicted to grow, </w:t>
      </w:r>
      <w:r w:rsidR="005C4AB8">
        <w:t xml:space="preserve">the age profile of household reference people (heads of household) will change. Of the overall change </w:t>
      </w:r>
      <w:r w:rsidR="00DF09A6">
        <w:t xml:space="preserve">of </w:t>
      </w:r>
      <w:r w:rsidR="00A61B18">
        <w:t>22,498</w:t>
      </w:r>
      <w:r w:rsidR="005C4AB8">
        <w:t xml:space="preserve"> households</w:t>
      </w:r>
      <w:r w:rsidR="00A61B18">
        <w:t xml:space="preserve"> additional households between 2011 and 2030</w:t>
      </w:r>
      <w:r w:rsidR="005C4AB8">
        <w:t xml:space="preserve">, the number of households where the household reference person is aged 65 and over is projected to increase by </w:t>
      </w:r>
      <w:r w:rsidR="00DF09A6">
        <w:t xml:space="preserve">around </w:t>
      </w:r>
      <w:r w:rsidR="00A61B18">
        <w:t>23,100</w:t>
      </w:r>
      <w:r w:rsidR="005C4AB8">
        <w:t xml:space="preserve"> and the number of households with a household reference person aged under </w:t>
      </w:r>
      <w:r w:rsidR="00CD6A4B">
        <w:t>44</w:t>
      </w:r>
      <w:r w:rsidR="005C4AB8">
        <w:t xml:space="preserve"> i</w:t>
      </w:r>
      <w:r w:rsidR="00DF09A6">
        <w:t xml:space="preserve">s predicted to </w:t>
      </w:r>
      <w:r w:rsidR="00CD6A4B">
        <w:t>increase by around 7,400. However, the number of households where the household reference person is aged between 45 and 64 years is predicted to decrease by around 8,000</w:t>
      </w:r>
      <w:r w:rsidR="009D1CD8">
        <w:t>;</w:t>
      </w:r>
      <w:r>
        <w:t xml:space="preserve"> </w:t>
      </w:r>
    </w:p>
    <w:p w:rsidR="007D4452" w:rsidRDefault="00950C72" w:rsidP="00C76826">
      <w:pPr>
        <w:pStyle w:val="Maintext"/>
        <w:numPr>
          <w:ilvl w:val="2"/>
          <w:numId w:val="10"/>
        </w:numPr>
      </w:pPr>
      <w:r>
        <w:t xml:space="preserve">The </w:t>
      </w:r>
      <w:r w:rsidR="00DD3EB7">
        <w:t>2012 Household Survey</w:t>
      </w:r>
      <w:r w:rsidR="005E0918">
        <w:t xml:space="preserve"> indicates that the </w:t>
      </w:r>
      <w:r w:rsidR="003A6F13">
        <w:t xml:space="preserve">largest household groups are </w:t>
      </w:r>
      <w:r>
        <w:t xml:space="preserve">couples </w:t>
      </w:r>
      <w:r w:rsidR="009D1CD8">
        <w:t>with children (</w:t>
      </w:r>
      <w:r w:rsidR="00CD6A4B">
        <w:t>23.5</w:t>
      </w:r>
      <w:r w:rsidR="00EA2E0D">
        <w:t xml:space="preserve">%), </w:t>
      </w:r>
      <w:r w:rsidR="00CD6A4B">
        <w:t>couples (under 60 no children)(13.1%)</w:t>
      </w:r>
      <w:r w:rsidR="009D1CD8">
        <w:t>, singles under 60 (1</w:t>
      </w:r>
      <w:r w:rsidR="00CD6A4B">
        <w:t>2</w:t>
      </w:r>
      <w:r w:rsidR="009D1CD8">
        <w:t xml:space="preserve">.8%), </w:t>
      </w:r>
      <w:r w:rsidR="00CD6A4B">
        <w:t xml:space="preserve">older </w:t>
      </w:r>
      <w:r w:rsidR="009D1CD8">
        <w:t>c</w:t>
      </w:r>
      <w:r w:rsidR="00CD6A4B">
        <w:t>ouples (one or more 60 or over)(22.4</w:t>
      </w:r>
      <w:r w:rsidR="009D1CD8">
        <w:t>%</w:t>
      </w:r>
      <w:r w:rsidR="00CD6A4B">
        <w:t>)</w:t>
      </w:r>
      <w:r w:rsidR="009D1CD8">
        <w:t xml:space="preserve">, </w:t>
      </w:r>
      <w:r w:rsidR="00CD6A4B">
        <w:t xml:space="preserve">older </w:t>
      </w:r>
      <w:r w:rsidR="009D1CD8">
        <w:t>singles (60 or over)</w:t>
      </w:r>
      <w:r w:rsidR="00CD6A4B">
        <w:t>(18.0</w:t>
      </w:r>
      <w:r w:rsidR="009D1CD8">
        <w:t>%</w:t>
      </w:r>
      <w:r w:rsidR="00CD6A4B">
        <w:t>)</w:t>
      </w:r>
      <w:r w:rsidR="009D1CD8">
        <w:t>, lone parents (</w:t>
      </w:r>
      <w:r w:rsidR="00CD6A4B">
        <w:t>7.7</w:t>
      </w:r>
      <w:r w:rsidR="009D1CD8">
        <w:t>%) a</w:t>
      </w:r>
      <w:r w:rsidR="00CD6A4B">
        <w:t>nd other types of household (2.5%)</w:t>
      </w:r>
      <w:r w:rsidR="00EA2E0D">
        <w:t>;</w:t>
      </w:r>
      <w:r w:rsidR="006A4C35">
        <w:t xml:space="preserve"> and</w:t>
      </w:r>
    </w:p>
    <w:p w:rsidR="003A6F13" w:rsidRDefault="003A6F13" w:rsidP="00C76826">
      <w:pPr>
        <w:pStyle w:val="Maintext"/>
        <w:numPr>
          <w:ilvl w:val="2"/>
          <w:numId w:val="10"/>
        </w:numPr>
      </w:pPr>
      <w:r>
        <w:t>Regional household projections suggest that the proportion of singles and other household types is likely to increase in the future.</w:t>
      </w:r>
    </w:p>
    <w:p w:rsidR="003A6F13" w:rsidRDefault="003A6F13" w:rsidP="00155623">
      <w:pPr>
        <w:pStyle w:val="Maintext"/>
      </w:pPr>
      <w:r>
        <w:t xml:space="preserve">The following economic drivers underpin the operation of </w:t>
      </w:r>
      <w:r w:rsidR="00EA2E0D">
        <w:t xml:space="preserve">the </w:t>
      </w:r>
      <w:r w:rsidR="009D1CD8">
        <w:t xml:space="preserve">County Durham </w:t>
      </w:r>
      <w:r w:rsidR="00A07667">
        <w:t>housing market</w:t>
      </w:r>
      <w:r w:rsidR="00AE4DA1">
        <w:t xml:space="preserve"> area</w:t>
      </w:r>
      <w:r>
        <w:t>:</w:t>
      </w:r>
    </w:p>
    <w:p w:rsidR="003A6F13" w:rsidRPr="00A0196E" w:rsidRDefault="0048251D" w:rsidP="00C76826">
      <w:pPr>
        <w:pStyle w:val="Maintext"/>
        <w:numPr>
          <w:ilvl w:val="0"/>
          <w:numId w:val="16"/>
        </w:numPr>
      </w:pPr>
      <w:r>
        <w:t>48.9</w:t>
      </w:r>
      <w:r w:rsidR="003A6F13">
        <w:t xml:space="preserve">% of </w:t>
      </w:r>
      <w:r w:rsidR="001562BE">
        <w:t xml:space="preserve">household reference people </w:t>
      </w:r>
      <w:r w:rsidR="003A6F13">
        <w:t xml:space="preserve">are economically active and are in </w:t>
      </w:r>
      <w:r w:rsidR="007D4452">
        <w:t xml:space="preserve">employment according to the </w:t>
      </w:r>
      <w:r w:rsidR="00DD3EB7">
        <w:t>2012 Household Survey</w:t>
      </w:r>
      <w:r>
        <w:t xml:space="preserve"> rebased to the 2011 Census</w:t>
      </w:r>
      <w:r w:rsidR="00EE3D29">
        <w:t xml:space="preserve">; a further </w:t>
      </w:r>
      <w:r>
        <w:t>32.4</w:t>
      </w:r>
      <w:r w:rsidR="00EE3D29">
        <w:t xml:space="preserve">% are retired; </w:t>
      </w:r>
      <w:r>
        <w:t>8.8</w:t>
      </w:r>
      <w:r w:rsidR="001562BE">
        <w:t>% ar</w:t>
      </w:r>
      <w:r w:rsidR="00B96E65">
        <w:t xml:space="preserve">e permanently sick/disabled; </w:t>
      </w:r>
      <w:r>
        <w:t>5.0</w:t>
      </w:r>
      <w:r w:rsidR="001562BE">
        <w:t>% are either looking after the ho</w:t>
      </w:r>
      <w:r w:rsidR="001562BE" w:rsidRPr="00A0196E">
        <w:t>me</w:t>
      </w:r>
      <w:r w:rsidR="00B96E65">
        <w:t>, are c</w:t>
      </w:r>
      <w:r w:rsidR="001562BE" w:rsidRPr="00A0196E">
        <w:t>are</w:t>
      </w:r>
      <w:r w:rsidR="00B96E65">
        <w:t>r</w:t>
      </w:r>
      <w:r>
        <w:t>s</w:t>
      </w:r>
      <w:r w:rsidR="00B96E65">
        <w:t xml:space="preserve"> or volunteers; </w:t>
      </w:r>
      <w:r>
        <w:t>3.9</w:t>
      </w:r>
      <w:r w:rsidR="001562BE">
        <w:t xml:space="preserve">% are unemployed </w:t>
      </w:r>
      <w:r>
        <w:t>and available for work; and 1.0</w:t>
      </w:r>
      <w:r w:rsidR="007D4452">
        <w:t>% are in f</w:t>
      </w:r>
      <w:r w:rsidR="001562BE">
        <w:t>ull-time education/training;</w:t>
      </w:r>
    </w:p>
    <w:p w:rsidR="00B96E65" w:rsidRPr="00B96E65" w:rsidRDefault="0048251D" w:rsidP="00C76826">
      <w:pPr>
        <w:pStyle w:val="Maintext"/>
        <w:numPr>
          <w:ilvl w:val="0"/>
          <w:numId w:val="16"/>
        </w:numPr>
        <w:rPr>
          <w:i/>
        </w:rPr>
      </w:pPr>
      <w:r>
        <w:t>65.2</w:t>
      </w:r>
      <w:r w:rsidR="007D4452">
        <w:t xml:space="preserve">% </w:t>
      </w:r>
      <w:r w:rsidR="001562BE">
        <w:t xml:space="preserve">of people in employment work within </w:t>
      </w:r>
      <w:r w:rsidR="00B96E65">
        <w:t>County Durham</w:t>
      </w:r>
      <w:r w:rsidR="001562BE">
        <w:t xml:space="preserve">. Of those working outside </w:t>
      </w:r>
      <w:r w:rsidR="00B96E65">
        <w:t xml:space="preserve">County, </w:t>
      </w:r>
      <w:r>
        <w:t>19.8% work in Tyne and Wear and</w:t>
      </w:r>
      <w:r w:rsidR="00B96E65">
        <w:t xml:space="preserve"> 9.</w:t>
      </w:r>
      <w:r>
        <w:t>4</w:t>
      </w:r>
      <w:r w:rsidR="00B96E65">
        <w:t>% in Tees Valley</w:t>
      </w:r>
      <w:r>
        <w:t>.</w:t>
      </w:r>
      <w:r w:rsidR="00B96E65">
        <w:t xml:space="preserve"> </w:t>
      </w:r>
    </w:p>
    <w:p w:rsidR="00B96E65" w:rsidRPr="00C87A8A" w:rsidRDefault="003A6F13" w:rsidP="00C76826">
      <w:pPr>
        <w:pStyle w:val="Maintext"/>
        <w:numPr>
          <w:ilvl w:val="0"/>
          <w:numId w:val="16"/>
        </w:numPr>
      </w:pPr>
      <w:r w:rsidRPr="00C87A8A">
        <w:t>According to the ONS Annual Survey of Hours and Earnings, lower quarti</w:t>
      </w:r>
      <w:r w:rsidR="00C87A8A" w:rsidRPr="00C87A8A">
        <w:t>le earnings in 2012</w:t>
      </w:r>
      <w:r w:rsidR="00B96E65" w:rsidRPr="00C87A8A">
        <w:t xml:space="preserve"> across County Durham were </w:t>
      </w:r>
      <w:r w:rsidR="00357D1A" w:rsidRPr="00C87A8A">
        <w:t>£</w:t>
      </w:r>
      <w:r w:rsidR="00C87A8A" w:rsidRPr="00C87A8A">
        <w:t>17,716 which compares with £17,592</w:t>
      </w:r>
      <w:r w:rsidR="007D4452" w:rsidRPr="00C87A8A">
        <w:t xml:space="preserve"> for the </w:t>
      </w:r>
      <w:r w:rsidR="0006738D" w:rsidRPr="00C87A8A">
        <w:t xml:space="preserve">North East </w:t>
      </w:r>
      <w:r w:rsidR="007D4452" w:rsidRPr="00C87A8A">
        <w:t>region and £18,</w:t>
      </w:r>
      <w:r w:rsidR="00C87A8A" w:rsidRPr="00C87A8A">
        <w:t>933</w:t>
      </w:r>
      <w:r w:rsidRPr="00C87A8A">
        <w:t xml:space="preserve"> for Eng</w:t>
      </w:r>
      <w:r w:rsidR="007D4452" w:rsidRPr="00C87A8A">
        <w:t>land. Median incomes were</w:t>
      </w:r>
      <w:r w:rsidR="00A0196E" w:rsidRPr="00C87A8A">
        <w:t xml:space="preserve"> £</w:t>
      </w:r>
      <w:r w:rsidR="00C87A8A" w:rsidRPr="00C87A8A">
        <w:t>23,81</w:t>
      </w:r>
      <w:r w:rsidR="00B96E65" w:rsidRPr="00C87A8A">
        <w:t>6</w:t>
      </w:r>
      <w:r w:rsidR="00A0196E" w:rsidRPr="00C87A8A">
        <w:t>, compared with a regional median of £</w:t>
      </w:r>
      <w:r w:rsidR="00C87A8A" w:rsidRPr="00C87A8A">
        <w:t>23,676</w:t>
      </w:r>
      <w:r w:rsidR="00A0196E" w:rsidRPr="00C87A8A">
        <w:t xml:space="preserve"> and </w:t>
      </w:r>
      <w:r w:rsidR="007D4452" w:rsidRPr="00C87A8A">
        <w:t>a national median of £26,</w:t>
      </w:r>
      <w:r w:rsidR="00C87A8A" w:rsidRPr="00C87A8A">
        <w:t>660</w:t>
      </w:r>
      <w:r w:rsidR="00A0196E" w:rsidRPr="00C87A8A">
        <w:t>.</w:t>
      </w:r>
    </w:p>
    <w:p w:rsidR="001562BE" w:rsidRPr="00A0196E" w:rsidRDefault="0006738D" w:rsidP="00F926B0">
      <w:pPr>
        <w:pStyle w:val="Maintext"/>
        <w:numPr>
          <w:ilvl w:val="0"/>
          <w:numId w:val="16"/>
        </w:numPr>
      </w:pPr>
      <w:r>
        <w:t xml:space="preserve">There is considerable income polarisation across </w:t>
      </w:r>
      <w:r w:rsidR="00B96E65">
        <w:t xml:space="preserve">County Durham, with household survey data indicating that </w:t>
      </w:r>
      <w:r w:rsidR="00F926B0">
        <w:t>44.7</w:t>
      </w:r>
      <w:r w:rsidR="007A3278">
        <w:t>% of households receive</w:t>
      </w:r>
      <w:r>
        <w:t xml:space="preserve"> l</w:t>
      </w:r>
      <w:r w:rsidR="007A3278">
        <w:t xml:space="preserve">ess than £300 each week and </w:t>
      </w:r>
      <w:r w:rsidR="00F926B0">
        <w:t>33.1</w:t>
      </w:r>
      <w:r w:rsidR="007A3278">
        <w:t>% receive</w:t>
      </w:r>
      <w:r>
        <w:t xml:space="preserve"> at least £500 each week.</w:t>
      </w:r>
    </w:p>
    <w:p w:rsidR="003A6F13" w:rsidRDefault="003A6F13" w:rsidP="00155623">
      <w:pPr>
        <w:pStyle w:val="Maintext"/>
      </w:pPr>
      <w:r>
        <w:t>In</w:t>
      </w:r>
      <w:r w:rsidR="00EE3D29">
        <w:t xml:space="preserve"> terms of dwelling stock</w:t>
      </w:r>
      <w:r w:rsidR="0014652D">
        <w:t>, the 2012</w:t>
      </w:r>
      <w:r w:rsidR="00927B72">
        <w:t xml:space="preserve"> household survey reports that</w:t>
      </w:r>
      <w:r w:rsidR="0014652D">
        <w:t>, across County Durham</w:t>
      </w:r>
      <w:r>
        <w:t>:</w:t>
      </w:r>
    </w:p>
    <w:p w:rsidR="003A6F13" w:rsidRDefault="00F926B0" w:rsidP="00C76826">
      <w:pPr>
        <w:pStyle w:val="Maintext"/>
        <w:numPr>
          <w:ilvl w:val="0"/>
          <w:numId w:val="15"/>
        </w:numPr>
      </w:pPr>
      <w:r>
        <w:t>79.3</w:t>
      </w:r>
      <w:r w:rsidR="003A6F13">
        <w:t>% of properties are houses,</w:t>
      </w:r>
      <w:r w:rsidR="00501AA1">
        <w:t xml:space="preserve"> </w:t>
      </w:r>
      <w:r>
        <w:t>5.0</w:t>
      </w:r>
      <w:r w:rsidR="00501AA1">
        <w:t>% are flats/maisonet</w:t>
      </w:r>
      <w:r w:rsidR="00321E94">
        <w:t>t</w:t>
      </w:r>
      <w:r w:rsidR="00501AA1">
        <w:t>e</w:t>
      </w:r>
      <w:r w:rsidR="00321E94">
        <w:t>s,</w:t>
      </w:r>
      <w:r w:rsidR="007A3278">
        <w:t xml:space="preserve"> </w:t>
      </w:r>
      <w:r>
        <w:t>15.3</w:t>
      </w:r>
      <w:r w:rsidR="0006738D">
        <w:t xml:space="preserve">% are bungalows </w:t>
      </w:r>
      <w:r w:rsidR="00501AA1">
        <w:t xml:space="preserve">and </w:t>
      </w:r>
      <w:r>
        <w:t>0.5</w:t>
      </w:r>
      <w:r w:rsidR="003A6F13">
        <w:t>% are other property types (e.g. caravans);</w:t>
      </w:r>
    </w:p>
    <w:p w:rsidR="003A6F13" w:rsidRDefault="00F926B0" w:rsidP="00C76826">
      <w:pPr>
        <w:pStyle w:val="Maintext"/>
        <w:numPr>
          <w:ilvl w:val="0"/>
          <w:numId w:val="15"/>
        </w:numPr>
      </w:pPr>
      <w:r>
        <w:t>6.1</w:t>
      </w:r>
      <w:r w:rsidR="00501AA1">
        <w:t xml:space="preserve">% have one bedroom, </w:t>
      </w:r>
      <w:r>
        <w:t>34.8</w:t>
      </w:r>
      <w:r w:rsidR="00501AA1">
        <w:t xml:space="preserve">% have two bedrooms, </w:t>
      </w:r>
      <w:r>
        <w:t>43.7</w:t>
      </w:r>
      <w:r w:rsidR="007023F6">
        <w:t xml:space="preserve">% have three bedrooms and </w:t>
      </w:r>
      <w:r>
        <w:t>15.4</w:t>
      </w:r>
      <w:r w:rsidR="00321E94">
        <w:t>% have four or more bedrooms</w:t>
      </w:r>
      <w:r w:rsidR="003A6F13">
        <w:t>;</w:t>
      </w:r>
    </w:p>
    <w:p w:rsidR="0048062B" w:rsidRDefault="00F926B0" w:rsidP="00C76826">
      <w:pPr>
        <w:pStyle w:val="Maintext"/>
        <w:numPr>
          <w:ilvl w:val="0"/>
          <w:numId w:val="15"/>
        </w:numPr>
      </w:pPr>
      <w:r>
        <w:t>17.6</w:t>
      </w:r>
      <w:r w:rsidR="00321E94">
        <w:t>% of p</w:t>
      </w:r>
      <w:r w:rsidR="0051668F">
        <w:t>roperties were built before 1919</w:t>
      </w:r>
      <w:r w:rsidR="00321E94">
        <w:t xml:space="preserve">, a further </w:t>
      </w:r>
      <w:r>
        <w:t>16.5</w:t>
      </w:r>
      <w:r w:rsidR="0051668F">
        <w:t xml:space="preserve">% were built between 1919 and 1944, </w:t>
      </w:r>
      <w:r>
        <w:t>21.7</w:t>
      </w:r>
      <w:r w:rsidR="0051668F">
        <w:t xml:space="preserve">% between 1945 and 1964, </w:t>
      </w:r>
      <w:r>
        <w:t>23.1</w:t>
      </w:r>
      <w:r w:rsidR="00321E94">
        <w:t xml:space="preserve">% between </w:t>
      </w:r>
      <w:r w:rsidR="0051668F">
        <w:t xml:space="preserve">1965 and 1984 and </w:t>
      </w:r>
      <w:r>
        <w:t>21.2</w:t>
      </w:r>
      <w:r w:rsidR="00321E94">
        <w:t>% have been built since 1985;</w:t>
      </w:r>
      <w:r w:rsidR="003A6F13">
        <w:t xml:space="preserve"> </w:t>
      </w:r>
    </w:p>
    <w:p w:rsidR="0048062B" w:rsidRDefault="00F926B0" w:rsidP="00C76826">
      <w:pPr>
        <w:pStyle w:val="Maintext"/>
        <w:numPr>
          <w:ilvl w:val="0"/>
          <w:numId w:val="15"/>
        </w:numPr>
      </w:pPr>
      <w:r>
        <w:t>65.8</w:t>
      </w:r>
      <w:r w:rsidR="003A6F13">
        <w:t xml:space="preserve">% of properties are owner-occupied, </w:t>
      </w:r>
      <w:r>
        <w:t>20.3</w:t>
      </w:r>
      <w:r w:rsidR="0006738D">
        <w:t>% are re</w:t>
      </w:r>
      <w:r w:rsidR="000E6441">
        <w:t>nted from a social landlord</w:t>
      </w:r>
      <w:r>
        <w:t xml:space="preserve"> or an intermediate tenure (e.g. shared ownership) and</w:t>
      </w:r>
      <w:r w:rsidR="000E6441">
        <w:t xml:space="preserve"> </w:t>
      </w:r>
      <w:r>
        <w:t>13.8</w:t>
      </w:r>
      <w:r w:rsidR="0006738D">
        <w:t>% are private rented</w:t>
      </w:r>
      <w:r w:rsidR="003A6F13">
        <w:t>;</w:t>
      </w:r>
    </w:p>
    <w:p w:rsidR="003A6F13" w:rsidRDefault="003A6F13" w:rsidP="00C76826">
      <w:pPr>
        <w:pStyle w:val="Maintext"/>
        <w:numPr>
          <w:ilvl w:val="0"/>
          <w:numId w:val="15"/>
        </w:numPr>
      </w:pPr>
      <w:r w:rsidRPr="001B71ED">
        <w:t>There is a particularly strong aspiration for houses and some household type-specific aspirations which are explored in more detail in discussions relating to Core Output 6.</w:t>
      </w:r>
    </w:p>
    <w:p w:rsidR="00685565" w:rsidRDefault="00685565" w:rsidP="00685565">
      <w:pPr>
        <w:pStyle w:val="Maintext"/>
      </w:pPr>
      <w:r>
        <w:t>Stakeholders felt that there were a number of drivers of housing market demand across the County, these include:</w:t>
      </w:r>
    </w:p>
    <w:p w:rsidR="00685565" w:rsidRDefault="00685565" w:rsidP="007E46FA">
      <w:pPr>
        <w:pStyle w:val="Maintext"/>
        <w:numPr>
          <w:ilvl w:val="2"/>
          <w:numId w:val="29"/>
        </w:numPr>
        <w:tabs>
          <w:tab w:val="clear" w:pos="1363"/>
          <w:tab w:val="num" w:pos="1134"/>
        </w:tabs>
        <w:ind w:left="1134" w:hanging="425"/>
      </w:pPr>
      <w:r>
        <w:t>Geography (location);</w:t>
      </w:r>
    </w:p>
    <w:p w:rsidR="00685565" w:rsidRDefault="00685565" w:rsidP="007E46FA">
      <w:pPr>
        <w:pStyle w:val="Maintext"/>
        <w:numPr>
          <w:ilvl w:val="2"/>
          <w:numId w:val="29"/>
        </w:numPr>
        <w:tabs>
          <w:tab w:val="clear" w:pos="1363"/>
          <w:tab w:val="num" w:pos="1134"/>
        </w:tabs>
        <w:ind w:left="1134" w:hanging="425"/>
      </w:pPr>
      <w:r>
        <w:t xml:space="preserve">Economy (lack of employment opportunities); </w:t>
      </w:r>
    </w:p>
    <w:p w:rsidR="00685565" w:rsidRDefault="00685565" w:rsidP="007E46FA">
      <w:pPr>
        <w:pStyle w:val="Maintext"/>
        <w:numPr>
          <w:ilvl w:val="2"/>
          <w:numId w:val="29"/>
        </w:numPr>
        <w:tabs>
          <w:tab w:val="clear" w:pos="1363"/>
          <w:tab w:val="num" w:pos="1134"/>
        </w:tabs>
        <w:ind w:left="1134" w:hanging="425"/>
      </w:pPr>
      <w:r>
        <w:t>Demography and household change;</w:t>
      </w:r>
    </w:p>
    <w:p w:rsidR="00685565" w:rsidRDefault="00685565" w:rsidP="007E46FA">
      <w:pPr>
        <w:pStyle w:val="Maintext"/>
        <w:numPr>
          <w:ilvl w:val="2"/>
          <w:numId w:val="29"/>
        </w:numPr>
        <w:tabs>
          <w:tab w:val="clear" w:pos="1363"/>
          <w:tab w:val="num" w:pos="1134"/>
        </w:tabs>
        <w:ind w:left="1134" w:hanging="425"/>
      </w:pPr>
      <w:r>
        <w:t>Lack of access to mortgage finance (deposits);</w:t>
      </w:r>
    </w:p>
    <w:p w:rsidR="00685565" w:rsidRDefault="00685565" w:rsidP="007E46FA">
      <w:pPr>
        <w:pStyle w:val="Maintext"/>
        <w:numPr>
          <w:ilvl w:val="2"/>
          <w:numId w:val="29"/>
        </w:numPr>
        <w:tabs>
          <w:tab w:val="clear" w:pos="1363"/>
          <w:tab w:val="num" w:pos="1134"/>
        </w:tabs>
        <w:ind w:left="1134" w:hanging="425"/>
      </w:pPr>
      <w:r>
        <w:t xml:space="preserve">Land supply issues; and </w:t>
      </w:r>
    </w:p>
    <w:p w:rsidR="00685565" w:rsidRDefault="00685565" w:rsidP="007E46FA">
      <w:pPr>
        <w:pStyle w:val="Maintext"/>
        <w:numPr>
          <w:ilvl w:val="2"/>
          <w:numId w:val="29"/>
        </w:numPr>
        <w:tabs>
          <w:tab w:val="clear" w:pos="1363"/>
          <w:tab w:val="num" w:pos="1134"/>
        </w:tabs>
        <w:ind w:left="1134" w:hanging="425"/>
      </w:pPr>
      <w:r>
        <w:t xml:space="preserve">Current supply – lack of the right homes in the right locations. </w:t>
      </w:r>
    </w:p>
    <w:p w:rsidR="00685565" w:rsidRDefault="00685565" w:rsidP="00685565">
      <w:pPr>
        <w:pStyle w:val="Maintext"/>
        <w:rPr>
          <w:i/>
          <w:lang w:val="en-US"/>
        </w:rPr>
      </w:pPr>
      <w:r w:rsidRPr="00CF1CC6">
        <w:rPr>
          <w:lang w:val="en-US"/>
        </w:rPr>
        <w:t>In the short to medium term it was felt that current economic pressures within the market would continue</w:t>
      </w:r>
      <w:r>
        <w:rPr>
          <w:lang w:val="en-US"/>
        </w:rPr>
        <w:t>, ‘</w:t>
      </w:r>
      <w:r w:rsidRPr="00CF1CC6">
        <w:rPr>
          <w:i/>
          <w:lang w:val="en-US"/>
        </w:rPr>
        <w:t>namely, stagnation, with slow returns and little growth</w:t>
      </w:r>
      <w:r>
        <w:rPr>
          <w:i/>
          <w:lang w:val="en-US"/>
        </w:rPr>
        <w:t>’</w:t>
      </w:r>
      <w:r w:rsidRPr="00CF1CC6">
        <w:rPr>
          <w:i/>
          <w:lang w:val="en-US"/>
        </w:rPr>
        <w:t xml:space="preserve">. </w:t>
      </w:r>
      <w:r>
        <w:rPr>
          <w:lang w:val="en-US"/>
        </w:rPr>
        <w:t xml:space="preserve">Hopes were expressed that in the longer term this position would improve. </w:t>
      </w:r>
    </w:p>
    <w:p w:rsidR="00685565" w:rsidRDefault="00685565" w:rsidP="00685565">
      <w:pPr>
        <w:pStyle w:val="Maintext"/>
        <w:rPr>
          <w:i/>
          <w:lang w:val="en-US"/>
        </w:rPr>
      </w:pPr>
      <w:r w:rsidRPr="00685565">
        <w:rPr>
          <w:lang w:val="en-US"/>
        </w:rPr>
        <w:t xml:space="preserve">There was a consensus of opinion that building new homes for sale was a good thing and something that the Council should be facilitating in order to address issues associated with the poor quality of existing stock and to ‘diversify the housing offer’. </w:t>
      </w:r>
    </w:p>
    <w:p w:rsidR="00685565" w:rsidRPr="00685565" w:rsidRDefault="00685565" w:rsidP="00685565">
      <w:pPr>
        <w:pStyle w:val="Maintext"/>
        <w:rPr>
          <w:i/>
          <w:lang w:val="en-US"/>
        </w:rPr>
      </w:pPr>
      <w:r w:rsidRPr="00685565">
        <w:rPr>
          <w:lang w:val="en-US"/>
        </w:rPr>
        <w:t>The following market weaknesses were identified by stakeholders:</w:t>
      </w:r>
    </w:p>
    <w:p w:rsidR="00685565" w:rsidRPr="00114A05" w:rsidRDefault="00685565" w:rsidP="007E46FA">
      <w:pPr>
        <w:pStyle w:val="Maintext"/>
        <w:numPr>
          <w:ilvl w:val="0"/>
          <w:numId w:val="30"/>
        </w:numPr>
        <w:rPr>
          <w:i/>
          <w:lang w:val="en-US"/>
        </w:rPr>
      </w:pPr>
      <w:r>
        <w:rPr>
          <w:lang w:val="en-US"/>
        </w:rPr>
        <w:t>Over supply of old and poor quality housing stock;</w:t>
      </w:r>
    </w:p>
    <w:p w:rsidR="00685565" w:rsidRPr="00114A05" w:rsidRDefault="00685565" w:rsidP="007E46FA">
      <w:pPr>
        <w:pStyle w:val="Maintext"/>
        <w:numPr>
          <w:ilvl w:val="0"/>
          <w:numId w:val="30"/>
        </w:numPr>
        <w:rPr>
          <w:i/>
          <w:lang w:val="en-US"/>
        </w:rPr>
      </w:pPr>
      <w:r>
        <w:rPr>
          <w:lang w:val="en-US"/>
        </w:rPr>
        <w:t>Shortage of land in desirable locations;</w:t>
      </w:r>
    </w:p>
    <w:p w:rsidR="00685565" w:rsidRPr="00114A05" w:rsidRDefault="00685565" w:rsidP="007E46FA">
      <w:pPr>
        <w:pStyle w:val="Maintext"/>
        <w:numPr>
          <w:ilvl w:val="0"/>
          <w:numId w:val="30"/>
        </w:numPr>
        <w:rPr>
          <w:i/>
          <w:lang w:val="en-US"/>
        </w:rPr>
      </w:pPr>
      <w:r>
        <w:rPr>
          <w:lang w:val="en-US"/>
        </w:rPr>
        <w:t xml:space="preserve">Persistent areas of low demand that are unattractive to developers and investors; </w:t>
      </w:r>
    </w:p>
    <w:p w:rsidR="00685565" w:rsidRPr="00114A05" w:rsidRDefault="00685565" w:rsidP="007E46FA">
      <w:pPr>
        <w:pStyle w:val="Maintext"/>
        <w:numPr>
          <w:ilvl w:val="0"/>
          <w:numId w:val="30"/>
        </w:numPr>
        <w:rPr>
          <w:i/>
          <w:lang w:val="en-US"/>
        </w:rPr>
      </w:pPr>
      <w:r>
        <w:rPr>
          <w:lang w:val="en-US"/>
        </w:rPr>
        <w:t>Lack of investment;</w:t>
      </w:r>
    </w:p>
    <w:p w:rsidR="00685565" w:rsidRPr="00114A05" w:rsidRDefault="00685565" w:rsidP="007E46FA">
      <w:pPr>
        <w:pStyle w:val="Maintext"/>
        <w:numPr>
          <w:ilvl w:val="0"/>
          <w:numId w:val="30"/>
        </w:numPr>
        <w:rPr>
          <w:i/>
          <w:lang w:val="en-US"/>
        </w:rPr>
      </w:pPr>
      <w:r>
        <w:rPr>
          <w:lang w:val="en-US"/>
        </w:rPr>
        <w:t>Low incomes;</w:t>
      </w:r>
    </w:p>
    <w:p w:rsidR="00685565" w:rsidRPr="00114A05" w:rsidRDefault="00685565" w:rsidP="007E46FA">
      <w:pPr>
        <w:pStyle w:val="Maintext"/>
        <w:numPr>
          <w:ilvl w:val="0"/>
          <w:numId w:val="30"/>
        </w:numPr>
        <w:rPr>
          <w:lang w:val="en-US"/>
        </w:rPr>
      </w:pPr>
      <w:r w:rsidRPr="00114A05">
        <w:rPr>
          <w:lang w:val="en-US"/>
        </w:rPr>
        <w:t>Inconsistent private rented sector;</w:t>
      </w:r>
    </w:p>
    <w:p w:rsidR="00685565" w:rsidRPr="00114A05" w:rsidRDefault="00685565" w:rsidP="007E46FA">
      <w:pPr>
        <w:pStyle w:val="Maintext"/>
        <w:numPr>
          <w:ilvl w:val="0"/>
          <w:numId w:val="30"/>
        </w:numPr>
        <w:rPr>
          <w:lang w:val="en-US"/>
        </w:rPr>
      </w:pPr>
      <w:r w:rsidRPr="00114A05">
        <w:rPr>
          <w:lang w:val="en-US"/>
        </w:rPr>
        <w:t>High number of empty homes;</w:t>
      </w:r>
    </w:p>
    <w:p w:rsidR="00685565" w:rsidRPr="00114A05" w:rsidRDefault="00685565" w:rsidP="007E46FA">
      <w:pPr>
        <w:pStyle w:val="Maintext"/>
        <w:numPr>
          <w:ilvl w:val="0"/>
          <w:numId w:val="30"/>
        </w:numPr>
        <w:rPr>
          <w:lang w:val="en-US"/>
        </w:rPr>
      </w:pPr>
      <w:r w:rsidRPr="00114A05">
        <w:rPr>
          <w:lang w:val="en-US"/>
        </w:rPr>
        <w:t>Not enough executive housing;</w:t>
      </w:r>
    </w:p>
    <w:p w:rsidR="00685565" w:rsidRPr="00114A05" w:rsidRDefault="00685565" w:rsidP="007E46FA">
      <w:pPr>
        <w:pStyle w:val="Maintext"/>
        <w:numPr>
          <w:ilvl w:val="0"/>
          <w:numId w:val="30"/>
        </w:numPr>
        <w:rPr>
          <w:lang w:val="en-US"/>
        </w:rPr>
      </w:pPr>
      <w:r w:rsidRPr="00114A05">
        <w:rPr>
          <w:lang w:val="en-US"/>
        </w:rPr>
        <w:t>Polarised housing market</w:t>
      </w:r>
      <w:r>
        <w:rPr>
          <w:lang w:val="en-US"/>
        </w:rPr>
        <w:t>s</w:t>
      </w:r>
      <w:r w:rsidRPr="00114A05">
        <w:rPr>
          <w:lang w:val="en-US"/>
        </w:rPr>
        <w:t>;</w:t>
      </w:r>
      <w:r>
        <w:rPr>
          <w:lang w:val="en-US"/>
        </w:rPr>
        <w:t xml:space="preserve"> and</w:t>
      </w:r>
    </w:p>
    <w:p w:rsidR="00685565" w:rsidRPr="00114A05" w:rsidRDefault="00685565" w:rsidP="007E46FA">
      <w:pPr>
        <w:pStyle w:val="Maintext"/>
        <w:numPr>
          <w:ilvl w:val="0"/>
          <w:numId w:val="30"/>
        </w:numPr>
        <w:rPr>
          <w:lang w:val="en-US"/>
        </w:rPr>
      </w:pPr>
      <w:r w:rsidRPr="00114A05">
        <w:rPr>
          <w:lang w:val="en-US"/>
        </w:rPr>
        <w:t>Lack of mort</w:t>
      </w:r>
      <w:r>
        <w:rPr>
          <w:lang w:val="en-US"/>
        </w:rPr>
        <w:t xml:space="preserve">gage finance. </w:t>
      </w:r>
    </w:p>
    <w:p w:rsidR="00685565" w:rsidRDefault="00685565" w:rsidP="00685565">
      <w:pPr>
        <w:pStyle w:val="Maintext"/>
        <w:rPr>
          <w:i/>
          <w:lang w:val="en-US"/>
        </w:rPr>
      </w:pPr>
      <w:r>
        <w:rPr>
          <w:lang w:val="en-US"/>
        </w:rPr>
        <w:t xml:space="preserve">Concerns were raised about the impact of the current lack of development in terms of building pressure within the housing market, including increasing pressure on the private rented sector, which is felt to be inadequate to meet needs in terms of quality and quantity. </w:t>
      </w:r>
    </w:p>
    <w:p w:rsidR="00685565" w:rsidRPr="00685565" w:rsidRDefault="00685565" w:rsidP="00685565">
      <w:pPr>
        <w:pStyle w:val="Maintext"/>
        <w:rPr>
          <w:i/>
          <w:lang w:val="en-US"/>
        </w:rPr>
      </w:pPr>
      <w:r w:rsidRPr="00685565">
        <w:rPr>
          <w:lang w:val="en-US"/>
        </w:rPr>
        <w:t>Stakeholders advocated the following interventions:</w:t>
      </w:r>
    </w:p>
    <w:p w:rsidR="00685565" w:rsidRPr="00882E30" w:rsidRDefault="00685565" w:rsidP="007E46FA">
      <w:pPr>
        <w:pStyle w:val="Maintext"/>
        <w:numPr>
          <w:ilvl w:val="0"/>
          <w:numId w:val="31"/>
        </w:numPr>
        <w:rPr>
          <w:i/>
          <w:lang w:val="en-US"/>
        </w:rPr>
      </w:pPr>
      <w:r>
        <w:rPr>
          <w:lang w:val="en-US"/>
        </w:rPr>
        <w:t>Allow more housing development in high demand areas;</w:t>
      </w:r>
    </w:p>
    <w:p w:rsidR="00685565" w:rsidRPr="00882E30" w:rsidRDefault="00685565" w:rsidP="007E46FA">
      <w:pPr>
        <w:pStyle w:val="Maintext"/>
        <w:numPr>
          <w:ilvl w:val="0"/>
          <w:numId w:val="31"/>
        </w:numPr>
        <w:rPr>
          <w:i/>
          <w:lang w:val="en-US"/>
        </w:rPr>
      </w:pPr>
      <w:r>
        <w:rPr>
          <w:lang w:val="en-US"/>
        </w:rPr>
        <w:t>Source new capital investment to demolish and replace housing;</w:t>
      </w:r>
    </w:p>
    <w:p w:rsidR="00685565" w:rsidRPr="00882E30" w:rsidRDefault="00685565" w:rsidP="007E46FA">
      <w:pPr>
        <w:pStyle w:val="Maintext"/>
        <w:numPr>
          <w:ilvl w:val="0"/>
          <w:numId w:val="31"/>
        </w:numPr>
        <w:rPr>
          <w:i/>
          <w:lang w:val="en-US"/>
        </w:rPr>
      </w:pPr>
      <w:r>
        <w:rPr>
          <w:lang w:val="en-US"/>
        </w:rPr>
        <w:t xml:space="preserve">Bring empty homes back into use; </w:t>
      </w:r>
    </w:p>
    <w:p w:rsidR="00685565" w:rsidRPr="00882E30" w:rsidRDefault="00685565" w:rsidP="007E46FA">
      <w:pPr>
        <w:pStyle w:val="Maintext"/>
        <w:numPr>
          <w:ilvl w:val="0"/>
          <w:numId w:val="31"/>
        </w:numPr>
        <w:rPr>
          <w:i/>
          <w:lang w:val="en-US"/>
        </w:rPr>
      </w:pPr>
      <w:r>
        <w:rPr>
          <w:lang w:val="en-US"/>
        </w:rPr>
        <w:t>Selective licensing of landlords to improve standards in the private rented sector; and</w:t>
      </w:r>
    </w:p>
    <w:p w:rsidR="00685565" w:rsidRPr="00B2096A" w:rsidRDefault="00685565" w:rsidP="007E46FA">
      <w:pPr>
        <w:pStyle w:val="Maintext"/>
        <w:numPr>
          <w:ilvl w:val="0"/>
          <w:numId w:val="31"/>
        </w:numPr>
        <w:rPr>
          <w:i/>
          <w:lang w:val="en-US"/>
        </w:rPr>
      </w:pPr>
      <w:r>
        <w:rPr>
          <w:lang w:val="en-US"/>
        </w:rPr>
        <w:t xml:space="preserve">Action to stimulate economic growth and job creation. </w:t>
      </w:r>
    </w:p>
    <w:p w:rsidR="00BE4B05" w:rsidRDefault="00BE4B05">
      <w:pPr>
        <w:pStyle w:val="Heading2"/>
      </w:pPr>
      <w:bookmarkStart w:id="95" w:name="_Toc214433424"/>
      <w:bookmarkStart w:id="96" w:name="_Toc225941539"/>
    </w:p>
    <w:p w:rsidR="003A6F13" w:rsidRDefault="003A6F13">
      <w:pPr>
        <w:pStyle w:val="Heading2"/>
      </w:pPr>
      <w:bookmarkStart w:id="97" w:name="_Toc333507761"/>
      <w:r>
        <w:t xml:space="preserve">Core Output 3: </w:t>
      </w:r>
      <w:r>
        <w:tab/>
        <w:t>Future households</w:t>
      </w:r>
      <w:bookmarkEnd w:id="95"/>
      <w:bookmarkEnd w:id="96"/>
      <w:bookmarkEnd w:id="97"/>
    </w:p>
    <w:p w:rsidR="003A6F13" w:rsidRDefault="003A6F13"/>
    <w:p w:rsidR="0040453B" w:rsidRPr="0040453B" w:rsidRDefault="0040453B">
      <w:pPr>
        <w:rPr>
          <w:b/>
        </w:rPr>
      </w:pPr>
      <w:r w:rsidRPr="0040453B">
        <w:rPr>
          <w:b/>
        </w:rPr>
        <w:tab/>
        <w:t>Household projections</w:t>
      </w:r>
    </w:p>
    <w:p w:rsidR="003A6F13" w:rsidRDefault="0040453B" w:rsidP="00442816">
      <w:pPr>
        <w:pStyle w:val="Maintext"/>
      </w:pPr>
      <w:r w:rsidRPr="00E4595A">
        <w:t xml:space="preserve">Estimates of the number of future households </w:t>
      </w:r>
      <w:r w:rsidR="005C4AB8">
        <w:t xml:space="preserve">have been derived from Durham </w:t>
      </w:r>
      <w:r w:rsidR="00F926B0">
        <w:t>County Council 2011</w:t>
      </w:r>
      <w:r w:rsidR="00AE4DA1">
        <w:t>-</w:t>
      </w:r>
      <w:r w:rsidR="005C4AB8">
        <w:t xml:space="preserve">based projections. These suggest </w:t>
      </w:r>
      <w:r w:rsidRPr="00E4595A">
        <w:t xml:space="preserve">that the number of households </w:t>
      </w:r>
      <w:r>
        <w:t xml:space="preserve">across </w:t>
      </w:r>
      <w:r w:rsidR="00A34987">
        <w:t xml:space="preserve">County Durham </w:t>
      </w:r>
      <w:r>
        <w:t xml:space="preserve">is </w:t>
      </w:r>
      <w:r w:rsidRPr="00E4595A">
        <w:t xml:space="preserve">expected to increase from </w:t>
      </w:r>
      <w:r w:rsidR="00235B49">
        <w:t>223,636 in 2011</w:t>
      </w:r>
      <w:r w:rsidRPr="00E4595A">
        <w:t xml:space="preserve"> </w:t>
      </w:r>
      <w:r w:rsidR="00442816">
        <w:t xml:space="preserve">to </w:t>
      </w:r>
      <w:r w:rsidR="00235B49">
        <w:t>246,134</w:t>
      </w:r>
      <w:r w:rsidRPr="00E4595A">
        <w:t xml:space="preserve"> by 2</w:t>
      </w:r>
      <w:r w:rsidR="00442816">
        <w:t>030</w:t>
      </w:r>
      <w:r w:rsidR="00F94F10">
        <w:t xml:space="preserve"> (an increase of </w:t>
      </w:r>
      <w:r w:rsidR="00235B49">
        <w:t>10.1</w:t>
      </w:r>
      <w:r w:rsidR="00F94F10">
        <w:t>%)</w:t>
      </w:r>
      <w:r>
        <w:t>. This equates to an average</w:t>
      </w:r>
      <w:r w:rsidR="00F94F10">
        <w:t xml:space="preserve"> annual increas</w:t>
      </w:r>
      <w:r w:rsidR="00442816">
        <w:t>e of around 1,1</w:t>
      </w:r>
      <w:r w:rsidR="00235B49">
        <w:t>25</w:t>
      </w:r>
      <w:r w:rsidR="00442816">
        <w:t xml:space="preserve"> households to 2030</w:t>
      </w:r>
      <w:r w:rsidR="005C4AB8">
        <w:t xml:space="preserve">. </w:t>
      </w:r>
    </w:p>
    <w:p w:rsidR="0040453B" w:rsidRDefault="0040453B" w:rsidP="0040453B">
      <w:pPr>
        <w:pStyle w:val="Maintext"/>
      </w:pPr>
      <w:r w:rsidRPr="0040453B">
        <w:rPr>
          <w:rFonts w:cs="Arial"/>
        </w:rPr>
        <w:t>From the outset, it is important to note that household projections do not automatically translate into housing targets. Determining an appropriate housing target is much more complex than simply reflecting household projections. Other factors, such as deliverability constraints and strategic policies also need to be taken into account. On balance, targets need to be set with the strategic vision of the Council</w:t>
      </w:r>
      <w:r>
        <w:rPr>
          <w:rFonts w:cs="Arial"/>
        </w:rPr>
        <w:t>s</w:t>
      </w:r>
      <w:r w:rsidRPr="0040453B">
        <w:rPr>
          <w:rFonts w:cs="Arial"/>
        </w:rPr>
        <w:t xml:space="preserve"> in mind, coupled with a realistic assessment of what is deliverable and over what timeframe.</w:t>
      </w:r>
    </w:p>
    <w:p w:rsidR="0040453B" w:rsidRDefault="0040453B" w:rsidP="0040453B">
      <w:pPr>
        <w:pStyle w:val="Maintext"/>
      </w:pPr>
      <w:r>
        <w:t xml:space="preserve">The </w:t>
      </w:r>
      <w:r w:rsidR="0033088B">
        <w:t xml:space="preserve">Durham </w:t>
      </w:r>
      <w:r w:rsidR="00235B49">
        <w:t>County Council 2011</w:t>
      </w:r>
      <w:r w:rsidR="00AE4DA1">
        <w:t>-</w:t>
      </w:r>
      <w:r w:rsidR="0033088B">
        <w:t>based household</w:t>
      </w:r>
      <w:r>
        <w:t xml:space="preserve"> projections offer an insight into how household change may occur within </w:t>
      </w:r>
      <w:r w:rsidR="00BA36DF">
        <w:t>County Durham. The 2012</w:t>
      </w:r>
      <w:r>
        <w:t xml:space="preserve"> household survey </w:t>
      </w:r>
      <w:r w:rsidR="00235B49">
        <w:t xml:space="preserve">(rebased to the 2011 census) </w:t>
      </w:r>
      <w:r>
        <w:t>has established the tenure profile of households by age group of ho</w:t>
      </w:r>
      <w:r w:rsidR="00BA36DF">
        <w:t>usehold reference person in 2012</w:t>
      </w:r>
      <w:r>
        <w:t>. Assuming the proportions of households in particular tenures by age group stay the same, it is possible to estimate likely household change broken down by open market and affordable tenures. This is helpful in gauging the likely proportions requiring different tenure options.</w:t>
      </w:r>
    </w:p>
    <w:p w:rsidR="0040453B" w:rsidRDefault="0040453B" w:rsidP="0040453B">
      <w:pPr>
        <w:pStyle w:val="Maintext"/>
      </w:pPr>
      <w:r>
        <w:t>Detailed analysis is presented in Technical Appendix C and is summa</w:t>
      </w:r>
      <w:r w:rsidR="001E3095">
        <w:t>rised in Table 4.13</w:t>
      </w:r>
      <w:r>
        <w:t>. In summary, analysis suggests:</w:t>
      </w:r>
    </w:p>
    <w:p w:rsidR="0033088B" w:rsidRDefault="0033088B" w:rsidP="007E46FA">
      <w:pPr>
        <w:pStyle w:val="Maintext"/>
        <w:numPr>
          <w:ilvl w:val="2"/>
          <w:numId w:val="24"/>
        </w:numPr>
      </w:pPr>
      <w:r>
        <w:t xml:space="preserve">The total number of households is expected to increase by </w:t>
      </w:r>
      <w:r w:rsidR="00235B49">
        <w:t>22,500</w:t>
      </w:r>
      <w:r>
        <w:t xml:space="preserve"> across County Durham</w:t>
      </w:r>
      <w:r w:rsidR="00381E1B">
        <w:t>. As part of work currently in development to integrate demographic and economic forecasts, this is expected to represent the lower end of the range.</w:t>
      </w:r>
    </w:p>
    <w:p w:rsidR="0033088B" w:rsidRDefault="0033088B" w:rsidP="007E46FA">
      <w:pPr>
        <w:pStyle w:val="Maintext"/>
        <w:numPr>
          <w:ilvl w:val="2"/>
          <w:numId w:val="24"/>
        </w:numPr>
      </w:pPr>
      <w:r>
        <w:t xml:space="preserve">The overall increase is attributed to an increase in the proportion of households with a HRP aged 65 and over which will increase by </w:t>
      </w:r>
      <w:r w:rsidR="00235B49">
        <w:t>23,092. There will be an increase of 7,426 households where the HRP is less than 45 years old, but</w:t>
      </w:r>
      <w:r>
        <w:t xml:space="preserve"> a reduction </w:t>
      </w:r>
      <w:r w:rsidR="00235B49">
        <w:t xml:space="preserve">of 8,019 </w:t>
      </w:r>
      <w:r>
        <w:t>in t</w:t>
      </w:r>
      <w:r w:rsidR="00235B49">
        <w:t>he number of households with a HRP aged 45-64</w:t>
      </w:r>
      <w:r>
        <w:t>.</w:t>
      </w:r>
    </w:p>
    <w:p w:rsidR="0033088B" w:rsidRDefault="0033088B" w:rsidP="0033088B">
      <w:pPr>
        <w:pStyle w:val="Maintext"/>
        <w:numPr>
          <w:ilvl w:val="2"/>
          <w:numId w:val="10"/>
        </w:numPr>
      </w:pPr>
      <w:r>
        <w:t>Analys</w:t>
      </w:r>
      <w:r w:rsidR="008C7318">
        <w:t>is suggests an increase of 1,</w:t>
      </w:r>
      <w:r w:rsidR="00235B49">
        <w:t>125</w:t>
      </w:r>
      <w:r>
        <w:t xml:space="preserve"> households </w:t>
      </w:r>
      <w:r w:rsidR="00EB0946">
        <w:t>each year across County Durham. As explained in Appendix C, this translates to</w:t>
      </w:r>
      <w:r>
        <w:t xml:space="preserve"> an annual increase</w:t>
      </w:r>
      <w:r w:rsidR="00EB0946">
        <w:t xml:space="preserve"> of 1,174 dwellings, with increased demand for 884 open market and 290 affordable/intermediate tenure dwellings</w:t>
      </w:r>
      <w:r>
        <w:t>.</w:t>
      </w:r>
    </w:p>
    <w:p w:rsidR="00BA36DF" w:rsidRDefault="00BA36DF" w:rsidP="00C0443D">
      <w:pPr>
        <w:pStyle w:val="Maintext"/>
        <w:numPr>
          <w:ilvl w:val="0"/>
          <w:numId w:val="0"/>
        </w:numPr>
        <w:rPr>
          <w:b/>
        </w:rPr>
      </w:pPr>
    </w:p>
    <w:p w:rsidR="00235B49" w:rsidRDefault="00235B49">
      <w:pPr>
        <w:spacing w:before="0" w:after="0"/>
        <w:rPr>
          <w:b/>
        </w:rPr>
      </w:pPr>
      <w:r>
        <w:rPr>
          <w:b/>
        </w:rPr>
        <w:br w:type="page"/>
      </w:r>
    </w:p>
    <w:p w:rsidR="00BE4B05" w:rsidRDefault="001E3095" w:rsidP="003B442E">
      <w:pPr>
        <w:pStyle w:val="Maintext"/>
        <w:numPr>
          <w:ilvl w:val="0"/>
          <w:numId w:val="0"/>
        </w:numPr>
        <w:ind w:left="709"/>
      </w:pPr>
      <w:r>
        <w:rPr>
          <w:b/>
        </w:rPr>
        <w:t>Table 4.13</w:t>
      </w:r>
      <w:r w:rsidR="00235B49">
        <w:rPr>
          <w:b/>
        </w:rPr>
        <w:tab/>
      </w:r>
      <w:r w:rsidR="00235B49">
        <w:t>Household Projections by Household Reference Person</w:t>
      </w:r>
    </w:p>
    <w:tbl>
      <w:tblPr>
        <w:tblW w:w="5528" w:type="dxa"/>
        <w:tblInd w:w="817" w:type="dxa"/>
        <w:tblLook w:val="04A0" w:firstRow="1" w:lastRow="0" w:firstColumn="1" w:lastColumn="0" w:noHBand="0" w:noVBand="1"/>
      </w:tblPr>
      <w:tblGrid>
        <w:gridCol w:w="1559"/>
        <w:gridCol w:w="1985"/>
        <w:gridCol w:w="1984"/>
      </w:tblGrid>
      <w:tr w:rsidR="00235B49" w:rsidRPr="00235B49" w:rsidTr="00235B49">
        <w:trPr>
          <w:trHeight w:val="270"/>
        </w:trPr>
        <w:tc>
          <w:tcPr>
            <w:tcW w:w="5528" w:type="dxa"/>
            <w:gridSpan w:val="3"/>
            <w:tcBorders>
              <w:top w:val="single" w:sz="4" w:space="0" w:color="auto"/>
              <w:left w:val="single" w:sz="4" w:space="0" w:color="auto"/>
              <w:bottom w:val="nil"/>
              <w:right w:val="single" w:sz="4" w:space="0" w:color="000000"/>
            </w:tcBorders>
            <w:shd w:val="clear" w:color="000000" w:fill="008080"/>
            <w:vAlign w:val="bottom"/>
            <w:hideMark/>
          </w:tcPr>
          <w:p w:rsidR="00235B49" w:rsidRPr="00235B49" w:rsidRDefault="00235B49" w:rsidP="00235B49">
            <w:pPr>
              <w:spacing w:before="0" w:after="0"/>
              <w:rPr>
                <w:rFonts w:cs="Arial"/>
                <w:b/>
                <w:bCs/>
                <w:color w:val="FFFFFF"/>
                <w:sz w:val="22"/>
                <w:szCs w:val="22"/>
                <w:lang w:eastAsia="en-GB"/>
              </w:rPr>
            </w:pPr>
            <w:r w:rsidRPr="00235B49">
              <w:rPr>
                <w:rFonts w:cs="Arial"/>
                <w:b/>
                <w:bCs/>
                <w:color w:val="FFFFFF"/>
                <w:sz w:val="22"/>
                <w:szCs w:val="22"/>
                <w:lang w:eastAsia="en-GB"/>
              </w:rPr>
              <w:t>Change in no. households by HRP 2011-2030</w:t>
            </w:r>
          </w:p>
        </w:tc>
      </w:tr>
      <w:tr w:rsidR="00235B49" w:rsidRPr="00235B49" w:rsidTr="00235B49">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b/>
                <w:bCs/>
                <w:sz w:val="22"/>
                <w:szCs w:val="22"/>
                <w:lang w:eastAsia="en-GB"/>
              </w:rPr>
            </w:pPr>
            <w:r w:rsidRPr="00235B49">
              <w:rPr>
                <w:rFonts w:cs="Arial"/>
                <w:b/>
                <w:bCs/>
                <w:sz w:val="22"/>
                <w:szCs w:val="22"/>
                <w:lang w:eastAsia="en-GB"/>
              </w:rPr>
              <w:t>HRP</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b/>
                <w:bCs/>
                <w:sz w:val="22"/>
                <w:szCs w:val="22"/>
                <w:lang w:eastAsia="en-GB"/>
              </w:rPr>
            </w:pPr>
            <w:r w:rsidRPr="00235B49">
              <w:rPr>
                <w:rFonts w:cs="Arial"/>
                <w:b/>
                <w:bCs/>
                <w:sz w:val="22"/>
                <w:szCs w:val="22"/>
                <w:lang w:eastAsia="en-GB"/>
              </w:rPr>
              <w:t>Total change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b/>
                <w:bCs/>
                <w:sz w:val="22"/>
                <w:szCs w:val="22"/>
                <w:lang w:eastAsia="en-GB"/>
              </w:rPr>
            </w:pPr>
            <w:r w:rsidRPr="00235B49">
              <w:rPr>
                <w:rFonts w:cs="Arial"/>
                <w:b/>
                <w:bCs/>
                <w:sz w:val="22"/>
                <w:szCs w:val="22"/>
                <w:lang w:eastAsia="en-GB"/>
              </w:rPr>
              <w:t>Annual</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Under 25</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3932</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197</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25-34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3143</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157</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35-44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351</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18</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45-54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-5891</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-295</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55-64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-2128</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-106</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65-74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5332</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267</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75-84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9533</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477</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85+</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8226</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411</w:t>
            </w:r>
          </w:p>
        </w:tc>
      </w:tr>
      <w:tr w:rsidR="00235B49" w:rsidRPr="00235B49" w:rsidTr="00235B49">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b/>
                <w:bCs/>
                <w:sz w:val="22"/>
                <w:szCs w:val="22"/>
                <w:lang w:eastAsia="en-GB"/>
              </w:rPr>
            </w:pPr>
            <w:r w:rsidRPr="00235B49">
              <w:rPr>
                <w:rFonts w:cs="Arial"/>
                <w:b/>
                <w:bCs/>
                <w:sz w:val="22"/>
                <w:szCs w:val="22"/>
                <w:lang w:eastAsia="en-GB"/>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b/>
                <w:bCs/>
                <w:sz w:val="22"/>
                <w:szCs w:val="22"/>
                <w:lang w:eastAsia="en-GB"/>
              </w:rPr>
            </w:pPr>
            <w:r w:rsidRPr="00235B49">
              <w:rPr>
                <w:rFonts w:cs="Arial"/>
                <w:b/>
                <w:bCs/>
                <w:sz w:val="22"/>
                <w:szCs w:val="22"/>
                <w:lang w:eastAsia="en-GB"/>
              </w:rPr>
              <w:t>22498</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b/>
                <w:bCs/>
                <w:sz w:val="22"/>
                <w:szCs w:val="22"/>
                <w:lang w:eastAsia="en-GB"/>
              </w:rPr>
            </w:pPr>
            <w:r w:rsidRPr="00235B49">
              <w:rPr>
                <w:rFonts w:cs="Arial"/>
                <w:b/>
                <w:bCs/>
                <w:sz w:val="22"/>
                <w:szCs w:val="22"/>
                <w:lang w:eastAsia="en-GB"/>
              </w:rPr>
              <w:t>1125</w:t>
            </w:r>
          </w:p>
        </w:tc>
      </w:tr>
      <w:tr w:rsidR="00235B49" w:rsidRPr="00235B49" w:rsidTr="00235B49">
        <w:trPr>
          <w:trHeight w:val="300"/>
        </w:trPr>
        <w:tc>
          <w:tcPr>
            <w:tcW w:w="1559" w:type="dxa"/>
            <w:tcBorders>
              <w:top w:val="nil"/>
              <w:left w:val="single" w:sz="4" w:space="0" w:color="auto"/>
              <w:bottom w:val="single" w:sz="4" w:space="0" w:color="auto"/>
              <w:right w:val="nil"/>
            </w:tcBorders>
            <w:shd w:val="clear" w:color="auto" w:fill="auto"/>
            <w:noWrap/>
            <w:vAlign w:val="bottom"/>
            <w:hideMark/>
          </w:tcPr>
          <w:p w:rsidR="00235B49" w:rsidRPr="00235B49" w:rsidRDefault="00235B49" w:rsidP="00235B49">
            <w:pPr>
              <w:spacing w:before="0" w:after="0"/>
              <w:rPr>
                <w:rFonts w:cs="Arial"/>
                <w:b/>
                <w:bCs/>
                <w:sz w:val="22"/>
                <w:szCs w:val="22"/>
                <w:lang w:eastAsia="en-GB"/>
              </w:rPr>
            </w:pPr>
          </w:p>
        </w:tc>
        <w:tc>
          <w:tcPr>
            <w:tcW w:w="1985" w:type="dxa"/>
            <w:tcBorders>
              <w:top w:val="nil"/>
              <w:left w:val="nil"/>
              <w:bottom w:val="single" w:sz="4" w:space="0" w:color="auto"/>
              <w:right w:val="nil"/>
            </w:tcBorders>
            <w:shd w:val="clear" w:color="auto" w:fill="auto"/>
            <w:noWrap/>
            <w:vAlign w:val="bottom"/>
            <w:hideMark/>
          </w:tcPr>
          <w:p w:rsidR="00235B49" w:rsidRPr="00235B49" w:rsidRDefault="00235B49" w:rsidP="00235B49">
            <w:pPr>
              <w:spacing w:before="0" w:after="0"/>
              <w:jc w:val="right"/>
              <w:rPr>
                <w:rFonts w:cs="Arial"/>
                <w:b/>
                <w:bCs/>
                <w:sz w:val="22"/>
                <w:szCs w:val="22"/>
                <w:lang w:eastAsia="en-GB"/>
              </w:rPr>
            </w:pPr>
            <w:r w:rsidRPr="00235B49">
              <w:rPr>
                <w:rFonts w:cs="Arial"/>
                <w:b/>
                <w:bCs/>
                <w:sz w:val="22"/>
                <w:szCs w:val="22"/>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right"/>
              <w:rPr>
                <w:rFonts w:cs="Arial"/>
                <w:b/>
                <w:bCs/>
                <w:sz w:val="22"/>
                <w:szCs w:val="22"/>
                <w:lang w:eastAsia="en-GB"/>
              </w:rPr>
            </w:pPr>
            <w:r w:rsidRPr="00235B49">
              <w:rPr>
                <w:rFonts w:cs="Arial"/>
                <w:b/>
                <w:bCs/>
                <w:sz w:val="22"/>
                <w:szCs w:val="22"/>
                <w:lang w:eastAsia="en-GB"/>
              </w:rPr>
              <w:t> </w:t>
            </w:r>
          </w:p>
        </w:tc>
      </w:tr>
      <w:tr w:rsidR="00235B49" w:rsidRPr="00235B49" w:rsidTr="00235B49">
        <w:trPr>
          <w:trHeight w:val="300"/>
        </w:trPr>
        <w:tc>
          <w:tcPr>
            <w:tcW w:w="1559" w:type="dxa"/>
            <w:tcBorders>
              <w:top w:val="nil"/>
              <w:left w:val="single" w:sz="4" w:space="0" w:color="auto"/>
              <w:bottom w:val="single" w:sz="4" w:space="0" w:color="auto"/>
              <w:right w:val="nil"/>
            </w:tcBorders>
            <w:shd w:val="clear" w:color="auto" w:fill="auto"/>
            <w:noWrap/>
            <w:vAlign w:val="bottom"/>
            <w:hideMark/>
          </w:tcPr>
          <w:p w:rsidR="00235B49" w:rsidRPr="00235B49" w:rsidRDefault="00235B49" w:rsidP="00235B49">
            <w:pPr>
              <w:spacing w:before="0" w:after="0"/>
              <w:rPr>
                <w:rFonts w:cs="Arial"/>
                <w:b/>
                <w:bCs/>
                <w:sz w:val="22"/>
                <w:szCs w:val="22"/>
                <w:lang w:eastAsia="en-GB"/>
              </w:rPr>
            </w:pPr>
            <w:r w:rsidRPr="00235B49">
              <w:rPr>
                <w:rFonts w:cs="Arial"/>
                <w:b/>
                <w:bCs/>
                <w:sz w:val="22"/>
                <w:szCs w:val="22"/>
                <w:lang w:eastAsia="en-GB"/>
              </w:rPr>
              <w:t>Summary </w:t>
            </w:r>
          </w:p>
        </w:tc>
        <w:tc>
          <w:tcPr>
            <w:tcW w:w="1985" w:type="dxa"/>
            <w:tcBorders>
              <w:top w:val="nil"/>
              <w:left w:val="nil"/>
              <w:bottom w:val="single" w:sz="4" w:space="0" w:color="auto"/>
              <w:right w:val="nil"/>
            </w:tcBorders>
            <w:shd w:val="clear" w:color="auto" w:fill="auto"/>
            <w:noWrap/>
            <w:vAlign w:val="bottom"/>
            <w:hideMark/>
          </w:tcPr>
          <w:p w:rsidR="00235B49" w:rsidRPr="00235B49" w:rsidRDefault="00235B49" w:rsidP="00235B49">
            <w:pPr>
              <w:spacing w:before="0" w:after="0"/>
              <w:jc w:val="right"/>
              <w:rPr>
                <w:rFonts w:cs="Arial"/>
                <w:b/>
                <w:bCs/>
                <w:sz w:val="22"/>
                <w:szCs w:val="22"/>
                <w:lang w:eastAsia="en-GB"/>
              </w:rPr>
            </w:pPr>
            <w:r w:rsidRPr="00235B49">
              <w:rPr>
                <w:rFonts w:cs="Arial"/>
                <w:b/>
                <w:bCs/>
                <w:sz w:val="22"/>
                <w:szCs w:val="22"/>
                <w:lang w:eastAsia="en-GB"/>
              </w:rPr>
              <w:t> </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right"/>
              <w:rPr>
                <w:rFonts w:cs="Arial"/>
                <w:b/>
                <w:bCs/>
                <w:sz w:val="22"/>
                <w:szCs w:val="22"/>
                <w:lang w:eastAsia="en-GB"/>
              </w:rPr>
            </w:pPr>
            <w:r w:rsidRPr="00235B49">
              <w:rPr>
                <w:rFonts w:cs="Arial"/>
                <w:b/>
                <w:bCs/>
                <w:sz w:val="22"/>
                <w:szCs w:val="22"/>
                <w:lang w:eastAsia="en-GB"/>
              </w:rPr>
              <w:t> </w:t>
            </w:r>
          </w:p>
        </w:tc>
      </w:tr>
      <w:tr w:rsidR="00235B49" w:rsidRPr="00235B49" w:rsidTr="00235B49">
        <w:trPr>
          <w:trHeight w:val="28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2"/>
                <w:szCs w:val="22"/>
                <w:lang w:eastAsia="en-GB"/>
              </w:rPr>
            </w:pPr>
            <w:r w:rsidRPr="00235B49">
              <w:rPr>
                <w:rFonts w:cs="Arial"/>
                <w:sz w:val="22"/>
                <w:szCs w:val="22"/>
                <w:lang w:eastAsia="en-GB"/>
              </w:rPr>
              <w:t>&lt;44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7426</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2"/>
                <w:szCs w:val="22"/>
                <w:lang w:eastAsia="en-GB"/>
              </w:rPr>
            </w:pPr>
            <w:r w:rsidRPr="00235B49">
              <w:rPr>
                <w:rFonts w:cs="Arial"/>
                <w:sz w:val="22"/>
                <w:szCs w:val="22"/>
                <w:lang w:eastAsia="en-GB"/>
              </w:rPr>
              <w:t>371</w:t>
            </w:r>
          </w:p>
        </w:tc>
      </w:tr>
      <w:tr w:rsidR="00235B49" w:rsidRPr="00235B49" w:rsidTr="00235B49">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45-64</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0"/>
                <w:szCs w:val="20"/>
                <w:lang w:eastAsia="en-GB"/>
              </w:rPr>
            </w:pPr>
            <w:r w:rsidRPr="00235B49">
              <w:rPr>
                <w:rFonts w:cs="Arial"/>
                <w:sz w:val="20"/>
                <w:szCs w:val="20"/>
                <w:lang w:eastAsia="en-GB"/>
              </w:rPr>
              <w:t>-8019</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0"/>
                <w:szCs w:val="20"/>
                <w:lang w:eastAsia="en-GB"/>
              </w:rPr>
            </w:pPr>
            <w:r w:rsidRPr="00235B49">
              <w:rPr>
                <w:rFonts w:cs="Arial"/>
                <w:sz w:val="20"/>
                <w:szCs w:val="20"/>
                <w:lang w:eastAsia="en-GB"/>
              </w:rPr>
              <w:t>-401</w:t>
            </w:r>
          </w:p>
        </w:tc>
      </w:tr>
      <w:tr w:rsidR="00235B49" w:rsidRPr="00235B49" w:rsidTr="00235B49">
        <w:trPr>
          <w:trHeight w:val="255"/>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sz w:val="20"/>
                <w:szCs w:val="20"/>
                <w:lang w:eastAsia="en-GB"/>
              </w:rPr>
            </w:pPr>
            <w:r w:rsidRPr="00235B49">
              <w:rPr>
                <w:rFonts w:cs="Arial"/>
                <w:sz w:val="20"/>
                <w:szCs w:val="20"/>
                <w:lang w:eastAsia="en-GB"/>
              </w:rPr>
              <w:t>65+</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0"/>
                <w:szCs w:val="20"/>
                <w:lang w:eastAsia="en-GB"/>
              </w:rPr>
            </w:pPr>
            <w:r w:rsidRPr="00235B49">
              <w:rPr>
                <w:rFonts w:cs="Arial"/>
                <w:sz w:val="20"/>
                <w:szCs w:val="20"/>
                <w:lang w:eastAsia="en-GB"/>
              </w:rPr>
              <w:t>23092</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sz w:val="20"/>
                <w:szCs w:val="20"/>
                <w:lang w:eastAsia="en-GB"/>
              </w:rPr>
            </w:pPr>
            <w:r w:rsidRPr="00235B49">
              <w:rPr>
                <w:rFonts w:cs="Arial"/>
                <w:sz w:val="20"/>
                <w:szCs w:val="20"/>
                <w:lang w:eastAsia="en-GB"/>
              </w:rPr>
              <w:t>1155</w:t>
            </w:r>
          </w:p>
        </w:tc>
      </w:tr>
      <w:tr w:rsidR="00235B49" w:rsidRPr="00235B49" w:rsidTr="00235B49">
        <w:trPr>
          <w:trHeight w:val="30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rPr>
                <w:rFonts w:cs="Arial"/>
                <w:b/>
                <w:bCs/>
                <w:color w:val="000000"/>
                <w:sz w:val="22"/>
                <w:szCs w:val="22"/>
                <w:lang w:eastAsia="en-GB"/>
              </w:rPr>
            </w:pPr>
            <w:r w:rsidRPr="00235B49">
              <w:rPr>
                <w:rFonts w:cs="Arial"/>
                <w:b/>
                <w:bCs/>
                <w:color w:val="000000"/>
                <w:sz w:val="22"/>
                <w:szCs w:val="22"/>
                <w:lang w:eastAsia="en-GB"/>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b/>
                <w:bCs/>
                <w:color w:val="000000"/>
                <w:sz w:val="22"/>
                <w:szCs w:val="22"/>
                <w:lang w:eastAsia="en-GB"/>
              </w:rPr>
            </w:pPr>
            <w:r w:rsidRPr="00235B49">
              <w:rPr>
                <w:rFonts w:cs="Arial"/>
                <w:b/>
                <w:bCs/>
                <w:color w:val="000000"/>
                <w:sz w:val="22"/>
                <w:szCs w:val="22"/>
                <w:lang w:eastAsia="en-GB"/>
              </w:rPr>
              <w:t>22498</w:t>
            </w:r>
          </w:p>
        </w:tc>
        <w:tc>
          <w:tcPr>
            <w:tcW w:w="1984" w:type="dxa"/>
            <w:tcBorders>
              <w:top w:val="nil"/>
              <w:left w:val="nil"/>
              <w:bottom w:val="single" w:sz="4" w:space="0" w:color="auto"/>
              <w:right w:val="single" w:sz="4" w:space="0" w:color="auto"/>
            </w:tcBorders>
            <w:shd w:val="clear" w:color="auto" w:fill="auto"/>
            <w:noWrap/>
            <w:vAlign w:val="bottom"/>
            <w:hideMark/>
          </w:tcPr>
          <w:p w:rsidR="00235B49" w:rsidRPr="00235B49" w:rsidRDefault="00235B49" w:rsidP="00235B49">
            <w:pPr>
              <w:spacing w:before="0" w:after="0"/>
              <w:jc w:val="center"/>
              <w:rPr>
                <w:rFonts w:cs="Arial"/>
                <w:b/>
                <w:bCs/>
                <w:color w:val="000000"/>
                <w:sz w:val="22"/>
                <w:szCs w:val="22"/>
                <w:lang w:eastAsia="en-GB"/>
              </w:rPr>
            </w:pPr>
            <w:r w:rsidRPr="00235B49">
              <w:rPr>
                <w:rFonts w:cs="Arial"/>
                <w:b/>
                <w:bCs/>
                <w:color w:val="000000"/>
                <w:sz w:val="22"/>
                <w:szCs w:val="22"/>
                <w:lang w:eastAsia="en-GB"/>
              </w:rPr>
              <w:t>1125</w:t>
            </w:r>
          </w:p>
        </w:tc>
      </w:tr>
    </w:tbl>
    <w:p w:rsidR="00235B49" w:rsidRDefault="00235B49" w:rsidP="003B442E">
      <w:pPr>
        <w:pStyle w:val="Maintext"/>
        <w:numPr>
          <w:ilvl w:val="0"/>
          <w:numId w:val="0"/>
        </w:numPr>
        <w:ind w:left="709"/>
        <w:rPr>
          <w:sz w:val="20"/>
          <w:szCs w:val="20"/>
        </w:rPr>
      </w:pPr>
      <w:r w:rsidRPr="001E3095">
        <w:rPr>
          <w:sz w:val="20"/>
          <w:szCs w:val="20"/>
        </w:rPr>
        <w:t xml:space="preserve">Source: </w:t>
      </w:r>
      <w:r w:rsidR="001E3095" w:rsidRPr="001E3095">
        <w:rPr>
          <w:sz w:val="20"/>
          <w:szCs w:val="20"/>
        </w:rPr>
        <w:t>2011-based DCC household projections</w:t>
      </w:r>
    </w:p>
    <w:p w:rsidR="00235B49" w:rsidRPr="00235B49" w:rsidRDefault="00235B49" w:rsidP="003B442E">
      <w:pPr>
        <w:pStyle w:val="Maintext"/>
        <w:numPr>
          <w:ilvl w:val="0"/>
          <w:numId w:val="0"/>
        </w:numPr>
        <w:ind w:left="709"/>
      </w:pPr>
    </w:p>
    <w:p w:rsidR="00BE4B05" w:rsidRDefault="00E72B66" w:rsidP="00E374CB">
      <w:pPr>
        <w:pStyle w:val="Heading2"/>
        <w:ind w:left="0"/>
      </w:pPr>
      <w:bookmarkStart w:id="98" w:name="_Toc214433425"/>
      <w:bookmarkStart w:id="99" w:name="_Toc225941540"/>
      <w:r>
        <w:rPr>
          <w:rFonts w:cs="Times New Roman"/>
          <w:b w:val="0"/>
          <w:iCs w:val="0"/>
          <w:color w:val="auto"/>
          <w:sz w:val="24"/>
          <w:szCs w:val="24"/>
        </w:rPr>
        <w:tab/>
      </w:r>
      <w:bookmarkStart w:id="100" w:name="_Toc333507762"/>
      <w:r w:rsidR="003A6F13">
        <w:t xml:space="preserve">Core Output 4: </w:t>
      </w:r>
      <w:r w:rsidR="003A6F13">
        <w:tab/>
        <w:t>Current households in need</w:t>
      </w:r>
      <w:bookmarkEnd w:id="98"/>
      <w:bookmarkEnd w:id="99"/>
      <w:bookmarkEnd w:id="100"/>
    </w:p>
    <w:p w:rsidR="00201062" w:rsidRPr="00201062" w:rsidRDefault="00201062" w:rsidP="00201062"/>
    <w:p w:rsidR="003A6F13" w:rsidRDefault="003A6F13">
      <w:pPr>
        <w:pStyle w:val="Maintext"/>
      </w:pPr>
      <w:r>
        <w:t xml:space="preserve">A robust and defensible assessment of housing need is essential for the development of affordable housing policies which need to be articulated in Local Development Frameworks.  </w:t>
      </w:r>
      <w:r w:rsidR="00743AEC">
        <w:t>H</w:t>
      </w:r>
      <w:r>
        <w:t xml:space="preserve">ousing need </w:t>
      </w:r>
      <w:r w:rsidR="00743AEC">
        <w:t xml:space="preserve">can be defined </w:t>
      </w:r>
      <w:r>
        <w:t>as:</w:t>
      </w:r>
    </w:p>
    <w:p w:rsidR="003A6F13" w:rsidRDefault="003A6F13">
      <w:pPr>
        <w:ind w:left="851" w:right="851"/>
      </w:pPr>
      <w:r>
        <w:t>‘</w:t>
      </w:r>
      <w:r w:rsidR="006E3921">
        <w:t>The</w:t>
      </w:r>
      <w:r>
        <w:t xml:space="preserve"> quantity of housing required for households who are unable to access suitable housing without financial assistance’. </w:t>
      </w:r>
    </w:p>
    <w:p w:rsidR="003A6F13" w:rsidRDefault="003B442E">
      <w:pPr>
        <w:pStyle w:val="Maintext"/>
      </w:pPr>
      <w:r>
        <w:t>The 2012</w:t>
      </w:r>
      <w:r w:rsidR="003A6F13">
        <w:t xml:space="preserve"> Household Survey </w:t>
      </w:r>
      <w:r w:rsidR="00173ACD">
        <w:t xml:space="preserve">(rebased to the 2011 Census) </w:t>
      </w:r>
      <w:r w:rsidR="003A6F13">
        <w:t>and a range of secondary data provide the robust and transparent evidence base required to assess housing need acro</w:t>
      </w:r>
      <w:r w:rsidR="00834BA7">
        <w:t xml:space="preserve">ss </w:t>
      </w:r>
      <w:r>
        <w:t>County Durham</w:t>
      </w:r>
      <w:r w:rsidR="003A6F13">
        <w:t xml:space="preserve">.  This is presented in detail at Appendix D of this report and follows CLG modelling guidance. </w:t>
      </w:r>
    </w:p>
    <w:p w:rsidR="003A6F13" w:rsidRDefault="0090492A">
      <w:pPr>
        <w:pStyle w:val="Maintext"/>
      </w:pPr>
      <w:r>
        <w:t>Across County Durham</w:t>
      </w:r>
      <w:r w:rsidR="003A6F13">
        <w:t xml:space="preserve">, there are </w:t>
      </w:r>
      <w:r w:rsidR="00173ACD">
        <w:t>around 14,900</w:t>
      </w:r>
      <w:r w:rsidR="001C6753">
        <w:t xml:space="preserve"> </w:t>
      </w:r>
      <w:r w:rsidR="003A6F13">
        <w:t>existing households in need</w:t>
      </w:r>
      <w:r w:rsidR="00ED3410">
        <w:t xml:space="preserve"> which represent </w:t>
      </w:r>
      <w:r w:rsidR="00173ACD">
        <w:t>6.7</w:t>
      </w:r>
      <w:r w:rsidR="00ED3410">
        <w:t xml:space="preserve">% of </w:t>
      </w:r>
      <w:r w:rsidR="00927B72">
        <w:t xml:space="preserve">all </w:t>
      </w:r>
      <w:r w:rsidR="00ED3410">
        <w:t>households.</w:t>
      </w:r>
      <w:r w:rsidR="003A6F13">
        <w:t xml:space="preserve">  Reasons for housing </w:t>
      </w:r>
      <w:r w:rsidR="00ED3410">
        <w:t xml:space="preserve">need </w:t>
      </w:r>
      <w:r w:rsidR="001E3095">
        <w:t>are summarised in Table 4.14</w:t>
      </w:r>
      <w:r w:rsidR="003A6F13">
        <w:t xml:space="preserve">. </w:t>
      </w:r>
    </w:p>
    <w:p w:rsidR="00EC60FF" w:rsidRDefault="00EC60FF" w:rsidP="00FF10FC">
      <w:pPr>
        <w:rPr>
          <w:b/>
        </w:rPr>
      </w:pPr>
    </w:p>
    <w:p w:rsidR="00173ACD" w:rsidRDefault="00173ACD">
      <w:pPr>
        <w:spacing w:before="0" w:after="0"/>
        <w:rPr>
          <w:b/>
        </w:rPr>
      </w:pPr>
      <w:r>
        <w:rPr>
          <w:b/>
        </w:rPr>
        <w:br w:type="page"/>
      </w:r>
    </w:p>
    <w:p w:rsidR="003A6F13" w:rsidRDefault="003A6F13" w:rsidP="00843CC0">
      <w:pPr>
        <w:ind w:firstLine="709"/>
      </w:pPr>
      <w:r>
        <w:rPr>
          <w:b/>
        </w:rPr>
        <w:t>Table 4.</w:t>
      </w:r>
      <w:r w:rsidR="00460563">
        <w:rPr>
          <w:b/>
        </w:rPr>
        <w:t>1</w:t>
      </w:r>
      <w:r w:rsidR="001E3095">
        <w:rPr>
          <w:b/>
        </w:rPr>
        <w:t>4</w:t>
      </w:r>
      <w:r>
        <w:tab/>
        <w:t xml:space="preserve">Housing need in </w:t>
      </w:r>
      <w:r w:rsidR="0090492A">
        <w:t>County Durham</w:t>
      </w:r>
    </w:p>
    <w:tbl>
      <w:tblPr>
        <w:tblW w:w="8647" w:type="dxa"/>
        <w:tblInd w:w="817" w:type="dxa"/>
        <w:tblLook w:val="04A0" w:firstRow="1" w:lastRow="0" w:firstColumn="1" w:lastColumn="0" w:noHBand="0" w:noVBand="1"/>
      </w:tblPr>
      <w:tblGrid>
        <w:gridCol w:w="2410"/>
        <w:gridCol w:w="4536"/>
        <w:gridCol w:w="1701"/>
      </w:tblGrid>
      <w:tr w:rsidR="00173ACD" w:rsidRPr="00173ACD" w:rsidTr="00173ACD">
        <w:trPr>
          <w:trHeight w:val="510"/>
        </w:trPr>
        <w:tc>
          <w:tcPr>
            <w:tcW w:w="2410" w:type="dxa"/>
            <w:tcBorders>
              <w:top w:val="nil"/>
              <w:left w:val="single" w:sz="4" w:space="0" w:color="auto"/>
              <w:bottom w:val="single" w:sz="4" w:space="0" w:color="auto"/>
              <w:right w:val="single" w:sz="4" w:space="0" w:color="auto"/>
            </w:tcBorders>
            <w:shd w:val="clear" w:color="000000" w:fill="008080"/>
            <w:vAlign w:val="bottom"/>
            <w:hideMark/>
          </w:tcPr>
          <w:p w:rsidR="00173ACD" w:rsidRPr="00173ACD" w:rsidRDefault="00173ACD" w:rsidP="00173ACD">
            <w:pPr>
              <w:spacing w:before="0" w:after="0"/>
              <w:rPr>
                <w:rFonts w:cs="Arial"/>
                <w:b/>
                <w:bCs/>
                <w:color w:val="FFFFFF"/>
                <w:sz w:val="20"/>
                <w:szCs w:val="20"/>
                <w:lang w:eastAsia="en-GB"/>
              </w:rPr>
            </w:pPr>
            <w:r w:rsidRPr="00173ACD">
              <w:rPr>
                <w:rFonts w:cs="Arial"/>
                <w:b/>
                <w:bCs/>
                <w:color w:val="FFFFFF"/>
                <w:sz w:val="20"/>
                <w:szCs w:val="20"/>
                <w:lang w:eastAsia="en-GB"/>
              </w:rPr>
              <w:t>Category</w:t>
            </w:r>
          </w:p>
        </w:tc>
        <w:tc>
          <w:tcPr>
            <w:tcW w:w="4536" w:type="dxa"/>
            <w:tcBorders>
              <w:top w:val="nil"/>
              <w:left w:val="nil"/>
              <w:bottom w:val="single" w:sz="4" w:space="0" w:color="auto"/>
              <w:right w:val="single" w:sz="4" w:space="0" w:color="auto"/>
            </w:tcBorders>
            <w:shd w:val="clear" w:color="000000" w:fill="008080"/>
            <w:vAlign w:val="bottom"/>
            <w:hideMark/>
          </w:tcPr>
          <w:p w:rsidR="00173ACD" w:rsidRPr="00173ACD" w:rsidRDefault="00173ACD" w:rsidP="00173ACD">
            <w:pPr>
              <w:spacing w:before="0" w:after="0"/>
              <w:rPr>
                <w:rFonts w:cs="Arial"/>
                <w:b/>
                <w:bCs/>
                <w:color w:val="FFFFFF"/>
                <w:sz w:val="20"/>
                <w:szCs w:val="20"/>
                <w:lang w:eastAsia="en-GB"/>
              </w:rPr>
            </w:pPr>
            <w:r w:rsidRPr="00173ACD">
              <w:rPr>
                <w:rFonts w:cs="Arial"/>
                <w:b/>
                <w:bCs/>
                <w:color w:val="FFFFFF"/>
                <w:sz w:val="20"/>
                <w:szCs w:val="20"/>
                <w:lang w:eastAsia="en-GB"/>
              </w:rPr>
              <w:t>Factor</w:t>
            </w:r>
          </w:p>
        </w:tc>
        <w:tc>
          <w:tcPr>
            <w:tcW w:w="1701" w:type="dxa"/>
            <w:tcBorders>
              <w:top w:val="single" w:sz="4" w:space="0" w:color="auto"/>
              <w:left w:val="nil"/>
              <w:bottom w:val="single" w:sz="4" w:space="0" w:color="auto"/>
              <w:right w:val="single" w:sz="4" w:space="0" w:color="auto"/>
            </w:tcBorders>
            <w:shd w:val="clear" w:color="000000" w:fill="008080"/>
            <w:vAlign w:val="bottom"/>
            <w:hideMark/>
          </w:tcPr>
          <w:p w:rsidR="00173ACD" w:rsidRPr="00173ACD" w:rsidRDefault="00173ACD" w:rsidP="00173ACD">
            <w:pPr>
              <w:spacing w:before="0" w:after="0"/>
              <w:jc w:val="center"/>
              <w:rPr>
                <w:rFonts w:cs="Arial"/>
                <w:b/>
                <w:bCs/>
                <w:color w:val="FFFFFF"/>
                <w:sz w:val="20"/>
                <w:szCs w:val="20"/>
                <w:lang w:eastAsia="en-GB"/>
              </w:rPr>
            </w:pPr>
            <w:r w:rsidRPr="00173ACD">
              <w:rPr>
                <w:rFonts w:cs="Arial"/>
                <w:b/>
                <w:bCs/>
                <w:color w:val="FFFFFF"/>
                <w:sz w:val="20"/>
                <w:szCs w:val="20"/>
                <w:lang w:eastAsia="en-GB"/>
              </w:rPr>
              <w:t>Co. Durham Total</w:t>
            </w:r>
          </w:p>
        </w:tc>
      </w:tr>
      <w:tr w:rsidR="00173ACD" w:rsidRPr="00173ACD" w:rsidTr="00173ACD">
        <w:trPr>
          <w:trHeight w:val="510"/>
        </w:trPr>
        <w:tc>
          <w:tcPr>
            <w:tcW w:w="2410" w:type="dxa"/>
            <w:vMerge w:val="restart"/>
            <w:tcBorders>
              <w:top w:val="nil"/>
              <w:left w:val="single" w:sz="4" w:space="0" w:color="auto"/>
              <w:bottom w:val="single" w:sz="4" w:space="0" w:color="000000"/>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Homeless households or with insecure tenure</w:t>
            </w: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N1 Under notice, real threat of notice or lease coming to an end</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2134</w:t>
            </w:r>
          </w:p>
        </w:tc>
      </w:tr>
      <w:tr w:rsidR="00173ACD" w:rsidRPr="00173ACD" w:rsidTr="00173ACD">
        <w:trPr>
          <w:trHeight w:val="765"/>
        </w:trPr>
        <w:tc>
          <w:tcPr>
            <w:tcW w:w="2410" w:type="dxa"/>
            <w:vMerge/>
            <w:tcBorders>
              <w:top w:val="nil"/>
              <w:left w:val="single" w:sz="4" w:space="0" w:color="auto"/>
              <w:bottom w:val="single" w:sz="4" w:space="0" w:color="000000"/>
              <w:right w:val="single" w:sz="4" w:space="0" w:color="auto"/>
            </w:tcBorders>
            <w:vAlign w:val="center"/>
            <w:hideMark/>
          </w:tcPr>
          <w:p w:rsidR="00173ACD" w:rsidRPr="00173ACD" w:rsidRDefault="00173ACD" w:rsidP="00173ACD">
            <w:pPr>
              <w:spacing w:before="0" w:after="0"/>
              <w:rPr>
                <w:rFonts w:cs="Arial"/>
                <w:sz w:val="20"/>
                <w:szCs w:val="20"/>
                <w:lang w:eastAsia="en-GB"/>
              </w:rPr>
            </w:pP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N2 Too expensive, and in receipt of housing benefit or in arrears due to expense</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1868</w:t>
            </w:r>
          </w:p>
        </w:tc>
      </w:tr>
      <w:tr w:rsidR="00173ACD" w:rsidRPr="00173ACD" w:rsidTr="00173ACD">
        <w:trPr>
          <w:trHeight w:val="510"/>
        </w:trPr>
        <w:tc>
          <w:tcPr>
            <w:tcW w:w="2410" w:type="dxa"/>
            <w:vMerge w:val="restart"/>
            <w:tcBorders>
              <w:top w:val="nil"/>
              <w:left w:val="single" w:sz="4" w:space="0" w:color="auto"/>
              <w:bottom w:val="single" w:sz="4" w:space="0" w:color="000000"/>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Mismatch of housing need and dwellings</w:t>
            </w: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N3 Overcrowded according to the 'bedroom standard' model</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2709</w:t>
            </w:r>
          </w:p>
        </w:tc>
      </w:tr>
      <w:tr w:rsidR="00173ACD" w:rsidRPr="00173ACD" w:rsidTr="00173ACD">
        <w:trPr>
          <w:trHeight w:val="255"/>
        </w:trPr>
        <w:tc>
          <w:tcPr>
            <w:tcW w:w="2410" w:type="dxa"/>
            <w:vMerge/>
            <w:tcBorders>
              <w:top w:val="nil"/>
              <w:left w:val="single" w:sz="4" w:space="0" w:color="auto"/>
              <w:bottom w:val="single" w:sz="4" w:space="0" w:color="000000"/>
              <w:right w:val="single" w:sz="4" w:space="0" w:color="auto"/>
            </w:tcBorders>
            <w:vAlign w:val="center"/>
            <w:hideMark/>
          </w:tcPr>
          <w:p w:rsidR="00173ACD" w:rsidRPr="00173ACD" w:rsidRDefault="00173ACD" w:rsidP="00173ACD">
            <w:pPr>
              <w:spacing w:before="0" w:after="0"/>
              <w:rPr>
                <w:rFonts w:cs="Arial"/>
                <w:sz w:val="20"/>
                <w:szCs w:val="20"/>
                <w:lang w:eastAsia="en-GB"/>
              </w:rPr>
            </w:pP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N4 Too difficult to maintain</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3877</w:t>
            </w:r>
          </w:p>
        </w:tc>
      </w:tr>
      <w:tr w:rsidR="00173ACD" w:rsidRPr="00173ACD" w:rsidTr="00173ACD">
        <w:trPr>
          <w:trHeight w:val="1020"/>
        </w:trPr>
        <w:tc>
          <w:tcPr>
            <w:tcW w:w="2410" w:type="dxa"/>
            <w:vMerge/>
            <w:tcBorders>
              <w:top w:val="nil"/>
              <w:left w:val="single" w:sz="4" w:space="0" w:color="auto"/>
              <w:bottom w:val="single" w:sz="4" w:space="0" w:color="000000"/>
              <w:right w:val="single" w:sz="4" w:space="0" w:color="auto"/>
            </w:tcBorders>
            <w:vAlign w:val="center"/>
            <w:hideMark/>
          </w:tcPr>
          <w:p w:rsidR="00173ACD" w:rsidRPr="00173ACD" w:rsidRDefault="00173ACD" w:rsidP="00173ACD">
            <w:pPr>
              <w:spacing w:before="0" w:after="0"/>
              <w:rPr>
                <w:rFonts w:cs="Arial"/>
                <w:sz w:val="20"/>
                <w:szCs w:val="20"/>
                <w:lang w:eastAsia="en-GB"/>
              </w:rPr>
            </w:pP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N5 Couples, people with children and single adults over 25 sharing a kitchen, bathroom or WC with another household</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0</w:t>
            </w:r>
          </w:p>
        </w:tc>
      </w:tr>
      <w:tr w:rsidR="00173ACD" w:rsidRPr="00173ACD" w:rsidTr="00173ACD">
        <w:trPr>
          <w:trHeight w:val="1020"/>
        </w:trPr>
        <w:tc>
          <w:tcPr>
            <w:tcW w:w="2410" w:type="dxa"/>
            <w:vMerge/>
            <w:tcBorders>
              <w:top w:val="nil"/>
              <w:left w:val="single" w:sz="4" w:space="0" w:color="auto"/>
              <w:bottom w:val="single" w:sz="4" w:space="0" w:color="000000"/>
              <w:right w:val="single" w:sz="4" w:space="0" w:color="auto"/>
            </w:tcBorders>
            <w:vAlign w:val="center"/>
            <w:hideMark/>
          </w:tcPr>
          <w:p w:rsidR="00173ACD" w:rsidRPr="00173ACD" w:rsidRDefault="00173ACD" w:rsidP="00173ACD">
            <w:pPr>
              <w:spacing w:before="0" w:after="0"/>
              <w:rPr>
                <w:rFonts w:cs="Arial"/>
                <w:sz w:val="20"/>
                <w:szCs w:val="20"/>
                <w:lang w:eastAsia="en-GB"/>
              </w:rPr>
            </w:pP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N6 Household containing people with mobility impairment or other special needs living in unsuitable accommodation</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4530</w:t>
            </w:r>
          </w:p>
        </w:tc>
      </w:tr>
      <w:tr w:rsidR="00173ACD" w:rsidRPr="00173ACD" w:rsidTr="00173ACD">
        <w:trPr>
          <w:trHeight w:val="765"/>
        </w:trPr>
        <w:tc>
          <w:tcPr>
            <w:tcW w:w="2410" w:type="dxa"/>
            <w:vMerge w:val="restart"/>
            <w:tcBorders>
              <w:top w:val="nil"/>
              <w:left w:val="single" w:sz="4" w:space="0" w:color="auto"/>
              <w:bottom w:val="single" w:sz="4" w:space="0" w:color="000000"/>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Dwelling amenities and condition</w:t>
            </w: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N7 Lacks a bathroom, kitchen or inside WC and household does not have resource to make fit</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130</w:t>
            </w:r>
          </w:p>
        </w:tc>
      </w:tr>
      <w:tr w:rsidR="00173ACD" w:rsidRPr="00173ACD" w:rsidTr="00173ACD">
        <w:trPr>
          <w:trHeight w:val="765"/>
        </w:trPr>
        <w:tc>
          <w:tcPr>
            <w:tcW w:w="2410" w:type="dxa"/>
            <w:vMerge/>
            <w:tcBorders>
              <w:top w:val="nil"/>
              <w:left w:val="single" w:sz="4" w:space="0" w:color="auto"/>
              <w:bottom w:val="single" w:sz="4" w:space="0" w:color="000000"/>
              <w:right w:val="single" w:sz="4" w:space="0" w:color="auto"/>
            </w:tcBorders>
            <w:vAlign w:val="center"/>
            <w:hideMark/>
          </w:tcPr>
          <w:p w:rsidR="00173ACD" w:rsidRPr="00173ACD" w:rsidRDefault="00173ACD" w:rsidP="00173ACD">
            <w:pPr>
              <w:spacing w:before="0" w:after="0"/>
              <w:rPr>
                <w:rFonts w:cs="Arial"/>
                <w:sz w:val="20"/>
                <w:szCs w:val="20"/>
                <w:lang w:eastAsia="en-GB"/>
              </w:rPr>
            </w:pP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N8 Subject to major disrepair or unfitness and household does not have resource to make fit</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1347</w:t>
            </w:r>
          </w:p>
        </w:tc>
      </w:tr>
      <w:tr w:rsidR="00173ACD" w:rsidRPr="00173ACD" w:rsidTr="00173ACD">
        <w:trPr>
          <w:trHeight w:val="1275"/>
        </w:trPr>
        <w:tc>
          <w:tcPr>
            <w:tcW w:w="2410" w:type="dxa"/>
            <w:tcBorders>
              <w:top w:val="nil"/>
              <w:left w:val="single" w:sz="4" w:space="0" w:color="auto"/>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Social needs</w:t>
            </w:r>
          </w:p>
        </w:tc>
        <w:tc>
          <w:tcPr>
            <w:tcW w:w="4536" w:type="dxa"/>
            <w:tcBorders>
              <w:top w:val="nil"/>
              <w:left w:val="nil"/>
              <w:bottom w:val="single" w:sz="4" w:space="0" w:color="auto"/>
              <w:right w:val="single" w:sz="4" w:space="0" w:color="auto"/>
            </w:tcBorders>
            <w:shd w:val="clear" w:color="auto" w:fill="auto"/>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N9 Harassment or threats of harassment from neighbours or others living in the vicinity which cannot be resolved except through a move</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1279</w:t>
            </w:r>
          </w:p>
        </w:tc>
      </w:tr>
      <w:tr w:rsidR="00173ACD" w:rsidRPr="00173ACD" w:rsidTr="00173ACD">
        <w:trPr>
          <w:trHeight w:val="330"/>
        </w:trPr>
        <w:tc>
          <w:tcPr>
            <w:tcW w:w="2410" w:type="dxa"/>
            <w:tcBorders>
              <w:top w:val="nil"/>
              <w:left w:val="single" w:sz="4" w:space="0" w:color="auto"/>
              <w:bottom w:val="nil"/>
              <w:right w:val="nil"/>
            </w:tcBorders>
            <w:shd w:val="clear" w:color="auto" w:fill="auto"/>
            <w:noWrap/>
            <w:vAlign w:val="center"/>
            <w:hideMark/>
          </w:tcPr>
          <w:p w:rsidR="00173ACD" w:rsidRPr="00173ACD" w:rsidRDefault="00173ACD" w:rsidP="00173ACD">
            <w:pPr>
              <w:spacing w:before="0" w:after="0"/>
              <w:rPr>
                <w:rFonts w:cs="Arial"/>
                <w:b/>
                <w:bCs/>
                <w:sz w:val="20"/>
                <w:szCs w:val="20"/>
                <w:lang w:eastAsia="en-GB"/>
              </w:rPr>
            </w:pPr>
            <w:r w:rsidRPr="00173ACD">
              <w:rPr>
                <w:rFonts w:cs="Arial"/>
                <w:b/>
                <w:bCs/>
                <w:sz w:val="20"/>
                <w:szCs w:val="20"/>
                <w:lang w:eastAsia="en-GB"/>
              </w:rPr>
              <w:t>Total no. households in need</w:t>
            </w:r>
          </w:p>
        </w:tc>
        <w:tc>
          <w:tcPr>
            <w:tcW w:w="4536" w:type="dxa"/>
            <w:tcBorders>
              <w:top w:val="nil"/>
              <w:left w:val="nil"/>
              <w:bottom w:val="nil"/>
              <w:right w:val="single" w:sz="4" w:space="0" w:color="auto"/>
            </w:tcBorders>
            <w:shd w:val="clear" w:color="auto" w:fill="auto"/>
            <w:noWrap/>
            <w:vAlign w:val="center"/>
            <w:hideMark/>
          </w:tcPr>
          <w:p w:rsidR="00173ACD" w:rsidRPr="00173ACD" w:rsidRDefault="00173ACD" w:rsidP="00173ACD">
            <w:pPr>
              <w:spacing w:before="0" w:after="0"/>
              <w:rPr>
                <w:rFonts w:cs="Arial"/>
                <w:b/>
                <w:bCs/>
                <w:sz w:val="20"/>
                <w:szCs w:val="20"/>
                <w:lang w:eastAsia="en-GB"/>
              </w:rPr>
            </w:pPr>
            <w:r w:rsidRPr="00173ACD">
              <w:rPr>
                <w:rFonts w:cs="Arial"/>
                <w:b/>
                <w:bCs/>
                <w:sz w:val="20"/>
                <w:szCs w:val="2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14896</w:t>
            </w:r>
          </w:p>
        </w:tc>
      </w:tr>
      <w:tr w:rsidR="00173ACD" w:rsidRPr="00173ACD" w:rsidTr="00173ACD">
        <w:trPr>
          <w:trHeight w:val="330"/>
        </w:trPr>
        <w:tc>
          <w:tcPr>
            <w:tcW w:w="2410" w:type="dxa"/>
            <w:tcBorders>
              <w:top w:val="single" w:sz="4" w:space="0" w:color="auto"/>
              <w:left w:val="single" w:sz="4" w:space="0" w:color="auto"/>
              <w:bottom w:val="nil"/>
              <w:right w:val="nil"/>
            </w:tcBorders>
            <w:shd w:val="clear" w:color="auto" w:fill="auto"/>
            <w:noWrap/>
            <w:vAlign w:val="center"/>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Total Households</w:t>
            </w:r>
          </w:p>
        </w:tc>
        <w:tc>
          <w:tcPr>
            <w:tcW w:w="4536" w:type="dxa"/>
            <w:tcBorders>
              <w:top w:val="single" w:sz="4" w:space="0" w:color="auto"/>
              <w:left w:val="nil"/>
              <w:bottom w:val="nil"/>
              <w:right w:val="single" w:sz="4" w:space="0" w:color="auto"/>
            </w:tcBorders>
            <w:shd w:val="clear" w:color="auto" w:fill="auto"/>
            <w:noWrap/>
            <w:vAlign w:val="center"/>
            <w:hideMark/>
          </w:tcPr>
          <w:p w:rsidR="00173ACD" w:rsidRPr="00173ACD" w:rsidRDefault="00173ACD" w:rsidP="00173ACD">
            <w:pPr>
              <w:spacing w:before="0" w:after="0"/>
              <w:rPr>
                <w:rFonts w:cs="Arial"/>
                <w:sz w:val="20"/>
                <w:szCs w:val="20"/>
                <w:lang w:eastAsia="en-GB"/>
              </w:rPr>
            </w:pPr>
            <w:r w:rsidRPr="00173ACD">
              <w:rPr>
                <w:rFonts w:cs="Arial"/>
                <w:sz w:val="20"/>
                <w:szCs w:val="2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223803</w:t>
            </w:r>
          </w:p>
        </w:tc>
      </w:tr>
      <w:tr w:rsidR="00173ACD" w:rsidRPr="00173ACD" w:rsidTr="00173ACD">
        <w:trPr>
          <w:trHeight w:val="330"/>
        </w:trPr>
        <w:tc>
          <w:tcPr>
            <w:tcW w:w="2410" w:type="dxa"/>
            <w:tcBorders>
              <w:top w:val="single" w:sz="4" w:space="0" w:color="auto"/>
              <w:left w:val="single" w:sz="4" w:space="0" w:color="auto"/>
              <w:bottom w:val="single" w:sz="4" w:space="0" w:color="auto"/>
              <w:right w:val="nil"/>
            </w:tcBorders>
            <w:shd w:val="clear" w:color="auto" w:fill="auto"/>
            <w:noWrap/>
            <w:vAlign w:val="center"/>
            <w:hideMark/>
          </w:tcPr>
          <w:p w:rsidR="00173ACD" w:rsidRPr="00173ACD" w:rsidRDefault="00173ACD" w:rsidP="00173ACD">
            <w:pPr>
              <w:spacing w:before="0" w:after="0"/>
              <w:rPr>
                <w:rFonts w:cs="Arial"/>
                <w:b/>
                <w:bCs/>
                <w:sz w:val="20"/>
                <w:szCs w:val="20"/>
                <w:lang w:eastAsia="en-GB"/>
              </w:rPr>
            </w:pPr>
            <w:r w:rsidRPr="00173ACD">
              <w:rPr>
                <w:rFonts w:cs="Arial"/>
                <w:b/>
                <w:bCs/>
                <w:sz w:val="20"/>
                <w:szCs w:val="20"/>
                <w:lang w:eastAsia="en-GB"/>
              </w:rPr>
              <w:t>% households in need</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173ACD" w:rsidRPr="00173ACD" w:rsidRDefault="00173ACD" w:rsidP="00173ACD">
            <w:pPr>
              <w:spacing w:before="0" w:after="0"/>
              <w:rPr>
                <w:rFonts w:cs="Arial"/>
                <w:b/>
                <w:bCs/>
                <w:sz w:val="20"/>
                <w:szCs w:val="20"/>
                <w:lang w:eastAsia="en-GB"/>
              </w:rPr>
            </w:pPr>
            <w:r w:rsidRPr="00173ACD">
              <w:rPr>
                <w:rFonts w:cs="Arial"/>
                <w:b/>
                <w:bCs/>
                <w:sz w:val="20"/>
                <w:szCs w:val="20"/>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173ACD" w:rsidRPr="00173ACD" w:rsidRDefault="00173ACD" w:rsidP="00173ACD">
            <w:pPr>
              <w:spacing w:before="0" w:after="0"/>
              <w:jc w:val="center"/>
              <w:rPr>
                <w:rFonts w:cs="Arial"/>
                <w:sz w:val="20"/>
                <w:szCs w:val="20"/>
                <w:lang w:eastAsia="en-GB"/>
              </w:rPr>
            </w:pPr>
            <w:r w:rsidRPr="00173ACD">
              <w:rPr>
                <w:rFonts w:cs="Arial"/>
                <w:sz w:val="20"/>
                <w:szCs w:val="20"/>
                <w:lang w:eastAsia="en-GB"/>
              </w:rPr>
              <w:t>6.7</w:t>
            </w:r>
          </w:p>
        </w:tc>
      </w:tr>
    </w:tbl>
    <w:p w:rsidR="003A6F13" w:rsidRDefault="003A6F13">
      <w:pPr>
        <w:ind w:firstLine="709"/>
        <w:rPr>
          <w:rFonts w:cs="Arial"/>
          <w:iCs/>
          <w:sz w:val="20"/>
          <w:szCs w:val="20"/>
        </w:rPr>
      </w:pPr>
      <w:r>
        <w:rPr>
          <w:rFonts w:cs="Arial"/>
          <w:b/>
          <w:iCs/>
          <w:sz w:val="20"/>
          <w:szCs w:val="20"/>
        </w:rPr>
        <w:t xml:space="preserve">Note: </w:t>
      </w:r>
      <w:r>
        <w:rPr>
          <w:rFonts w:cs="Arial"/>
          <w:iCs/>
          <w:sz w:val="20"/>
          <w:szCs w:val="20"/>
        </w:rPr>
        <w:t>A household may have more than one housing need.</w:t>
      </w:r>
    </w:p>
    <w:p w:rsidR="003A6F13" w:rsidRDefault="0090492A" w:rsidP="00AE32FA">
      <w:pPr>
        <w:ind w:firstLine="709"/>
        <w:rPr>
          <w:sz w:val="20"/>
          <w:szCs w:val="20"/>
        </w:rPr>
      </w:pPr>
      <w:r>
        <w:rPr>
          <w:sz w:val="20"/>
          <w:szCs w:val="20"/>
        </w:rPr>
        <w:t>Source: 2012</w:t>
      </w:r>
      <w:r w:rsidR="00E54933">
        <w:rPr>
          <w:sz w:val="20"/>
          <w:szCs w:val="20"/>
        </w:rPr>
        <w:t xml:space="preserve"> Household Survey</w:t>
      </w:r>
      <w:r w:rsidR="00173ACD">
        <w:rPr>
          <w:sz w:val="20"/>
          <w:szCs w:val="20"/>
        </w:rPr>
        <w:t>, rebased to 2011 Census</w:t>
      </w:r>
    </w:p>
    <w:p w:rsidR="003D6BB3" w:rsidRDefault="003D6BB3" w:rsidP="00ED3410">
      <w:pPr>
        <w:tabs>
          <w:tab w:val="center" w:pos="7646"/>
        </w:tabs>
        <w:autoSpaceDE w:val="0"/>
        <w:autoSpaceDN w:val="0"/>
        <w:adjustRightInd w:val="0"/>
        <w:spacing w:before="0" w:after="0"/>
        <w:rPr>
          <w:rFonts w:cs="Arial"/>
          <w:b/>
          <w:bCs/>
          <w:color w:val="000000"/>
          <w:sz w:val="18"/>
          <w:szCs w:val="18"/>
          <w:lang w:eastAsia="en-GB"/>
        </w:rPr>
      </w:pPr>
      <w:r w:rsidRPr="003D6BB3">
        <w:rPr>
          <w:rFonts w:cs="Arial"/>
          <w:b/>
          <w:bCs/>
          <w:color w:val="000000"/>
          <w:sz w:val="18"/>
          <w:szCs w:val="18"/>
          <w:lang w:eastAsia="en-GB"/>
        </w:rPr>
        <w:tab/>
      </w:r>
    </w:p>
    <w:p w:rsidR="00915F7C" w:rsidRPr="00ED3410" w:rsidRDefault="00915F7C" w:rsidP="00ED3410">
      <w:pPr>
        <w:tabs>
          <w:tab w:val="center" w:pos="7646"/>
        </w:tabs>
        <w:autoSpaceDE w:val="0"/>
        <w:autoSpaceDN w:val="0"/>
        <w:adjustRightInd w:val="0"/>
        <w:spacing w:before="0" w:after="0"/>
        <w:rPr>
          <w:rFonts w:cs="Arial"/>
          <w:b/>
          <w:bCs/>
          <w:color w:val="000000"/>
          <w:sz w:val="18"/>
          <w:szCs w:val="18"/>
          <w:lang w:eastAsia="en-GB"/>
        </w:rPr>
      </w:pPr>
    </w:p>
    <w:p w:rsidR="003A6F13" w:rsidRDefault="003A6F13">
      <w:pPr>
        <w:pStyle w:val="Maintext"/>
      </w:pPr>
      <w:r>
        <w:t>Table 4.</w:t>
      </w:r>
      <w:r w:rsidR="001E3095">
        <w:t>15</w:t>
      </w:r>
      <w:r>
        <w:t xml:space="preserve"> summarises </w:t>
      </w:r>
      <w:r w:rsidR="00B52F28">
        <w:t xml:space="preserve">overall </w:t>
      </w:r>
      <w:r>
        <w:t xml:space="preserve">housing need </w:t>
      </w:r>
      <w:r w:rsidR="00B52F28">
        <w:t xml:space="preserve">(before further analysis to test the extent to which households can afford open market provision to offset their need) </w:t>
      </w:r>
      <w:r>
        <w:t>by</w:t>
      </w:r>
      <w:r w:rsidR="003D6BB3">
        <w:t xml:space="preserve"> </w:t>
      </w:r>
      <w:r w:rsidR="0083534C">
        <w:t>survey area</w:t>
      </w:r>
      <w:r>
        <w:t xml:space="preserve"> and </w:t>
      </w:r>
      <w:r w:rsidR="003D6BB3">
        <w:t xml:space="preserve">the extent to which </w:t>
      </w:r>
      <w:r w:rsidR="00A54BE7">
        <w:t xml:space="preserve">housing need varies across </w:t>
      </w:r>
      <w:r w:rsidR="000759D7">
        <w:t xml:space="preserve">County Durham. </w:t>
      </w:r>
      <w:r w:rsidR="003D6BB3">
        <w:t>The proportion of households in need</w:t>
      </w:r>
      <w:r w:rsidR="00357ED2">
        <w:t xml:space="preserve"> is highest in </w:t>
      </w:r>
      <w:r w:rsidR="00F255BD">
        <w:t xml:space="preserve">the </w:t>
      </w:r>
      <w:r w:rsidR="00915F7C">
        <w:t>delivery</w:t>
      </w:r>
      <w:r w:rsidR="0083534C">
        <w:t xml:space="preserve"> area</w:t>
      </w:r>
      <w:r w:rsidR="00F255BD">
        <w:t xml:space="preserve">s of </w:t>
      </w:r>
      <w:r w:rsidR="00915F7C">
        <w:t>East Durham (7.4%), North Durham (7.2%) and South Durham (7.1%). This compares with Central Durham (5.1%) and The Dales (5.0%).</w:t>
      </w:r>
    </w:p>
    <w:p w:rsidR="003A6F13" w:rsidRDefault="008E17F4" w:rsidP="00C7317E">
      <w:pPr>
        <w:ind w:left="2268" w:hanging="1701"/>
      </w:pPr>
      <w:r>
        <w:rPr>
          <w:b/>
        </w:rPr>
        <w:br w:type="page"/>
      </w:r>
      <w:r w:rsidR="003A6F13">
        <w:rPr>
          <w:b/>
        </w:rPr>
        <w:t>Table 4.</w:t>
      </w:r>
      <w:r w:rsidR="00460563">
        <w:rPr>
          <w:b/>
        </w:rPr>
        <w:t>1</w:t>
      </w:r>
      <w:r w:rsidR="001E3095">
        <w:rPr>
          <w:b/>
        </w:rPr>
        <w:t>5</w:t>
      </w:r>
      <w:r w:rsidR="003A6F13">
        <w:tab/>
        <w:t xml:space="preserve">Households in need by </w:t>
      </w:r>
      <w:r w:rsidR="005D7D0B">
        <w:t>d</w:t>
      </w:r>
      <w:r w:rsidR="00B440F0">
        <w:t>elivery area</w:t>
      </w:r>
    </w:p>
    <w:tbl>
      <w:tblPr>
        <w:tblW w:w="6239" w:type="dxa"/>
        <w:tblInd w:w="720" w:type="dxa"/>
        <w:tblLook w:val="04A0" w:firstRow="1" w:lastRow="0" w:firstColumn="1" w:lastColumn="0" w:noHBand="0" w:noVBand="1"/>
      </w:tblPr>
      <w:tblGrid>
        <w:gridCol w:w="2340"/>
        <w:gridCol w:w="1380"/>
        <w:gridCol w:w="1180"/>
        <w:gridCol w:w="1339"/>
      </w:tblGrid>
      <w:tr w:rsidR="00DD3EB7" w:rsidRPr="00194AD4" w:rsidTr="00194AD4">
        <w:trPr>
          <w:trHeight w:val="510"/>
        </w:trPr>
        <w:tc>
          <w:tcPr>
            <w:tcW w:w="2340" w:type="dxa"/>
            <w:tcBorders>
              <w:top w:val="single" w:sz="4" w:space="0" w:color="auto"/>
              <w:left w:val="single" w:sz="4" w:space="0" w:color="auto"/>
              <w:bottom w:val="single" w:sz="4" w:space="0" w:color="auto"/>
              <w:right w:val="single" w:sz="4" w:space="0" w:color="auto"/>
            </w:tcBorders>
            <w:shd w:val="clear" w:color="000000" w:fill="008080"/>
            <w:vAlign w:val="center"/>
            <w:hideMark/>
          </w:tcPr>
          <w:p w:rsidR="00DD3EB7" w:rsidRPr="00194AD4" w:rsidRDefault="00B440F0" w:rsidP="003E6899">
            <w:pPr>
              <w:spacing w:before="0" w:after="0"/>
              <w:rPr>
                <w:rFonts w:cs="Arial"/>
                <w:b/>
                <w:bCs/>
                <w:color w:val="FFFFFF"/>
                <w:sz w:val="20"/>
                <w:szCs w:val="20"/>
                <w:lang w:eastAsia="en-GB"/>
              </w:rPr>
            </w:pPr>
            <w:r>
              <w:rPr>
                <w:rFonts w:cs="Arial"/>
                <w:b/>
                <w:bCs/>
                <w:color w:val="FFFFFF"/>
                <w:sz w:val="20"/>
                <w:szCs w:val="20"/>
                <w:lang w:eastAsia="en-GB"/>
              </w:rPr>
              <w:t>Delivery area</w:t>
            </w:r>
            <w:r w:rsidR="00DD3EB7">
              <w:rPr>
                <w:rFonts w:cs="Arial"/>
                <w:b/>
                <w:bCs/>
                <w:color w:val="FFFFFF"/>
                <w:sz w:val="20"/>
                <w:szCs w:val="20"/>
                <w:lang w:eastAsia="en-GB"/>
              </w:rPr>
              <w:t>s</w:t>
            </w:r>
          </w:p>
        </w:tc>
        <w:tc>
          <w:tcPr>
            <w:tcW w:w="1380" w:type="dxa"/>
            <w:tcBorders>
              <w:top w:val="single" w:sz="4" w:space="0" w:color="auto"/>
              <w:left w:val="nil"/>
              <w:bottom w:val="single" w:sz="4" w:space="0" w:color="auto"/>
              <w:right w:val="single" w:sz="4" w:space="0" w:color="auto"/>
            </w:tcBorders>
            <w:shd w:val="clear" w:color="000000" w:fill="008080"/>
            <w:vAlign w:val="bottom"/>
            <w:hideMark/>
          </w:tcPr>
          <w:p w:rsidR="00DD3EB7" w:rsidRPr="00194AD4" w:rsidRDefault="00DD3EB7" w:rsidP="003E6899">
            <w:pPr>
              <w:spacing w:before="0" w:after="0"/>
              <w:jc w:val="center"/>
              <w:rPr>
                <w:rFonts w:cs="Arial"/>
                <w:b/>
                <w:bCs/>
                <w:color w:val="FFFFFF"/>
                <w:sz w:val="20"/>
                <w:szCs w:val="20"/>
                <w:lang w:eastAsia="en-GB"/>
              </w:rPr>
            </w:pPr>
            <w:r w:rsidRPr="00194AD4">
              <w:rPr>
                <w:rFonts w:cs="Arial"/>
                <w:b/>
                <w:bCs/>
                <w:color w:val="FFFFFF"/>
                <w:sz w:val="20"/>
                <w:szCs w:val="20"/>
                <w:lang w:eastAsia="en-GB"/>
              </w:rPr>
              <w:t>No. H'holds in need</w:t>
            </w:r>
          </w:p>
        </w:tc>
        <w:tc>
          <w:tcPr>
            <w:tcW w:w="1180" w:type="dxa"/>
            <w:tcBorders>
              <w:top w:val="single" w:sz="4" w:space="0" w:color="auto"/>
              <w:left w:val="nil"/>
              <w:bottom w:val="single" w:sz="4" w:space="0" w:color="auto"/>
              <w:right w:val="single" w:sz="4" w:space="0" w:color="auto"/>
            </w:tcBorders>
            <w:shd w:val="clear" w:color="000000" w:fill="008080"/>
            <w:vAlign w:val="bottom"/>
            <w:hideMark/>
          </w:tcPr>
          <w:p w:rsidR="00DD3EB7" w:rsidRPr="00194AD4" w:rsidRDefault="00DD3EB7" w:rsidP="003E6899">
            <w:pPr>
              <w:spacing w:before="0" w:after="0"/>
              <w:jc w:val="center"/>
              <w:rPr>
                <w:rFonts w:cs="Arial"/>
                <w:b/>
                <w:bCs/>
                <w:color w:val="FFFFFF"/>
                <w:sz w:val="20"/>
                <w:szCs w:val="20"/>
                <w:lang w:eastAsia="en-GB"/>
              </w:rPr>
            </w:pPr>
            <w:r w:rsidRPr="00194AD4">
              <w:rPr>
                <w:rFonts w:cs="Arial"/>
                <w:b/>
                <w:bCs/>
                <w:color w:val="FFFFFF"/>
                <w:sz w:val="20"/>
                <w:szCs w:val="20"/>
                <w:lang w:eastAsia="en-GB"/>
              </w:rPr>
              <w:t>% H'holds in need</w:t>
            </w:r>
          </w:p>
        </w:tc>
        <w:tc>
          <w:tcPr>
            <w:tcW w:w="1339" w:type="dxa"/>
            <w:tcBorders>
              <w:top w:val="single" w:sz="4" w:space="0" w:color="auto"/>
              <w:left w:val="nil"/>
              <w:bottom w:val="single" w:sz="4" w:space="0" w:color="auto"/>
              <w:right w:val="single" w:sz="4" w:space="0" w:color="auto"/>
            </w:tcBorders>
            <w:shd w:val="clear" w:color="000000" w:fill="008080"/>
            <w:vAlign w:val="bottom"/>
            <w:hideMark/>
          </w:tcPr>
          <w:p w:rsidR="00DD3EB7" w:rsidRPr="00194AD4" w:rsidRDefault="00DD3EB7" w:rsidP="003E6899">
            <w:pPr>
              <w:spacing w:before="0" w:after="0"/>
              <w:jc w:val="center"/>
              <w:rPr>
                <w:rFonts w:cs="Arial"/>
                <w:b/>
                <w:bCs/>
                <w:color w:val="FFFFFF"/>
                <w:sz w:val="20"/>
                <w:szCs w:val="20"/>
                <w:lang w:eastAsia="en-GB"/>
              </w:rPr>
            </w:pPr>
            <w:r w:rsidRPr="00194AD4">
              <w:rPr>
                <w:rFonts w:cs="Arial"/>
                <w:b/>
                <w:bCs/>
                <w:color w:val="FFFFFF"/>
                <w:sz w:val="20"/>
                <w:szCs w:val="20"/>
                <w:lang w:eastAsia="en-GB"/>
              </w:rPr>
              <w:t>Total no. households</w:t>
            </w:r>
          </w:p>
        </w:tc>
      </w:tr>
      <w:tr w:rsidR="00915F7C" w:rsidRPr="00194AD4" w:rsidTr="00194AD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5F7C" w:rsidRDefault="00915F7C" w:rsidP="00915F7C">
            <w:pPr>
              <w:spacing w:before="0" w:after="0"/>
              <w:rPr>
                <w:rFonts w:cs="Arial"/>
                <w:sz w:val="20"/>
                <w:szCs w:val="20"/>
              </w:rPr>
            </w:pPr>
            <w:r>
              <w:rPr>
                <w:rFonts w:cs="Arial"/>
                <w:sz w:val="20"/>
                <w:szCs w:val="20"/>
              </w:rPr>
              <w:t>North Durham</w:t>
            </w:r>
          </w:p>
        </w:tc>
        <w:tc>
          <w:tcPr>
            <w:tcW w:w="13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4343</w:t>
            </w:r>
          </w:p>
        </w:tc>
        <w:tc>
          <w:tcPr>
            <w:tcW w:w="11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7.2</w:t>
            </w:r>
          </w:p>
        </w:tc>
        <w:tc>
          <w:tcPr>
            <w:tcW w:w="1339"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60151</w:t>
            </w:r>
          </w:p>
        </w:tc>
      </w:tr>
      <w:tr w:rsidR="00915F7C" w:rsidRPr="00194AD4" w:rsidTr="00194AD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5F7C" w:rsidRDefault="00915F7C" w:rsidP="00915F7C">
            <w:pPr>
              <w:spacing w:before="0" w:after="0"/>
              <w:rPr>
                <w:rFonts w:cs="Arial"/>
                <w:sz w:val="20"/>
                <w:szCs w:val="20"/>
              </w:rPr>
            </w:pPr>
            <w:r>
              <w:rPr>
                <w:rFonts w:cs="Arial"/>
                <w:sz w:val="20"/>
                <w:szCs w:val="20"/>
              </w:rPr>
              <w:t>Central Durham</w:t>
            </w:r>
          </w:p>
        </w:tc>
        <w:tc>
          <w:tcPr>
            <w:tcW w:w="13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2189</w:t>
            </w:r>
          </w:p>
        </w:tc>
        <w:tc>
          <w:tcPr>
            <w:tcW w:w="11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5.1</w:t>
            </w:r>
          </w:p>
        </w:tc>
        <w:tc>
          <w:tcPr>
            <w:tcW w:w="1339"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42905</w:t>
            </w:r>
          </w:p>
        </w:tc>
      </w:tr>
      <w:tr w:rsidR="00915F7C" w:rsidRPr="00194AD4" w:rsidTr="00194AD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5F7C" w:rsidRDefault="00915F7C" w:rsidP="00915F7C">
            <w:pPr>
              <w:spacing w:before="0" w:after="0"/>
              <w:rPr>
                <w:rFonts w:cs="Arial"/>
                <w:sz w:val="20"/>
                <w:szCs w:val="20"/>
              </w:rPr>
            </w:pPr>
            <w:r>
              <w:rPr>
                <w:rFonts w:cs="Arial"/>
                <w:sz w:val="20"/>
                <w:szCs w:val="20"/>
              </w:rPr>
              <w:t>East Durham</w:t>
            </w:r>
          </w:p>
        </w:tc>
        <w:tc>
          <w:tcPr>
            <w:tcW w:w="13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3060</w:t>
            </w:r>
          </w:p>
        </w:tc>
        <w:tc>
          <w:tcPr>
            <w:tcW w:w="11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7.4</w:t>
            </w:r>
          </w:p>
        </w:tc>
        <w:tc>
          <w:tcPr>
            <w:tcW w:w="1339"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41416</w:t>
            </w:r>
          </w:p>
        </w:tc>
      </w:tr>
      <w:tr w:rsidR="00915F7C" w:rsidRPr="00194AD4" w:rsidTr="00194AD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5F7C" w:rsidRDefault="00915F7C" w:rsidP="00915F7C">
            <w:pPr>
              <w:spacing w:before="0" w:after="0"/>
              <w:rPr>
                <w:rFonts w:cs="Arial"/>
                <w:sz w:val="20"/>
                <w:szCs w:val="20"/>
              </w:rPr>
            </w:pPr>
            <w:r>
              <w:rPr>
                <w:rFonts w:cs="Arial"/>
                <w:sz w:val="20"/>
                <w:szCs w:val="20"/>
              </w:rPr>
              <w:t>The Dales</w:t>
            </w:r>
          </w:p>
        </w:tc>
        <w:tc>
          <w:tcPr>
            <w:tcW w:w="13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740</w:t>
            </w:r>
          </w:p>
        </w:tc>
        <w:tc>
          <w:tcPr>
            <w:tcW w:w="11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5.0</w:t>
            </w:r>
          </w:p>
        </w:tc>
        <w:tc>
          <w:tcPr>
            <w:tcW w:w="1339"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14811</w:t>
            </w:r>
          </w:p>
        </w:tc>
      </w:tr>
      <w:tr w:rsidR="00915F7C" w:rsidRPr="00194AD4" w:rsidTr="00194AD4">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5F7C" w:rsidRDefault="00915F7C" w:rsidP="00915F7C">
            <w:pPr>
              <w:spacing w:before="0" w:after="0"/>
              <w:rPr>
                <w:rFonts w:cs="Arial"/>
                <w:sz w:val="20"/>
                <w:szCs w:val="20"/>
              </w:rPr>
            </w:pPr>
            <w:r>
              <w:rPr>
                <w:rFonts w:cs="Arial"/>
                <w:sz w:val="20"/>
                <w:szCs w:val="20"/>
              </w:rPr>
              <w:t>South Durham</w:t>
            </w:r>
          </w:p>
        </w:tc>
        <w:tc>
          <w:tcPr>
            <w:tcW w:w="13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4564</w:t>
            </w:r>
          </w:p>
        </w:tc>
        <w:tc>
          <w:tcPr>
            <w:tcW w:w="11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7.1</w:t>
            </w:r>
          </w:p>
        </w:tc>
        <w:tc>
          <w:tcPr>
            <w:tcW w:w="1339"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sz w:val="20"/>
                <w:szCs w:val="20"/>
              </w:rPr>
            </w:pPr>
            <w:r>
              <w:rPr>
                <w:rFonts w:cs="Arial"/>
                <w:sz w:val="20"/>
                <w:szCs w:val="20"/>
              </w:rPr>
              <w:t>64520</w:t>
            </w:r>
          </w:p>
        </w:tc>
      </w:tr>
      <w:tr w:rsidR="00915F7C" w:rsidRPr="00194AD4" w:rsidTr="00DD3EB7">
        <w:trPr>
          <w:trHeight w:val="255"/>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915F7C" w:rsidRDefault="00915F7C" w:rsidP="00915F7C">
            <w:pPr>
              <w:spacing w:before="0" w:after="0"/>
              <w:rPr>
                <w:rFonts w:cs="Arial"/>
                <w:b/>
                <w:bCs/>
                <w:sz w:val="20"/>
                <w:szCs w:val="20"/>
              </w:rPr>
            </w:pPr>
            <w:r>
              <w:rPr>
                <w:rFonts w:cs="Arial"/>
                <w:b/>
                <w:bCs/>
                <w:sz w:val="20"/>
                <w:szCs w:val="20"/>
              </w:rPr>
              <w:t>Total</w:t>
            </w:r>
          </w:p>
        </w:tc>
        <w:tc>
          <w:tcPr>
            <w:tcW w:w="13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b/>
                <w:bCs/>
                <w:sz w:val="20"/>
                <w:szCs w:val="20"/>
              </w:rPr>
            </w:pPr>
            <w:r>
              <w:rPr>
                <w:rFonts w:cs="Arial"/>
                <w:b/>
                <w:bCs/>
                <w:sz w:val="20"/>
                <w:szCs w:val="20"/>
              </w:rPr>
              <w:t>14896</w:t>
            </w:r>
          </w:p>
        </w:tc>
        <w:tc>
          <w:tcPr>
            <w:tcW w:w="1180"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b/>
                <w:bCs/>
                <w:sz w:val="20"/>
                <w:szCs w:val="20"/>
              </w:rPr>
            </w:pPr>
            <w:r>
              <w:rPr>
                <w:rFonts w:cs="Arial"/>
                <w:b/>
                <w:bCs/>
                <w:sz w:val="20"/>
                <w:szCs w:val="20"/>
              </w:rPr>
              <w:t>6.7</w:t>
            </w:r>
          </w:p>
        </w:tc>
        <w:tc>
          <w:tcPr>
            <w:tcW w:w="1339" w:type="dxa"/>
            <w:tcBorders>
              <w:top w:val="nil"/>
              <w:left w:val="nil"/>
              <w:bottom w:val="single" w:sz="4" w:space="0" w:color="auto"/>
              <w:right w:val="single" w:sz="4" w:space="0" w:color="auto"/>
            </w:tcBorders>
            <w:shd w:val="clear" w:color="auto" w:fill="auto"/>
            <w:noWrap/>
            <w:vAlign w:val="bottom"/>
            <w:hideMark/>
          </w:tcPr>
          <w:p w:rsidR="00915F7C" w:rsidRDefault="00915F7C" w:rsidP="00915F7C">
            <w:pPr>
              <w:spacing w:before="0" w:after="0"/>
              <w:jc w:val="center"/>
              <w:rPr>
                <w:rFonts w:cs="Arial"/>
                <w:b/>
                <w:bCs/>
                <w:sz w:val="20"/>
                <w:szCs w:val="20"/>
              </w:rPr>
            </w:pPr>
            <w:r>
              <w:rPr>
                <w:rFonts w:cs="Arial"/>
                <w:b/>
                <w:bCs/>
                <w:sz w:val="20"/>
                <w:szCs w:val="20"/>
              </w:rPr>
              <w:t>223803</w:t>
            </w:r>
          </w:p>
        </w:tc>
      </w:tr>
    </w:tbl>
    <w:p w:rsidR="003A6F13" w:rsidRDefault="0090492A" w:rsidP="008D71EA">
      <w:pPr>
        <w:ind w:firstLine="720"/>
        <w:rPr>
          <w:sz w:val="20"/>
          <w:szCs w:val="20"/>
        </w:rPr>
      </w:pPr>
      <w:r>
        <w:rPr>
          <w:sz w:val="20"/>
          <w:szCs w:val="20"/>
        </w:rPr>
        <w:t>Source: 2012</w:t>
      </w:r>
      <w:r w:rsidR="00E54933">
        <w:rPr>
          <w:sz w:val="20"/>
          <w:szCs w:val="20"/>
        </w:rPr>
        <w:t xml:space="preserve"> Household Survey</w:t>
      </w:r>
    </w:p>
    <w:p w:rsidR="00E54933" w:rsidRDefault="00E54933" w:rsidP="00E54933">
      <w:pPr>
        <w:pStyle w:val="Maintext"/>
        <w:numPr>
          <w:ilvl w:val="0"/>
          <w:numId w:val="0"/>
        </w:numPr>
        <w:ind w:left="709"/>
      </w:pPr>
    </w:p>
    <w:p w:rsidR="00E54933" w:rsidRDefault="00561DB6" w:rsidP="00E54933">
      <w:pPr>
        <w:pStyle w:val="Maintext"/>
      </w:pPr>
      <w:r>
        <w:t>Tab</w:t>
      </w:r>
      <w:r w:rsidR="001E3095">
        <w:t>les 4.16 and 4.17</w:t>
      </w:r>
      <w:r w:rsidR="00E54933">
        <w:t xml:space="preserve"> demonstrate how the proportion of households in housing need varies by tenure and household type</w:t>
      </w:r>
      <w:r w:rsidR="000947FF">
        <w:t xml:space="preserve"> for </w:t>
      </w:r>
      <w:r w:rsidR="000759D7">
        <w:t>County Durham</w:t>
      </w:r>
      <w:r w:rsidR="000947FF">
        <w:t>.</w:t>
      </w:r>
      <w:r w:rsidR="00E54933">
        <w:t xml:space="preserve">  Private renters </w:t>
      </w:r>
      <w:r w:rsidR="00201062">
        <w:t>are</w:t>
      </w:r>
      <w:r w:rsidR="00C7317E">
        <w:t xml:space="preserve"> </w:t>
      </w:r>
      <w:r w:rsidR="00E54933">
        <w:t>more likely to be in housing need; along with lone pare</w:t>
      </w:r>
      <w:r w:rsidR="00927B72">
        <w:t>nts</w:t>
      </w:r>
      <w:r w:rsidR="00201062">
        <w:t>,</w:t>
      </w:r>
      <w:r w:rsidR="00E54933">
        <w:t xml:space="preserve"> couples with three or more children</w:t>
      </w:r>
      <w:r w:rsidR="00201062">
        <w:t xml:space="preserve"> and other types of household</w:t>
      </w:r>
      <w:r w:rsidR="007E2EC0">
        <w:t>.</w:t>
      </w:r>
      <w:r w:rsidR="00AC52C8">
        <w:t xml:space="preserve"> </w:t>
      </w:r>
    </w:p>
    <w:p w:rsidR="003A6F13" w:rsidRDefault="003A6F13" w:rsidP="00E54933">
      <w:pPr>
        <w:rPr>
          <w:b/>
        </w:rPr>
      </w:pPr>
    </w:p>
    <w:p w:rsidR="009C04FB" w:rsidRDefault="001E3095" w:rsidP="000759D7">
      <w:pPr>
        <w:ind w:firstLine="709"/>
      </w:pPr>
      <w:r>
        <w:rPr>
          <w:b/>
        </w:rPr>
        <w:t>Table 4.16</w:t>
      </w:r>
      <w:r w:rsidR="009C04FB">
        <w:rPr>
          <w:b/>
        </w:rPr>
        <w:tab/>
      </w:r>
      <w:r w:rsidR="009C04FB">
        <w:t>Housing need by tenure</w:t>
      </w:r>
    </w:p>
    <w:tbl>
      <w:tblPr>
        <w:tblW w:w="6938" w:type="dxa"/>
        <w:tblInd w:w="720" w:type="dxa"/>
        <w:tblLook w:val="04A0" w:firstRow="1" w:lastRow="0" w:firstColumn="1" w:lastColumn="0" w:noHBand="0" w:noVBand="1"/>
      </w:tblPr>
      <w:tblGrid>
        <w:gridCol w:w="3708"/>
        <w:gridCol w:w="945"/>
        <w:gridCol w:w="946"/>
        <w:gridCol w:w="1339"/>
      </w:tblGrid>
      <w:tr w:rsidR="000759D7" w:rsidRPr="000759D7" w:rsidTr="00984A5F">
        <w:trPr>
          <w:trHeight w:val="765"/>
        </w:trPr>
        <w:tc>
          <w:tcPr>
            <w:tcW w:w="3708" w:type="dxa"/>
            <w:tcBorders>
              <w:top w:val="single" w:sz="4" w:space="0" w:color="auto"/>
              <w:left w:val="single" w:sz="4" w:space="0" w:color="auto"/>
              <w:bottom w:val="single" w:sz="4" w:space="0" w:color="auto"/>
              <w:right w:val="single" w:sz="4" w:space="0" w:color="auto"/>
            </w:tcBorders>
            <w:shd w:val="clear" w:color="000000" w:fill="008080"/>
            <w:vAlign w:val="center"/>
            <w:hideMark/>
          </w:tcPr>
          <w:p w:rsidR="000759D7" w:rsidRPr="000759D7" w:rsidRDefault="000759D7" w:rsidP="000759D7">
            <w:pPr>
              <w:spacing w:before="0" w:after="0"/>
              <w:rPr>
                <w:rFonts w:cs="Arial"/>
                <w:b/>
                <w:color w:val="FFFFFF"/>
                <w:sz w:val="20"/>
                <w:szCs w:val="20"/>
                <w:lang w:eastAsia="en-GB"/>
              </w:rPr>
            </w:pPr>
            <w:r w:rsidRPr="000759D7">
              <w:rPr>
                <w:rFonts w:cs="Arial"/>
                <w:b/>
                <w:color w:val="FFFFFF"/>
                <w:sz w:val="20"/>
                <w:szCs w:val="20"/>
                <w:lang w:eastAsia="en-GB"/>
              </w:rPr>
              <w:t>Tenure</w:t>
            </w:r>
          </w:p>
        </w:tc>
        <w:tc>
          <w:tcPr>
            <w:tcW w:w="945" w:type="dxa"/>
            <w:tcBorders>
              <w:top w:val="single" w:sz="4" w:space="0" w:color="auto"/>
              <w:left w:val="nil"/>
              <w:bottom w:val="single" w:sz="4" w:space="0" w:color="auto"/>
              <w:right w:val="single" w:sz="4" w:space="0" w:color="auto"/>
            </w:tcBorders>
            <w:shd w:val="clear" w:color="000000" w:fill="008080"/>
            <w:vAlign w:val="center"/>
            <w:hideMark/>
          </w:tcPr>
          <w:p w:rsidR="000759D7" w:rsidRPr="000759D7" w:rsidRDefault="000759D7" w:rsidP="000759D7">
            <w:pPr>
              <w:spacing w:before="0" w:after="0"/>
              <w:jc w:val="center"/>
              <w:rPr>
                <w:rFonts w:cs="Arial"/>
                <w:b/>
                <w:color w:val="FFFFFF"/>
                <w:sz w:val="20"/>
                <w:szCs w:val="20"/>
                <w:lang w:eastAsia="en-GB"/>
              </w:rPr>
            </w:pPr>
            <w:r w:rsidRPr="000759D7">
              <w:rPr>
                <w:rFonts w:cs="Arial"/>
                <w:b/>
                <w:color w:val="FFFFFF"/>
                <w:sz w:val="20"/>
                <w:szCs w:val="20"/>
                <w:lang w:eastAsia="en-GB"/>
              </w:rPr>
              <w:t>No. H'holds in need</w:t>
            </w:r>
          </w:p>
        </w:tc>
        <w:tc>
          <w:tcPr>
            <w:tcW w:w="946" w:type="dxa"/>
            <w:tcBorders>
              <w:top w:val="single" w:sz="4" w:space="0" w:color="auto"/>
              <w:left w:val="nil"/>
              <w:bottom w:val="single" w:sz="4" w:space="0" w:color="auto"/>
              <w:right w:val="single" w:sz="4" w:space="0" w:color="auto"/>
            </w:tcBorders>
            <w:shd w:val="clear" w:color="000000" w:fill="008080"/>
            <w:vAlign w:val="center"/>
            <w:hideMark/>
          </w:tcPr>
          <w:p w:rsidR="000759D7" w:rsidRPr="000759D7" w:rsidRDefault="000759D7" w:rsidP="000759D7">
            <w:pPr>
              <w:spacing w:before="0" w:after="0"/>
              <w:jc w:val="center"/>
              <w:rPr>
                <w:rFonts w:cs="Arial"/>
                <w:b/>
                <w:color w:val="FFFFFF"/>
                <w:sz w:val="20"/>
                <w:szCs w:val="20"/>
                <w:lang w:eastAsia="en-GB"/>
              </w:rPr>
            </w:pPr>
            <w:r w:rsidRPr="000759D7">
              <w:rPr>
                <w:rFonts w:cs="Arial"/>
                <w:b/>
                <w:color w:val="FFFFFF"/>
                <w:sz w:val="20"/>
                <w:szCs w:val="20"/>
                <w:lang w:eastAsia="en-GB"/>
              </w:rPr>
              <w:t>% H'holds in need</w:t>
            </w:r>
          </w:p>
        </w:tc>
        <w:tc>
          <w:tcPr>
            <w:tcW w:w="1339" w:type="dxa"/>
            <w:tcBorders>
              <w:top w:val="single" w:sz="4" w:space="0" w:color="auto"/>
              <w:left w:val="nil"/>
              <w:bottom w:val="single" w:sz="4" w:space="0" w:color="auto"/>
              <w:right w:val="single" w:sz="4" w:space="0" w:color="auto"/>
            </w:tcBorders>
            <w:shd w:val="clear" w:color="000000" w:fill="008080"/>
            <w:vAlign w:val="center"/>
            <w:hideMark/>
          </w:tcPr>
          <w:p w:rsidR="000759D7" w:rsidRPr="000759D7" w:rsidRDefault="000759D7" w:rsidP="000759D7">
            <w:pPr>
              <w:spacing w:before="0" w:after="0"/>
              <w:jc w:val="center"/>
              <w:rPr>
                <w:rFonts w:cs="Arial"/>
                <w:b/>
                <w:color w:val="FFFFFF"/>
                <w:sz w:val="20"/>
                <w:szCs w:val="20"/>
                <w:lang w:eastAsia="en-GB"/>
              </w:rPr>
            </w:pPr>
            <w:r w:rsidRPr="000759D7">
              <w:rPr>
                <w:rFonts w:cs="Arial"/>
                <w:b/>
                <w:color w:val="FFFFFF"/>
                <w:sz w:val="20"/>
                <w:szCs w:val="20"/>
                <w:lang w:eastAsia="en-GB"/>
              </w:rPr>
              <w:t>Total no. households</w:t>
            </w:r>
          </w:p>
        </w:tc>
      </w:tr>
      <w:tr w:rsidR="00201062" w:rsidRPr="000759D7" w:rsidTr="00984A5F">
        <w:trPr>
          <w:trHeight w:val="255"/>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201062" w:rsidRPr="000759D7" w:rsidRDefault="00201062" w:rsidP="000759D7">
            <w:pPr>
              <w:spacing w:before="0" w:after="0"/>
              <w:rPr>
                <w:rFonts w:cs="Arial"/>
                <w:sz w:val="20"/>
                <w:szCs w:val="20"/>
                <w:lang w:eastAsia="en-GB"/>
              </w:rPr>
            </w:pPr>
            <w:r w:rsidRPr="000759D7">
              <w:rPr>
                <w:rFonts w:cs="Arial"/>
                <w:sz w:val="20"/>
                <w:szCs w:val="20"/>
                <w:lang w:eastAsia="en-GB"/>
              </w:rPr>
              <w:t>Owner Occupied</w:t>
            </w:r>
          </w:p>
        </w:tc>
        <w:tc>
          <w:tcPr>
            <w:tcW w:w="945"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8166</w:t>
            </w:r>
          </w:p>
        </w:tc>
        <w:tc>
          <w:tcPr>
            <w:tcW w:w="946"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5.5</w:t>
            </w:r>
          </w:p>
        </w:tc>
        <w:tc>
          <w:tcPr>
            <w:tcW w:w="1339"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147347</w:t>
            </w:r>
          </w:p>
        </w:tc>
      </w:tr>
      <w:tr w:rsidR="00201062" w:rsidRPr="000759D7" w:rsidTr="00984A5F">
        <w:trPr>
          <w:trHeight w:val="255"/>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201062" w:rsidRPr="000759D7" w:rsidRDefault="00201062" w:rsidP="000759D7">
            <w:pPr>
              <w:spacing w:before="0" w:after="0"/>
              <w:rPr>
                <w:rFonts w:cs="Arial"/>
                <w:sz w:val="20"/>
                <w:szCs w:val="20"/>
                <w:lang w:eastAsia="en-GB"/>
              </w:rPr>
            </w:pPr>
            <w:r w:rsidRPr="000759D7">
              <w:rPr>
                <w:rFonts w:cs="Arial"/>
                <w:sz w:val="20"/>
                <w:szCs w:val="20"/>
                <w:lang w:eastAsia="en-GB"/>
              </w:rPr>
              <w:t>Private Rented</w:t>
            </w:r>
          </w:p>
        </w:tc>
        <w:tc>
          <w:tcPr>
            <w:tcW w:w="945"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4274</w:t>
            </w:r>
          </w:p>
        </w:tc>
        <w:tc>
          <w:tcPr>
            <w:tcW w:w="946"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13.8</w:t>
            </w:r>
          </w:p>
        </w:tc>
        <w:tc>
          <w:tcPr>
            <w:tcW w:w="1339"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30964</w:t>
            </w:r>
          </w:p>
        </w:tc>
      </w:tr>
      <w:tr w:rsidR="00201062" w:rsidRPr="000759D7" w:rsidTr="00984A5F">
        <w:trPr>
          <w:trHeight w:val="255"/>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201062" w:rsidRPr="000759D7" w:rsidRDefault="00201062" w:rsidP="000759D7">
            <w:pPr>
              <w:spacing w:before="0" w:after="0"/>
              <w:rPr>
                <w:rFonts w:cs="Arial"/>
                <w:sz w:val="20"/>
                <w:szCs w:val="20"/>
                <w:lang w:eastAsia="en-GB"/>
              </w:rPr>
            </w:pPr>
            <w:r w:rsidRPr="000759D7">
              <w:rPr>
                <w:rFonts w:cs="Arial"/>
                <w:sz w:val="20"/>
                <w:szCs w:val="20"/>
                <w:lang w:eastAsia="en-GB"/>
              </w:rPr>
              <w:t>Social/Affordable Rented/Intermediate</w:t>
            </w:r>
          </w:p>
        </w:tc>
        <w:tc>
          <w:tcPr>
            <w:tcW w:w="945"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2456</w:t>
            </w:r>
          </w:p>
        </w:tc>
        <w:tc>
          <w:tcPr>
            <w:tcW w:w="946"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5.4</w:t>
            </w:r>
          </w:p>
        </w:tc>
        <w:tc>
          <w:tcPr>
            <w:tcW w:w="1339"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45492</w:t>
            </w:r>
          </w:p>
        </w:tc>
      </w:tr>
      <w:tr w:rsidR="00201062" w:rsidRPr="000759D7" w:rsidTr="00984A5F">
        <w:trPr>
          <w:trHeight w:val="255"/>
        </w:trPr>
        <w:tc>
          <w:tcPr>
            <w:tcW w:w="3708" w:type="dxa"/>
            <w:tcBorders>
              <w:top w:val="nil"/>
              <w:left w:val="single" w:sz="4" w:space="0" w:color="auto"/>
              <w:bottom w:val="single" w:sz="4" w:space="0" w:color="auto"/>
              <w:right w:val="single" w:sz="4" w:space="0" w:color="auto"/>
            </w:tcBorders>
            <w:shd w:val="clear" w:color="auto" w:fill="auto"/>
            <w:noWrap/>
            <w:vAlign w:val="bottom"/>
            <w:hideMark/>
          </w:tcPr>
          <w:p w:rsidR="00201062" w:rsidRPr="00984A5F" w:rsidRDefault="00201062" w:rsidP="000759D7">
            <w:pPr>
              <w:spacing w:before="0" w:after="0"/>
              <w:rPr>
                <w:rFonts w:cs="Arial"/>
                <w:b/>
                <w:sz w:val="20"/>
                <w:szCs w:val="20"/>
                <w:lang w:eastAsia="en-GB"/>
              </w:rPr>
            </w:pPr>
            <w:r w:rsidRPr="00984A5F">
              <w:rPr>
                <w:rFonts w:cs="Arial"/>
                <w:b/>
                <w:sz w:val="20"/>
                <w:szCs w:val="20"/>
                <w:lang w:eastAsia="en-GB"/>
              </w:rPr>
              <w:t>Total</w:t>
            </w:r>
          </w:p>
        </w:tc>
        <w:tc>
          <w:tcPr>
            <w:tcW w:w="945"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14896</w:t>
            </w:r>
          </w:p>
        </w:tc>
        <w:tc>
          <w:tcPr>
            <w:tcW w:w="946"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6.7</w:t>
            </w:r>
          </w:p>
        </w:tc>
        <w:tc>
          <w:tcPr>
            <w:tcW w:w="1339" w:type="dxa"/>
            <w:tcBorders>
              <w:top w:val="nil"/>
              <w:left w:val="nil"/>
              <w:bottom w:val="single" w:sz="4" w:space="0" w:color="auto"/>
              <w:right w:val="single" w:sz="4" w:space="0" w:color="auto"/>
            </w:tcBorders>
            <w:shd w:val="clear" w:color="auto" w:fill="auto"/>
            <w:noWrap/>
            <w:vAlign w:val="bottom"/>
            <w:hideMark/>
          </w:tcPr>
          <w:p w:rsidR="00201062" w:rsidRDefault="00201062" w:rsidP="00201062">
            <w:pPr>
              <w:spacing w:before="0" w:after="0"/>
              <w:jc w:val="center"/>
              <w:rPr>
                <w:rFonts w:cs="Arial"/>
                <w:sz w:val="20"/>
                <w:szCs w:val="20"/>
              </w:rPr>
            </w:pPr>
            <w:r>
              <w:rPr>
                <w:rFonts w:cs="Arial"/>
                <w:sz w:val="20"/>
                <w:szCs w:val="20"/>
              </w:rPr>
              <w:t>223803</w:t>
            </w:r>
          </w:p>
        </w:tc>
      </w:tr>
    </w:tbl>
    <w:p w:rsidR="009C04FB" w:rsidRDefault="000759D7" w:rsidP="000E5455">
      <w:pPr>
        <w:ind w:firstLine="720"/>
        <w:rPr>
          <w:sz w:val="20"/>
          <w:szCs w:val="20"/>
        </w:rPr>
      </w:pPr>
      <w:r>
        <w:rPr>
          <w:sz w:val="20"/>
          <w:szCs w:val="20"/>
        </w:rPr>
        <w:t>Source: 2012</w:t>
      </w:r>
      <w:r w:rsidR="00E54933">
        <w:rPr>
          <w:sz w:val="20"/>
          <w:szCs w:val="20"/>
        </w:rPr>
        <w:t xml:space="preserve"> Household Survey</w:t>
      </w:r>
      <w:r w:rsidR="00201062">
        <w:rPr>
          <w:sz w:val="20"/>
          <w:szCs w:val="20"/>
        </w:rPr>
        <w:t>, rebased to 2011 Census</w:t>
      </w:r>
    </w:p>
    <w:p w:rsidR="00201062" w:rsidRDefault="00201062" w:rsidP="00C7317E">
      <w:pPr>
        <w:ind w:firstLine="720"/>
        <w:rPr>
          <w:b/>
        </w:rPr>
      </w:pPr>
    </w:p>
    <w:p w:rsidR="00C934A6" w:rsidRDefault="001E3095" w:rsidP="00C7317E">
      <w:pPr>
        <w:ind w:firstLine="720"/>
      </w:pPr>
      <w:r>
        <w:rPr>
          <w:b/>
        </w:rPr>
        <w:t>Table 4.17</w:t>
      </w:r>
      <w:r w:rsidR="009C04FB">
        <w:rPr>
          <w:b/>
        </w:rPr>
        <w:tab/>
      </w:r>
      <w:r w:rsidR="009C04FB">
        <w:t>Housing need by household type</w:t>
      </w:r>
    </w:p>
    <w:tbl>
      <w:tblPr>
        <w:tblW w:w="7938" w:type="dxa"/>
        <w:tblInd w:w="817" w:type="dxa"/>
        <w:tblLook w:val="04A0" w:firstRow="1" w:lastRow="0" w:firstColumn="1" w:lastColumn="0" w:noHBand="0" w:noVBand="1"/>
      </w:tblPr>
      <w:tblGrid>
        <w:gridCol w:w="3260"/>
        <w:gridCol w:w="1560"/>
        <w:gridCol w:w="1559"/>
        <w:gridCol w:w="1559"/>
      </w:tblGrid>
      <w:tr w:rsidR="00201062" w:rsidRPr="00201062" w:rsidTr="00201062">
        <w:trPr>
          <w:trHeight w:val="510"/>
        </w:trPr>
        <w:tc>
          <w:tcPr>
            <w:tcW w:w="3260" w:type="dxa"/>
            <w:tcBorders>
              <w:top w:val="single" w:sz="4" w:space="0" w:color="auto"/>
              <w:left w:val="single" w:sz="4" w:space="0" w:color="auto"/>
              <w:bottom w:val="single" w:sz="4" w:space="0" w:color="auto"/>
              <w:right w:val="single" w:sz="4" w:space="0" w:color="auto"/>
            </w:tcBorders>
            <w:shd w:val="clear" w:color="000000" w:fill="008080"/>
            <w:vAlign w:val="center"/>
            <w:hideMark/>
          </w:tcPr>
          <w:p w:rsidR="00201062" w:rsidRPr="00201062" w:rsidRDefault="00201062" w:rsidP="00201062">
            <w:pPr>
              <w:spacing w:before="0" w:after="0"/>
              <w:rPr>
                <w:rFonts w:cs="Arial"/>
                <w:b/>
                <w:bCs/>
                <w:color w:val="FFFFFF"/>
                <w:sz w:val="20"/>
                <w:szCs w:val="20"/>
                <w:lang w:eastAsia="en-GB"/>
              </w:rPr>
            </w:pPr>
            <w:r w:rsidRPr="00201062">
              <w:rPr>
                <w:rFonts w:cs="Arial"/>
                <w:b/>
                <w:bCs/>
                <w:color w:val="FFFFFF"/>
                <w:sz w:val="20"/>
                <w:szCs w:val="20"/>
                <w:lang w:eastAsia="en-GB"/>
              </w:rPr>
              <w:t>Household Type</w:t>
            </w:r>
          </w:p>
        </w:tc>
        <w:tc>
          <w:tcPr>
            <w:tcW w:w="1560" w:type="dxa"/>
            <w:tcBorders>
              <w:top w:val="single" w:sz="4" w:space="0" w:color="auto"/>
              <w:left w:val="nil"/>
              <w:bottom w:val="single" w:sz="4" w:space="0" w:color="auto"/>
              <w:right w:val="single" w:sz="4" w:space="0" w:color="auto"/>
            </w:tcBorders>
            <w:shd w:val="clear" w:color="000000" w:fill="008080"/>
            <w:vAlign w:val="center"/>
            <w:hideMark/>
          </w:tcPr>
          <w:p w:rsidR="00201062" w:rsidRPr="00201062" w:rsidRDefault="00201062" w:rsidP="00201062">
            <w:pPr>
              <w:spacing w:before="0" w:after="0"/>
              <w:jc w:val="center"/>
              <w:rPr>
                <w:rFonts w:cs="Arial"/>
                <w:b/>
                <w:bCs/>
                <w:color w:val="FFFFFF"/>
                <w:sz w:val="20"/>
                <w:szCs w:val="20"/>
                <w:lang w:eastAsia="en-GB"/>
              </w:rPr>
            </w:pPr>
            <w:r w:rsidRPr="00201062">
              <w:rPr>
                <w:rFonts w:cs="Arial"/>
                <w:b/>
                <w:bCs/>
                <w:color w:val="FFFFFF"/>
                <w:sz w:val="20"/>
                <w:szCs w:val="20"/>
                <w:lang w:eastAsia="en-GB"/>
              </w:rPr>
              <w:t>No. H'holds in need</w:t>
            </w:r>
          </w:p>
        </w:tc>
        <w:tc>
          <w:tcPr>
            <w:tcW w:w="1559" w:type="dxa"/>
            <w:tcBorders>
              <w:top w:val="single" w:sz="4" w:space="0" w:color="auto"/>
              <w:left w:val="nil"/>
              <w:bottom w:val="single" w:sz="4" w:space="0" w:color="auto"/>
              <w:right w:val="single" w:sz="4" w:space="0" w:color="auto"/>
            </w:tcBorders>
            <w:shd w:val="clear" w:color="000000" w:fill="008080"/>
            <w:vAlign w:val="center"/>
            <w:hideMark/>
          </w:tcPr>
          <w:p w:rsidR="00201062" w:rsidRPr="00201062" w:rsidRDefault="00201062" w:rsidP="00201062">
            <w:pPr>
              <w:spacing w:before="0" w:after="0"/>
              <w:jc w:val="center"/>
              <w:rPr>
                <w:rFonts w:cs="Arial"/>
                <w:b/>
                <w:bCs/>
                <w:color w:val="FFFFFF"/>
                <w:sz w:val="20"/>
                <w:szCs w:val="20"/>
                <w:lang w:eastAsia="en-GB"/>
              </w:rPr>
            </w:pPr>
            <w:r w:rsidRPr="00201062">
              <w:rPr>
                <w:rFonts w:cs="Arial"/>
                <w:b/>
                <w:bCs/>
                <w:color w:val="FFFFFF"/>
                <w:sz w:val="20"/>
                <w:szCs w:val="20"/>
                <w:lang w:eastAsia="en-GB"/>
              </w:rPr>
              <w:t>% H'holds in need</w:t>
            </w:r>
          </w:p>
        </w:tc>
        <w:tc>
          <w:tcPr>
            <w:tcW w:w="1559" w:type="dxa"/>
            <w:tcBorders>
              <w:top w:val="single" w:sz="4" w:space="0" w:color="auto"/>
              <w:left w:val="nil"/>
              <w:bottom w:val="single" w:sz="4" w:space="0" w:color="auto"/>
              <w:right w:val="single" w:sz="4" w:space="0" w:color="auto"/>
            </w:tcBorders>
            <w:shd w:val="clear" w:color="000000" w:fill="008080"/>
            <w:vAlign w:val="center"/>
            <w:hideMark/>
          </w:tcPr>
          <w:p w:rsidR="00201062" w:rsidRPr="00201062" w:rsidRDefault="00201062" w:rsidP="00201062">
            <w:pPr>
              <w:spacing w:before="0" w:after="0"/>
              <w:jc w:val="center"/>
              <w:rPr>
                <w:rFonts w:cs="Arial"/>
                <w:b/>
                <w:bCs/>
                <w:color w:val="FFFFFF"/>
                <w:sz w:val="20"/>
                <w:szCs w:val="20"/>
                <w:lang w:eastAsia="en-GB"/>
              </w:rPr>
            </w:pPr>
            <w:r w:rsidRPr="00201062">
              <w:rPr>
                <w:rFonts w:cs="Arial"/>
                <w:b/>
                <w:bCs/>
                <w:color w:val="FFFFFF"/>
                <w:sz w:val="20"/>
                <w:szCs w:val="20"/>
                <w:lang w:eastAsia="en-GB"/>
              </w:rPr>
              <w:t>Total no. households</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Single adult (under 60)</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2379</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8.3</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28541</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Single adult (60 or over)</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2274</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5.7</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40135</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Couple only (both under 60)</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1157</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4.0</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29114</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Couple only (one or both over 60)</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3011</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6.1</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49755</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Couple 1/2 child(ren) under 18</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655</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2.4</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27077</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Couple 3+ children under 18</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603</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13.9</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4352</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Lone parent with 1/2 child(ren) under 18</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924</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8.8</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10545</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Lone parent with 3+ children under 18</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189</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26.4</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716</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Couple with adult child(ren)</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2332</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11.1</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20932</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Lone parent with adult child(ren)</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340</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5.8</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5819</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sz w:val="20"/>
                <w:szCs w:val="20"/>
                <w:lang w:eastAsia="en-GB"/>
              </w:rPr>
            </w:pPr>
            <w:r w:rsidRPr="00201062">
              <w:rPr>
                <w:rFonts w:cs="Arial"/>
                <w:sz w:val="20"/>
                <w:szCs w:val="20"/>
                <w:lang w:eastAsia="en-GB"/>
              </w:rPr>
              <w:t>Other type of household</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935</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16.6</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5629</w:t>
            </w:r>
          </w:p>
        </w:tc>
      </w:tr>
      <w:tr w:rsidR="00201062" w:rsidRPr="00201062" w:rsidTr="00201062">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rPr>
                <w:rFonts w:cs="Arial"/>
                <w:b/>
                <w:bCs/>
                <w:sz w:val="20"/>
                <w:szCs w:val="20"/>
                <w:lang w:eastAsia="en-GB"/>
              </w:rPr>
            </w:pPr>
            <w:r w:rsidRPr="00201062">
              <w:rPr>
                <w:rFonts w:cs="Arial"/>
                <w:b/>
                <w:bCs/>
                <w:sz w:val="20"/>
                <w:szCs w:val="20"/>
                <w:lang w:eastAsia="en-GB"/>
              </w:rPr>
              <w:t>Total</w:t>
            </w:r>
          </w:p>
        </w:tc>
        <w:tc>
          <w:tcPr>
            <w:tcW w:w="1560"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14800</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b/>
                <w:bCs/>
                <w:sz w:val="20"/>
                <w:szCs w:val="20"/>
                <w:lang w:eastAsia="en-GB"/>
              </w:rPr>
            </w:pPr>
            <w:r w:rsidRPr="00201062">
              <w:rPr>
                <w:rFonts w:cs="Arial"/>
                <w:b/>
                <w:bCs/>
                <w:sz w:val="20"/>
                <w:szCs w:val="20"/>
                <w:lang w:eastAsia="en-GB"/>
              </w:rPr>
              <w:t>6.6</w:t>
            </w:r>
          </w:p>
        </w:tc>
        <w:tc>
          <w:tcPr>
            <w:tcW w:w="1559" w:type="dxa"/>
            <w:tcBorders>
              <w:top w:val="nil"/>
              <w:left w:val="nil"/>
              <w:bottom w:val="single" w:sz="4" w:space="0" w:color="auto"/>
              <w:right w:val="single" w:sz="4" w:space="0" w:color="auto"/>
            </w:tcBorders>
            <w:shd w:val="clear" w:color="auto" w:fill="auto"/>
            <w:noWrap/>
            <w:vAlign w:val="bottom"/>
            <w:hideMark/>
          </w:tcPr>
          <w:p w:rsidR="00201062" w:rsidRPr="00201062" w:rsidRDefault="00201062" w:rsidP="00201062">
            <w:pPr>
              <w:spacing w:before="0" w:after="0"/>
              <w:jc w:val="center"/>
              <w:rPr>
                <w:rFonts w:cs="Arial"/>
                <w:sz w:val="20"/>
                <w:szCs w:val="20"/>
                <w:lang w:eastAsia="en-GB"/>
              </w:rPr>
            </w:pPr>
            <w:r w:rsidRPr="00201062">
              <w:rPr>
                <w:rFonts w:cs="Arial"/>
                <w:sz w:val="20"/>
                <w:szCs w:val="20"/>
                <w:lang w:eastAsia="en-GB"/>
              </w:rPr>
              <w:t>222616</w:t>
            </w:r>
          </w:p>
        </w:tc>
      </w:tr>
    </w:tbl>
    <w:p w:rsidR="000E5455" w:rsidRDefault="00AC0517" w:rsidP="00FE6F5E">
      <w:pPr>
        <w:ind w:firstLine="720"/>
        <w:rPr>
          <w:sz w:val="20"/>
          <w:szCs w:val="20"/>
        </w:rPr>
      </w:pPr>
      <w:r>
        <w:rPr>
          <w:sz w:val="20"/>
          <w:szCs w:val="20"/>
        </w:rPr>
        <w:t>Source: 2012</w:t>
      </w:r>
      <w:r w:rsidR="00E54933">
        <w:rPr>
          <w:sz w:val="20"/>
          <w:szCs w:val="20"/>
        </w:rPr>
        <w:t xml:space="preserve"> Household Survey</w:t>
      </w:r>
      <w:r w:rsidR="00FE3860">
        <w:rPr>
          <w:sz w:val="20"/>
          <w:szCs w:val="20"/>
        </w:rPr>
        <w:t>, rebased to 2012 Census</w:t>
      </w:r>
    </w:p>
    <w:p w:rsidR="00D975B7" w:rsidRDefault="00D975B7" w:rsidP="00071784">
      <w:pPr>
        <w:rPr>
          <w:sz w:val="20"/>
          <w:szCs w:val="20"/>
        </w:rPr>
      </w:pPr>
    </w:p>
    <w:p w:rsidR="00B1321C" w:rsidRPr="0083115A" w:rsidRDefault="00B1321C" w:rsidP="00071784"/>
    <w:p w:rsidR="00D975B7" w:rsidRDefault="00D975B7" w:rsidP="00D975B7">
      <w:pPr>
        <w:pStyle w:val="Heading2"/>
        <w:ind w:hanging="709"/>
      </w:pPr>
      <w:r>
        <w:tab/>
      </w:r>
      <w:bookmarkStart w:id="101" w:name="_Toc333507763"/>
      <w:r>
        <w:t xml:space="preserve">Core Output 5: </w:t>
      </w:r>
      <w:r>
        <w:tab/>
        <w:t>Future households requiring affordable housing</w:t>
      </w:r>
      <w:bookmarkEnd w:id="101"/>
    </w:p>
    <w:p w:rsidR="00D975B7" w:rsidRDefault="00D975B7" w:rsidP="00D975B7">
      <w:pPr>
        <w:rPr>
          <w:bCs/>
          <w:i/>
        </w:rPr>
      </w:pPr>
    </w:p>
    <w:p w:rsidR="00DC1B92" w:rsidRDefault="00D975B7" w:rsidP="009C66CF">
      <w:pPr>
        <w:pStyle w:val="Maintext"/>
      </w:pPr>
      <w:r>
        <w:t xml:space="preserve">Various assumptions regarding the rate of household formation can be derived from a number of sources. These are explored in detail at Appendix D but in summary the study is assuming a </w:t>
      </w:r>
      <w:r w:rsidR="00DC1B92">
        <w:t xml:space="preserve">baseline </w:t>
      </w:r>
      <w:r>
        <w:t xml:space="preserve">household formation rate of </w:t>
      </w:r>
      <w:r w:rsidR="00201062">
        <w:t>2,359</w:t>
      </w:r>
      <w:r w:rsidR="008213CA">
        <w:t xml:space="preserve"> </w:t>
      </w:r>
      <w:r w:rsidR="00ED5446">
        <w:t>hous</w:t>
      </w:r>
      <w:r w:rsidR="008213CA">
        <w:t>eholds each year</w:t>
      </w:r>
      <w:r w:rsidR="00201062">
        <w:t>, based on actual household formation over the past five years</w:t>
      </w:r>
      <w:r w:rsidR="008213CA">
        <w:t xml:space="preserve">. </w:t>
      </w:r>
      <w:r w:rsidR="000E0E8E">
        <w:rPr>
          <w:rFonts w:cs="Arial"/>
        </w:rPr>
        <w:t xml:space="preserve">Analysis of </w:t>
      </w:r>
      <w:r w:rsidR="008213CA">
        <w:rPr>
          <w:rFonts w:cs="Arial"/>
        </w:rPr>
        <w:t xml:space="preserve">lower quartile </w:t>
      </w:r>
      <w:r w:rsidR="000E0E8E">
        <w:rPr>
          <w:rFonts w:cs="Arial"/>
        </w:rPr>
        <w:t xml:space="preserve">market prices relative to the income/savings of households expecting to form in the next five years indicates that </w:t>
      </w:r>
      <w:r w:rsidR="00201062">
        <w:rPr>
          <w:rFonts w:cs="Arial"/>
        </w:rPr>
        <w:t>54.0</w:t>
      </w:r>
      <w:r w:rsidR="000E0E8E">
        <w:rPr>
          <w:rFonts w:cs="Arial"/>
        </w:rPr>
        <w:t xml:space="preserve">% could not afford </w:t>
      </w:r>
      <w:r w:rsidR="008213CA">
        <w:rPr>
          <w:rFonts w:cs="Arial"/>
        </w:rPr>
        <w:t>lower quartile</w:t>
      </w:r>
      <w:r w:rsidR="000E0E8E">
        <w:rPr>
          <w:rFonts w:cs="Arial"/>
        </w:rPr>
        <w:t xml:space="preserve"> house prices or private sector rents (</w:t>
      </w:r>
      <w:r w:rsidR="00201062">
        <w:t>1,274</w:t>
      </w:r>
      <w:r w:rsidR="000E0E8E">
        <w:t xml:space="preserve"> households).</w:t>
      </w:r>
    </w:p>
    <w:p w:rsidR="00D975B7" w:rsidRDefault="00DC1B92" w:rsidP="00D975B7">
      <w:pPr>
        <w:pStyle w:val="Maintext"/>
      </w:pPr>
      <w:r>
        <w:t xml:space="preserve">Further details of modelling </w:t>
      </w:r>
      <w:r w:rsidR="00B52F28">
        <w:t>afford</w:t>
      </w:r>
      <w:r>
        <w:t xml:space="preserve">able housing requirements </w:t>
      </w:r>
      <w:r w:rsidR="00B52F28">
        <w:t>is presented in Appendix D.</w:t>
      </w:r>
    </w:p>
    <w:p w:rsidR="00D975B7" w:rsidRDefault="00D975B7" w:rsidP="00D975B7">
      <w:pPr>
        <w:pStyle w:val="Heading2"/>
        <w:ind w:left="0"/>
        <w:rPr>
          <w:rFonts w:cs="Times New Roman"/>
          <w:b w:val="0"/>
          <w:bCs w:val="0"/>
          <w:i/>
          <w:iCs w:val="0"/>
          <w:color w:val="auto"/>
          <w:sz w:val="24"/>
          <w:szCs w:val="24"/>
        </w:rPr>
      </w:pPr>
      <w:bookmarkStart w:id="102" w:name="_Toc214433427"/>
      <w:bookmarkStart w:id="103" w:name="_Toc225941542"/>
    </w:p>
    <w:p w:rsidR="003A6F13" w:rsidRDefault="00D975B7" w:rsidP="00D975B7">
      <w:pPr>
        <w:pStyle w:val="Heading2"/>
        <w:ind w:left="0"/>
      </w:pPr>
      <w:r>
        <w:rPr>
          <w:rFonts w:cs="Times New Roman"/>
          <w:b w:val="0"/>
          <w:bCs w:val="0"/>
          <w:i/>
          <w:iCs w:val="0"/>
          <w:color w:val="auto"/>
          <w:sz w:val="24"/>
          <w:szCs w:val="24"/>
        </w:rPr>
        <w:tab/>
      </w:r>
      <w:bookmarkStart w:id="104" w:name="_Toc333507764"/>
      <w:r w:rsidR="003A6F13">
        <w:t xml:space="preserve">Core Output 6: </w:t>
      </w:r>
      <w:r w:rsidR="003A6F13">
        <w:tab/>
        <w:t>Future households requiring market housing</w:t>
      </w:r>
      <w:bookmarkEnd w:id="102"/>
      <w:bookmarkEnd w:id="103"/>
      <w:bookmarkEnd w:id="104"/>
    </w:p>
    <w:p w:rsidR="003A6F13" w:rsidRDefault="003A6F13">
      <w:pPr>
        <w:rPr>
          <w:i/>
        </w:rPr>
      </w:pPr>
    </w:p>
    <w:p w:rsidR="00FA6966" w:rsidRDefault="008213CA" w:rsidP="00DA0513">
      <w:pPr>
        <w:pStyle w:val="Maintext"/>
      </w:pPr>
      <w:r>
        <w:t>The 2012</w:t>
      </w:r>
      <w:r w:rsidR="003A6F13">
        <w:t xml:space="preserve"> Household Survey provides a range of valuable evidence on</w:t>
      </w:r>
      <w:r w:rsidR="00DA0513">
        <w:t xml:space="preserve"> household planning to move within the open market (i.e. moving to an owner occupied or private rented property</w:t>
      </w:r>
      <w:r w:rsidR="003A6F13">
        <w:t xml:space="preserve">. </w:t>
      </w:r>
      <w:r w:rsidR="005A1749">
        <w:t xml:space="preserve"> The </w:t>
      </w:r>
      <w:r w:rsidR="003A6F13">
        <w:t>maj</w:t>
      </w:r>
      <w:r w:rsidR="00FA6966">
        <w:t>o</w:t>
      </w:r>
      <w:r w:rsidR="002D45C4">
        <w:t xml:space="preserve">rity of households (around </w:t>
      </w:r>
      <w:r w:rsidR="001E3095">
        <w:t>79.7</w:t>
      </w:r>
      <w:r w:rsidR="005B475A">
        <w:t xml:space="preserve">% or </w:t>
      </w:r>
      <w:r w:rsidR="001E3095">
        <w:t>178,300</w:t>
      </w:r>
      <w:r w:rsidR="003A6F13">
        <w:t xml:space="preserve">) live in open market property and overall demand for market accommodation </w:t>
      </w:r>
      <w:r w:rsidR="005A1749">
        <w:t>is</w:t>
      </w:r>
      <w:r w:rsidR="00552376">
        <w:t xml:space="preserve"> largely from </w:t>
      </w:r>
      <w:r w:rsidR="005A1749">
        <w:t>house</w:t>
      </w:r>
      <w:r w:rsidR="00552376">
        <w:t>holds moving within County Durham with some additional demand from in-migrant households, particularly from neighbouring Districts.</w:t>
      </w:r>
    </w:p>
    <w:p w:rsidR="00CE1181" w:rsidRDefault="003A6F13" w:rsidP="00626509">
      <w:pPr>
        <w:pStyle w:val="Maintext"/>
      </w:pPr>
      <w:r>
        <w:t xml:space="preserve">Turnover rates derived from the household survey suggest that around </w:t>
      </w:r>
      <w:r w:rsidR="001E3095">
        <w:t>9,080</w:t>
      </w:r>
      <w:r>
        <w:t xml:space="preserve"> market dwellings become available across </w:t>
      </w:r>
      <w:r w:rsidR="004304B5">
        <w:t>County Durham</w:t>
      </w:r>
      <w:r w:rsidR="00375816">
        <w:t xml:space="preserve"> </w:t>
      </w:r>
      <w:r>
        <w:t xml:space="preserve">each year.  This is based on the level of turnover in the preceding </w:t>
      </w:r>
      <w:r w:rsidR="004304B5">
        <w:t>five</w:t>
      </w:r>
      <w:r>
        <w:t xml:space="preserve"> years.  Of the </w:t>
      </w:r>
      <w:r w:rsidR="008F6597">
        <w:t>9,080</w:t>
      </w:r>
      <w:r w:rsidR="005A1749">
        <w:t xml:space="preserve"> </w:t>
      </w:r>
      <w:r>
        <w:t xml:space="preserve">properties, </w:t>
      </w:r>
      <w:r w:rsidR="001E3095">
        <w:t>4,260</w:t>
      </w:r>
      <w:r w:rsidR="00375816">
        <w:t xml:space="preserve"> are owner occupied and </w:t>
      </w:r>
      <w:r w:rsidR="001E3095">
        <w:t>4,820</w:t>
      </w:r>
      <w:r>
        <w:t xml:space="preserve"> are private rented dwellings. </w:t>
      </w:r>
    </w:p>
    <w:p w:rsidR="003A6F13" w:rsidRDefault="003A6F13" w:rsidP="00626509">
      <w:pPr>
        <w:pStyle w:val="Maintext"/>
      </w:pPr>
      <w:r>
        <w:t xml:space="preserve">An alternative estimate of turnover can be derived from Land Registry sales data. This indicates that across </w:t>
      </w:r>
      <w:r w:rsidR="004304B5">
        <w:t>County Durham</w:t>
      </w:r>
      <w:r>
        <w:t xml:space="preserve"> an annual average of </w:t>
      </w:r>
      <w:r w:rsidR="005A1749">
        <w:t>5,</w:t>
      </w:r>
      <w:r w:rsidR="001E3095">
        <w:t>276</w:t>
      </w:r>
      <w:r w:rsidR="004304B5">
        <w:t xml:space="preserve"> </w:t>
      </w:r>
      <w:r>
        <w:t>dw</w:t>
      </w:r>
      <w:r w:rsidR="000C3FDE">
        <w:t>ellings have been</w:t>
      </w:r>
      <w:r>
        <w:t xml:space="preserve"> sold (based </w:t>
      </w:r>
      <w:r w:rsidR="001E3095">
        <w:t>on a four</w:t>
      </w:r>
      <w:r w:rsidR="00375816">
        <w:t xml:space="preserve">-year average for </w:t>
      </w:r>
      <w:r w:rsidR="001E3095">
        <w:t>2008 to 2011</w:t>
      </w:r>
      <w:r>
        <w:t>)</w:t>
      </w:r>
      <w:r>
        <w:rPr>
          <w:rStyle w:val="FootnoteReference"/>
        </w:rPr>
        <w:footnoteReference w:id="22"/>
      </w:r>
      <w:r w:rsidR="000C3FDE">
        <w:t xml:space="preserve">. </w:t>
      </w:r>
      <w:r>
        <w:t>These are most likely to be sold for owner occupation, but some will have been purchased for renting, although precise numbers cannot be ascertained</w:t>
      </w:r>
      <w:r w:rsidR="00B8787B">
        <w:t xml:space="preserve"> from the data available from Land Registry</w:t>
      </w:r>
      <w:r>
        <w:t xml:space="preserve">. </w:t>
      </w:r>
    </w:p>
    <w:p w:rsidR="00E738FC" w:rsidRDefault="00E738FC">
      <w:pPr>
        <w:pStyle w:val="Maintext"/>
      </w:pPr>
      <w:r>
        <w:t xml:space="preserve">National turnover data derived from the English Housing Survey (2008/9) indicates annual turnover rates of 3.6% for owner occupiers, 36.5% for private renters and 9.3% for all households living on the open market. This compares with </w:t>
      </w:r>
      <w:r w:rsidR="009D2963">
        <w:t>3.6</w:t>
      </w:r>
      <w:r>
        <w:t xml:space="preserve">% for owner occupiers in </w:t>
      </w:r>
      <w:r w:rsidR="009D2963">
        <w:t>County Durham, 16.5</w:t>
      </w:r>
      <w:r>
        <w:t xml:space="preserve">% for private renters and </w:t>
      </w:r>
      <w:r w:rsidR="009D2963">
        <w:t>4.7</w:t>
      </w:r>
      <w:r w:rsidR="00986C4B" w:rsidRPr="00986C4B">
        <w:t>%</w:t>
      </w:r>
      <w:r>
        <w:t xml:space="preserve"> for all </w:t>
      </w:r>
      <w:r w:rsidR="00986C4B">
        <w:t xml:space="preserve">open market </w:t>
      </w:r>
      <w:r>
        <w:t>households. Therefore, compared with national data, turnover is lower overall</w:t>
      </w:r>
      <w:r w:rsidR="00986C4B">
        <w:t xml:space="preserve">. </w:t>
      </w:r>
    </w:p>
    <w:p w:rsidR="000B0E29" w:rsidRDefault="003A6F13">
      <w:pPr>
        <w:pStyle w:val="Maintext"/>
      </w:pPr>
      <w:r>
        <w:t xml:space="preserve">Around </w:t>
      </w:r>
      <w:r w:rsidR="00FE3860">
        <w:t>13,690</w:t>
      </w:r>
      <w:r w:rsidR="0055789B">
        <w:t xml:space="preserve"> </w:t>
      </w:r>
      <w:r>
        <w:t>existing households are</w:t>
      </w:r>
      <w:r w:rsidRPr="00957E7C">
        <w:t xml:space="preserve"> intending to move in the open market on an annual basis</w:t>
      </w:r>
      <w:r w:rsidR="00986C4B">
        <w:t xml:space="preserve"> over the next five years</w:t>
      </w:r>
      <w:r w:rsidR="003C4F7C">
        <w:t xml:space="preserve"> within </w:t>
      </w:r>
      <w:r w:rsidR="001D769C">
        <w:t>County Durham</w:t>
      </w:r>
      <w:r w:rsidR="00442816">
        <w:t>.  Figure 4.5</w:t>
      </w:r>
      <w:r w:rsidRPr="00957E7C">
        <w:t xml:space="preserve"> indicates that the households most likely to be moving in the open market are couples </w:t>
      </w:r>
      <w:r w:rsidR="001D769C">
        <w:t xml:space="preserve">with children, couples </w:t>
      </w:r>
      <w:r w:rsidRPr="00957E7C">
        <w:t>under 60</w:t>
      </w:r>
      <w:r w:rsidR="00106AF2" w:rsidRPr="00957E7C">
        <w:t xml:space="preserve"> (with no children)</w:t>
      </w:r>
      <w:r w:rsidR="001D769C">
        <w:t xml:space="preserve"> </w:t>
      </w:r>
      <w:r w:rsidR="00986C4B">
        <w:t>and singles under 60.</w:t>
      </w:r>
    </w:p>
    <w:p w:rsidR="00CA67D2" w:rsidRDefault="00CA67D2" w:rsidP="00CA67D2">
      <w:pPr>
        <w:pStyle w:val="Maintext"/>
        <w:numPr>
          <w:ilvl w:val="0"/>
          <w:numId w:val="0"/>
        </w:numPr>
        <w:rPr>
          <w:b/>
        </w:rPr>
      </w:pPr>
    </w:p>
    <w:p w:rsidR="000B0E29" w:rsidRDefault="000B0E29" w:rsidP="00CA67D2">
      <w:pPr>
        <w:pStyle w:val="Maintext"/>
        <w:numPr>
          <w:ilvl w:val="0"/>
          <w:numId w:val="0"/>
        </w:numPr>
        <w:ind w:left="1440" w:hanging="1440"/>
      </w:pPr>
      <w:r>
        <w:rPr>
          <w:b/>
        </w:rPr>
        <w:t>Figure 4.</w:t>
      </w:r>
      <w:r w:rsidR="00442816">
        <w:rPr>
          <w:b/>
        </w:rPr>
        <w:t>5</w:t>
      </w:r>
      <w:r>
        <w:tab/>
        <w:t>Types of household intending to move in the open market in the next five years</w:t>
      </w:r>
      <w:r w:rsidR="003C4F7C">
        <w:t xml:space="preserve"> </w:t>
      </w:r>
      <w:r w:rsidR="001D769C">
        <w:t>in County Durham</w:t>
      </w:r>
    </w:p>
    <w:p w:rsidR="00986C4B" w:rsidRDefault="00FE3860" w:rsidP="00986C4B">
      <w:pPr>
        <w:pStyle w:val="Maintext"/>
        <w:numPr>
          <w:ilvl w:val="0"/>
          <w:numId w:val="0"/>
        </w:numPr>
        <w:ind w:left="2160" w:hanging="1451"/>
        <w:rPr>
          <w:noProof/>
          <w:lang w:eastAsia="en-GB"/>
        </w:rPr>
      </w:pPr>
      <w:r w:rsidRPr="00FE3860">
        <w:rPr>
          <w:noProof/>
          <w:lang w:eastAsia="en-GB"/>
        </w:rPr>
        <w:drawing>
          <wp:inline distT="0" distB="0" distL="0" distR="0">
            <wp:extent cx="5444297" cy="3573076"/>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B0E29" w:rsidRPr="00986C4B" w:rsidRDefault="00986C4B" w:rsidP="00986C4B">
      <w:pPr>
        <w:pStyle w:val="Maintext"/>
        <w:numPr>
          <w:ilvl w:val="0"/>
          <w:numId w:val="0"/>
        </w:numPr>
        <w:ind w:left="2160" w:hanging="1451"/>
      </w:pPr>
      <w:r>
        <w:rPr>
          <w:bCs/>
          <w:iCs/>
          <w:sz w:val="20"/>
          <w:szCs w:val="20"/>
        </w:rPr>
        <w:t xml:space="preserve">Source: </w:t>
      </w:r>
      <w:r w:rsidR="00DD3EB7">
        <w:rPr>
          <w:bCs/>
          <w:iCs/>
          <w:sz w:val="20"/>
          <w:szCs w:val="20"/>
        </w:rPr>
        <w:t>2012 Household Survey</w:t>
      </w:r>
      <w:r w:rsidR="00FE3860">
        <w:rPr>
          <w:bCs/>
          <w:iCs/>
          <w:sz w:val="20"/>
          <w:szCs w:val="20"/>
        </w:rPr>
        <w:t>, rebased to 2011 Census</w:t>
      </w:r>
    </w:p>
    <w:p w:rsidR="003A6F13" w:rsidRPr="00996E9C" w:rsidRDefault="003A6F13" w:rsidP="000B0E29">
      <w:pPr>
        <w:pStyle w:val="Maintext"/>
        <w:numPr>
          <w:ilvl w:val="0"/>
          <w:numId w:val="0"/>
        </w:numPr>
        <w:rPr>
          <w:i/>
        </w:rPr>
      </w:pPr>
    </w:p>
    <w:p w:rsidR="00A41F7D" w:rsidRDefault="00A41F7D">
      <w:pPr>
        <w:pStyle w:val="Maintext"/>
      </w:pPr>
      <w:r>
        <w:t>Households intending to move in the open market were asked what type and size of property they would like and expect to move to</w:t>
      </w:r>
      <w:r w:rsidR="00745D67">
        <w:t xml:space="preserve"> (Table </w:t>
      </w:r>
      <w:r w:rsidR="001E3095">
        <w:t>4.18</w:t>
      </w:r>
      <w:r w:rsidR="00745D67">
        <w:t>)</w:t>
      </w:r>
      <w:r>
        <w:t xml:space="preserve">. </w:t>
      </w:r>
      <w:r w:rsidR="003A6F13">
        <w:t xml:space="preserve">Of households moving, </w:t>
      </w:r>
      <w:r>
        <w:t xml:space="preserve">most would like </w:t>
      </w:r>
      <w:r w:rsidR="008728BA">
        <w:t>to move to a house (</w:t>
      </w:r>
      <w:r w:rsidR="00FE3860">
        <w:t>77.8</w:t>
      </w:r>
      <w:r w:rsidR="00FB4C86">
        <w:t xml:space="preserve">%), </w:t>
      </w:r>
      <w:r w:rsidR="00FE3860">
        <w:t>16.7</w:t>
      </w:r>
      <w:r>
        <w:t>% would li</w:t>
      </w:r>
      <w:r w:rsidR="008728BA">
        <w:t xml:space="preserve">ke to move to a bungalow and </w:t>
      </w:r>
      <w:r w:rsidR="002E1B35">
        <w:t>5.4</w:t>
      </w:r>
      <w:r>
        <w:t xml:space="preserve">% </w:t>
      </w:r>
      <w:r w:rsidR="00957E7C">
        <w:t>to</w:t>
      </w:r>
      <w:r w:rsidR="008728BA">
        <w:t xml:space="preserve"> a flat. This compares with </w:t>
      </w:r>
      <w:r w:rsidR="002E1B35">
        <w:t>79.8</w:t>
      </w:r>
      <w:r>
        <w:t>% who</w:t>
      </w:r>
      <w:r w:rsidR="008728BA">
        <w:t xml:space="preserve"> expect to move to a house, </w:t>
      </w:r>
      <w:r w:rsidR="002E1B35">
        <w:t>14.2</w:t>
      </w:r>
      <w:r w:rsidR="0087711F">
        <w:t>% to</w:t>
      </w:r>
      <w:r>
        <w:t xml:space="preserve"> a bungalo</w:t>
      </w:r>
      <w:r w:rsidR="00957E7C">
        <w:t xml:space="preserve">w and </w:t>
      </w:r>
      <w:r w:rsidR="002E1B35">
        <w:t>5.5%</w:t>
      </w:r>
      <w:r w:rsidR="0087711F">
        <w:t xml:space="preserve"> to </w:t>
      </w:r>
      <w:r>
        <w:t xml:space="preserve">a flat. Although households are </w:t>
      </w:r>
      <w:r w:rsidR="00957E7C">
        <w:t xml:space="preserve">expecting to broadly achieve their aspirations, </w:t>
      </w:r>
      <w:r>
        <w:t xml:space="preserve">a higher proportion would like to move to a </w:t>
      </w:r>
      <w:r w:rsidR="008728BA">
        <w:t>detached house (</w:t>
      </w:r>
      <w:r w:rsidR="002E1B35">
        <w:t>55</w:t>
      </w:r>
      <w:r w:rsidR="00FB4C86">
        <w:t>.4</w:t>
      </w:r>
      <w:r w:rsidR="008728BA">
        <w:t xml:space="preserve">%) but only </w:t>
      </w:r>
      <w:r w:rsidR="002E1B35">
        <w:t>28.6</w:t>
      </w:r>
      <w:r>
        <w:t>% expect to. In contrast, higher proportions expect to mov</w:t>
      </w:r>
      <w:r w:rsidR="0087711F">
        <w:t>e to a se</w:t>
      </w:r>
      <w:r w:rsidR="002E1B35">
        <w:t>mi-detached house (34.6</w:t>
      </w:r>
      <w:r>
        <w:t>%) th</w:t>
      </w:r>
      <w:r w:rsidR="00FB4C86">
        <w:t>an would prefer to (16</w:t>
      </w:r>
      <w:r w:rsidR="002E1B35">
        <w:t>.9</w:t>
      </w:r>
      <w:r>
        <w:t xml:space="preserve">%).  </w:t>
      </w:r>
    </w:p>
    <w:p w:rsidR="00DA0513" w:rsidRPr="00CA67D2" w:rsidRDefault="00AA4C1B" w:rsidP="00CA67D2">
      <w:pPr>
        <w:pStyle w:val="Maintext"/>
      </w:pPr>
      <w:r>
        <w:t>In terms of property size, the majority of respondents expect to m</w:t>
      </w:r>
      <w:r w:rsidR="008728BA">
        <w:t>ov</w:t>
      </w:r>
      <w:r w:rsidR="002E1B35">
        <w:t>e to a property with two (26.1</w:t>
      </w:r>
      <w:r w:rsidR="00FB4C86">
        <w:t>%), three (</w:t>
      </w:r>
      <w:r w:rsidR="002E1B35">
        <w:t>50.3</w:t>
      </w:r>
      <w:r w:rsidR="00FB4C86">
        <w:t>%) or four or more (</w:t>
      </w:r>
      <w:r w:rsidR="002E1B35">
        <w:t>23.1</w:t>
      </w:r>
      <w:r>
        <w:t>%) bedrooms. A higher proportion of households would like a property with four or more bedr</w:t>
      </w:r>
      <w:r w:rsidR="00957E7C">
        <w:t>ooms (</w:t>
      </w:r>
      <w:r w:rsidR="002E1B35">
        <w:t>39.2</w:t>
      </w:r>
      <w:r>
        <w:t>%).</w:t>
      </w:r>
    </w:p>
    <w:p w:rsidR="00DA0513" w:rsidRDefault="00DA0513" w:rsidP="00071784">
      <w:pPr>
        <w:pStyle w:val="Maintext"/>
        <w:numPr>
          <w:ilvl w:val="0"/>
          <w:numId w:val="0"/>
        </w:numPr>
        <w:ind w:firstLine="709"/>
        <w:rPr>
          <w:b/>
        </w:rPr>
      </w:pPr>
    </w:p>
    <w:p w:rsidR="00FE3860" w:rsidRDefault="00FE3860">
      <w:pPr>
        <w:spacing w:before="0" w:after="0"/>
        <w:rPr>
          <w:b/>
        </w:rPr>
      </w:pPr>
      <w:r>
        <w:rPr>
          <w:b/>
        </w:rPr>
        <w:br w:type="page"/>
      </w:r>
    </w:p>
    <w:p w:rsidR="008B0835" w:rsidRDefault="003A6F13" w:rsidP="00FE3860">
      <w:pPr>
        <w:pStyle w:val="Maintext"/>
        <w:numPr>
          <w:ilvl w:val="0"/>
          <w:numId w:val="0"/>
        </w:numPr>
        <w:ind w:left="2160" w:hanging="1451"/>
      </w:pPr>
      <w:r>
        <w:rPr>
          <w:b/>
        </w:rPr>
        <w:t>Table 4.</w:t>
      </w:r>
      <w:r w:rsidR="00986C4B">
        <w:rPr>
          <w:b/>
        </w:rPr>
        <w:t>1</w:t>
      </w:r>
      <w:r w:rsidR="001E3095">
        <w:rPr>
          <w:b/>
        </w:rPr>
        <w:t>8</w:t>
      </w:r>
      <w:r>
        <w:tab/>
        <w:t xml:space="preserve">Market preferences of existing households planning to move </w:t>
      </w:r>
      <w:r w:rsidR="00FE3860">
        <w:t>within County Durham</w:t>
      </w:r>
    </w:p>
    <w:p w:rsidR="00986C4B" w:rsidRDefault="00FE3860" w:rsidP="00071784">
      <w:pPr>
        <w:pStyle w:val="Maintext"/>
        <w:numPr>
          <w:ilvl w:val="0"/>
          <w:numId w:val="0"/>
        </w:numPr>
        <w:ind w:firstLine="709"/>
      </w:pPr>
      <w:r w:rsidRPr="00FE3860">
        <w:rPr>
          <w:noProof/>
          <w:lang w:eastAsia="en-GB"/>
        </w:rPr>
        <w:drawing>
          <wp:inline distT="0" distB="0" distL="0" distR="0">
            <wp:extent cx="5578475" cy="4118610"/>
            <wp:effectExtent l="19050" t="0" r="317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578475" cy="4118610"/>
                    </a:xfrm>
                    <a:prstGeom prst="rect">
                      <a:avLst/>
                    </a:prstGeom>
                    <a:noFill/>
                    <a:ln w="9525">
                      <a:noFill/>
                      <a:miter lim="800000"/>
                      <a:headEnd/>
                      <a:tailEnd/>
                    </a:ln>
                  </pic:spPr>
                </pic:pic>
              </a:graphicData>
            </a:graphic>
          </wp:inline>
        </w:drawing>
      </w:r>
    </w:p>
    <w:p w:rsidR="00AE32FA" w:rsidRDefault="00986C4B" w:rsidP="006A3AD8">
      <w:pPr>
        <w:pStyle w:val="Maintext"/>
        <w:numPr>
          <w:ilvl w:val="0"/>
          <w:numId w:val="0"/>
        </w:numPr>
        <w:ind w:left="709"/>
        <w:rPr>
          <w:sz w:val="20"/>
          <w:szCs w:val="20"/>
        </w:rPr>
      </w:pPr>
      <w:r>
        <w:rPr>
          <w:sz w:val="20"/>
          <w:szCs w:val="20"/>
        </w:rPr>
        <w:t xml:space="preserve">Source: </w:t>
      </w:r>
      <w:r w:rsidR="00DD3EB7">
        <w:rPr>
          <w:sz w:val="20"/>
          <w:szCs w:val="20"/>
        </w:rPr>
        <w:t>2012 Household Survey</w:t>
      </w:r>
      <w:r w:rsidR="00FE3860">
        <w:rPr>
          <w:sz w:val="20"/>
          <w:szCs w:val="20"/>
        </w:rPr>
        <w:t>, rebased to 2011 Census</w:t>
      </w:r>
    </w:p>
    <w:p w:rsidR="009F12AE" w:rsidRDefault="009F12AE" w:rsidP="00071784">
      <w:pPr>
        <w:pStyle w:val="Maintext"/>
        <w:numPr>
          <w:ilvl w:val="0"/>
          <w:numId w:val="0"/>
        </w:numPr>
        <w:rPr>
          <w:b/>
        </w:rPr>
      </w:pPr>
    </w:p>
    <w:p w:rsidR="00071784" w:rsidRDefault="00460563" w:rsidP="00785F4A">
      <w:pPr>
        <w:pStyle w:val="Maintext"/>
      </w:pPr>
      <w:r>
        <w:t>Table 4.1</w:t>
      </w:r>
      <w:r w:rsidR="001E3095">
        <w:t>9</w:t>
      </w:r>
      <w:r w:rsidR="00071784">
        <w:t xml:space="preserve"> provides further details on the range of expectations household have for particular property types and sizes by household type</w:t>
      </w:r>
      <w:r w:rsidR="004243C6">
        <w:t xml:space="preserve">. This </w:t>
      </w:r>
      <w:r w:rsidR="00071784">
        <w:t>provides a useful review of how market de</w:t>
      </w:r>
      <w:r w:rsidR="002E1B35">
        <w:t xml:space="preserve">mand varies by household type. </w:t>
      </w:r>
      <w:r w:rsidR="00071784">
        <w:t>The table shows the percentage of households by household type who expect to move to a part</w:t>
      </w:r>
      <w:r w:rsidR="00780720">
        <w:t xml:space="preserve">icular property type and size. </w:t>
      </w:r>
      <w:r w:rsidR="00071784">
        <w:t>Data indicates that:</w:t>
      </w:r>
    </w:p>
    <w:p w:rsidR="00071784" w:rsidRDefault="00071784" w:rsidP="00C76826">
      <w:pPr>
        <w:pStyle w:val="Maintext"/>
        <w:numPr>
          <w:ilvl w:val="2"/>
          <w:numId w:val="10"/>
        </w:numPr>
      </w:pPr>
      <w:r>
        <w:t xml:space="preserve">Houses remain the most popular choice of most households (except for older singles and </w:t>
      </w:r>
      <w:r w:rsidR="009F12AE">
        <w:t>couples</w:t>
      </w:r>
      <w:r>
        <w:t>), particularly detached and semi-detached properties with two, three and four bedrooms;</w:t>
      </w:r>
    </w:p>
    <w:p w:rsidR="00071784" w:rsidRDefault="00023F7B" w:rsidP="00C76826">
      <w:pPr>
        <w:pStyle w:val="Maintext"/>
        <w:numPr>
          <w:ilvl w:val="2"/>
          <w:numId w:val="10"/>
        </w:numPr>
      </w:pPr>
      <w:r>
        <w:t xml:space="preserve">A reasonable proportion of older </w:t>
      </w:r>
      <w:r w:rsidR="00985959">
        <w:t xml:space="preserve">single </w:t>
      </w:r>
      <w:r>
        <w:t xml:space="preserve">people </w:t>
      </w:r>
      <w:r w:rsidR="00E51BF2">
        <w:t>(</w:t>
      </w:r>
      <w:r w:rsidR="00780720">
        <w:t>28.1</w:t>
      </w:r>
      <w:r w:rsidR="00985959">
        <w:t xml:space="preserve">%) </w:t>
      </w:r>
      <w:r>
        <w:t>expect to move into flats</w:t>
      </w:r>
      <w:r w:rsidR="00071784">
        <w:t xml:space="preserve">; </w:t>
      </w:r>
    </w:p>
    <w:p w:rsidR="00785F4A" w:rsidRDefault="00071784" w:rsidP="00C76826">
      <w:pPr>
        <w:pStyle w:val="Maintext"/>
        <w:numPr>
          <w:ilvl w:val="2"/>
          <w:numId w:val="10"/>
        </w:numPr>
      </w:pPr>
      <w:r>
        <w:t xml:space="preserve">There is a strong </w:t>
      </w:r>
      <w:r w:rsidR="00A733CC">
        <w:t xml:space="preserve">expectation of moving to </w:t>
      </w:r>
      <w:r>
        <w:t xml:space="preserve">bungalows amongst older </w:t>
      </w:r>
      <w:r w:rsidR="00E51BF2">
        <w:t xml:space="preserve">person households (mentioned by </w:t>
      </w:r>
      <w:r w:rsidR="00780720">
        <w:t>66.0</w:t>
      </w:r>
      <w:r w:rsidR="009F12AE">
        <w:t>% of older couples</w:t>
      </w:r>
      <w:r w:rsidR="00E51BF2">
        <w:t xml:space="preserve"> and </w:t>
      </w:r>
      <w:r w:rsidR="00780720">
        <w:t>37.5</w:t>
      </w:r>
      <w:r w:rsidR="00E51BF2">
        <w:t>% of couples with adult children</w:t>
      </w:r>
      <w:r w:rsidR="009F12AE">
        <w:t>)</w:t>
      </w:r>
      <w:r>
        <w:t>;</w:t>
      </w:r>
      <w:r w:rsidR="000B0E29">
        <w:t xml:space="preserve"> </w:t>
      </w:r>
    </w:p>
    <w:p w:rsidR="00985959" w:rsidRDefault="00822135" w:rsidP="00C76826">
      <w:pPr>
        <w:pStyle w:val="Maintext"/>
        <w:numPr>
          <w:ilvl w:val="2"/>
          <w:numId w:val="10"/>
        </w:numPr>
      </w:pPr>
      <w:r>
        <w:t xml:space="preserve">The number of bedrooms </w:t>
      </w:r>
      <w:r w:rsidR="00985959">
        <w:t xml:space="preserve">expected does not necessarily </w:t>
      </w:r>
      <w:r w:rsidR="00E51BF2">
        <w:t xml:space="preserve">relate to household size, with </w:t>
      </w:r>
      <w:r w:rsidR="00780720">
        <w:t>67.3</w:t>
      </w:r>
      <w:r w:rsidR="00E51BF2">
        <w:t xml:space="preserve">% of singles under 60 and </w:t>
      </w:r>
      <w:r w:rsidR="00780720">
        <w:t>74.0</w:t>
      </w:r>
      <w:r w:rsidR="00985959">
        <w:t xml:space="preserve">% of couples (no children) expecting to move to a </w:t>
      </w:r>
      <w:r w:rsidR="00E51BF2">
        <w:t xml:space="preserve">property with </w:t>
      </w:r>
      <w:r w:rsidR="00985959">
        <w:t xml:space="preserve">three </w:t>
      </w:r>
      <w:r w:rsidR="00E51BF2">
        <w:t xml:space="preserve">or more </w:t>
      </w:r>
      <w:r w:rsidR="00985959">
        <w:t>bedroom</w:t>
      </w:r>
      <w:r w:rsidR="00E51BF2">
        <w:t>s</w:t>
      </w:r>
      <w:r w:rsidR="00985959">
        <w:t>. Overall:</w:t>
      </w:r>
    </w:p>
    <w:p w:rsidR="00E51BF2" w:rsidRDefault="00E51BF2" w:rsidP="00C76826">
      <w:pPr>
        <w:pStyle w:val="Maintext"/>
        <w:numPr>
          <w:ilvl w:val="3"/>
          <w:numId w:val="10"/>
        </w:numPr>
      </w:pPr>
      <w:r>
        <w:t xml:space="preserve"> Very few households expected to move to a one bedroom property;</w:t>
      </w:r>
    </w:p>
    <w:p w:rsidR="00023F7B" w:rsidRDefault="00985959" w:rsidP="00C76826">
      <w:pPr>
        <w:pStyle w:val="Maintext"/>
        <w:numPr>
          <w:ilvl w:val="3"/>
          <w:numId w:val="10"/>
        </w:numPr>
      </w:pPr>
      <w:r>
        <w:t>two bedroom properties were mainly expected to be moved to by singles</w:t>
      </w:r>
      <w:r w:rsidR="00E51BF2">
        <w:t xml:space="preserve"> aged 60 or over</w:t>
      </w:r>
      <w:r w:rsidR="00780720">
        <w:t xml:space="preserve"> and</w:t>
      </w:r>
      <w:r>
        <w:t xml:space="preserve"> couples over 60</w:t>
      </w:r>
      <w:r w:rsidR="00E51BF2">
        <w:t>;</w:t>
      </w:r>
      <w:r w:rsidR="00A733CC">
        <w:t xml:space="preserve"> </w:t>
      </w:r>
    </w:p>
    <w:p w:rsidR="00E51BF2" w:rsidRDefault="00A733CC" w:rsidP="00C76826">
      <w:pPr>
        <w:pStyle w:val="Maintext"/>
        <w:numPr>
          <w:ilvl w:val="3"/>
          <w:numId w:val="10"/>
        </w:numPr>
      </w:pPr>
      <w:r>
        <w:t xml:space="preserve">three bedrooms </w:t>
      </w:r>
      <w:r w:rsidR="00985959">
        <w:t xml:space="preserve">were mainly expected to be moved to by </w:t>
      </w:r>
      <w:r w:rsidR="00E51BF2">
        <w:t>lone parents with</w:t>
      </w:r>
      <w:r w:rsidR="00780720">
        <w:t xml:space="preserve"> 1 or </w:t>
      </w:r>
      <w:r w:rsidR="00E51BF2">
        <w:t>2 children, couples only (both under 60), other types of household and lone parents with adult children;</w:t>
      </w:r>
    </w:p>
    <w:p w:rsidR="003963C3" w:rsidRPr="00E51BF2" w:rsidRDefault="00A733CC" w:rsidP="00C76826">
      <w:pPr>
        <w:pStyle w:val="Maintext"/>
        <w:numPr>
          <w:ilvl w:val="3"/>
          <w:numId w:val="10"/>
        </w:numPr>
      </w:pPr>
      <w:r>
        <w:t xml:space="preserve">four or more bedrooms </w:t>
      </w:r>
      <w:r w:rsidR="003963C3">
        <w:t xml:space="preserve">were mainly expected to be moved to by couples </w:t>
      </w:r>
      <w:r w:rsidR="00E51BF2">
        <w:t xml:space="preserve">with children. </w:t>
      </w:r>
    </w:p>
    <w:p w:rsidR="00E51BF2" w:rsidRDefault="00E51BF2" w:rsidP="00785F4A">
      <w:pPr>
        <w:pStyle w:val="Maintext"/>
        <w:numPr>
          <w:ilvl w:val="0"/>
          <w:numId w:val="0"/>
        </w:numPr>
        <w:ind w:left="709" w:hanging="709"/>
        <w:rPr>
          <w:b/>
        </w:rPr>
        <w:sectPr w:rsidR="00E51BF2" w:rsidSect="00176832">
          <w:pgSz w:w="11907" w:h="16840" w:code="9"/>
          <w:pgMar w:top="1304" w:right="1304" w:bottom="1559" w:left="1304" w:header="720" w:footer="567" w:gutter="0"/>
          <w:cols w:space="708"/>
          <w:noEndnote/>
          <w:docGrid w:linePitch="326"/>
        </w:sectPr>
      </w:pPr>
    </w:p>
    <w:p w:rsidR="00785F4A" w:rsidRDefault="00460563" w:rsidP="00785F4A">
      <w:pPr>
        <w:pStyle w:val="Maintext"/>
        <w:numPr>
          <w:ilvl w:val="0"/>
          <w:numId w:val="0"/>
        </w:numPr>
        <w:ind w:left="709" w:hanging="709"/>
      </w:pPr>
      <w:r>
        <w:rPr>
          <w:b/>
        </w:rPr>
        <w:t>Table 4.1</w:t>
      </w:r>
      <w:r w:rsidR="001E3095">
        <w:rPr>
          <w:b/>
        </w:rPr>
        <w:t>9</w:t>
      </w:r>
      <w:r w:rsidR="00785F4A">
        <w:rPr>
          <w:b/>
        </w:rPr>
        <w:tab/>
      </w:r>
      <w:r w:rsidR="00785F4A" w:rsidRPr="00785F4A">
        <w:t xml:space="preserve">Property type and size </w:t>
      </w:r>
      <w:r w:rsidR="0032741E">
        <w:t>expectations</w:t>
      </w:r>
      <w:r w:rsidR="00785F4A" w:rsidRPr="00785F4A">
        <w:t xml:space="preserve"> by household type</w:t>
      </w:r>
    </w:p>
    <w:tbl>
      <w:tblPr>
        <w:tblW w:w="14701" w:type="dxa"/>
        <w:tblInd w:w="93" w:type="dxa"/>
        <w:tblLayout w:type="fixed"/>
        <w:tblLook w:val="04A0" w:firstRow="1" w:lastRow="0" w:firstColumn="1" w:lastColumn="0" w:noHBand="0" w:noVBand="1"/>
      </w:tblPr>
      <w:tblGrid>
        <w:gridCol w:w="2288"/>
        <w:gridCol w:w="1365"/>
        <w:gridCol w:w="1060"/>
        <w:gridCol w:w="1080"/>
        <w:gridCol w:w="1040"/>
        <w:gridCol w:w="1120"/>
        <w:gridCol w:w="1020"/>
        <w:gridCol w:w="1330"/>
        <w:gridCol w:w="1352"/>
        <w:gridCol w:w="1213"/>
        <w:gridCol w:w="953"/>
        <w:gridCol w:w="880"/>
      </w:tblGrid>
      <w:tr w:rsidR="00FB4C86" w:rsidRPr="00FB4C86" w:rsidTr="00E51BF2">
        <w:trPr>
          <w:trHeight w:val="255"/>
        </w:trPr>
        <w:tc>
          <w:tcPr>
            <w:tcW w:w="2288" w:type="dxa"/>
            <w:vMerge w:val="restart"/>
            <w:tcBorders>
              <w:top w:val="single" w:sz="4" w:space="0" w:color="auto"/>
              <w:left w:val="single" w:sz="4" w:space="0" w:color="auto"/>
              <w:bottom w:val="single" w:sz="4" w:space="0" w:color="auto"/>
              <w:right w:val="single" w:sz="4" w:space="0" w:color="000000"/>
            </w:tcBorders>
            <w:shd w:val="clear" w:color="000000" w:fill="008080"/>
            <w:vAlign w:val="center"/>
            <w:hideMark/>
          </w:tcPr>
          <w:p w:rsidR="00FB4C86" w:rsidRDefault="00FB4C86" w:rsidP="00FB4C86">
            <w:pPr>
              <w:spacing w:before="0" w:after="0"/>
              <w:rPr>
                <w:rFonts w:cs="Arial"/>
                <w:b/>
                <w:bCs/>
                <w:color w:val="FFFFFF"/>
                <w:sz w:val="20"/>
                <w:szCs w:val="20"/>
                <w:lang w:eastAsia="en-GB"/>
              </w:rPr>
            </w:pPr>
            <w:r w:rsidRPr="00FB4C86">
              <w:rPr>
                <w:rFonts w:cs="Arial"/>
                <w:b/>
                <w:bCs/>
                <w:color w:val="FFFFFF"/>
                <w:sz w:val="20"/>
                <w:szCs w:val="20"/>
                <w:lang w:eastAsia="en-GB"/>
              </w:rPr>
              <w:t>Property Type</w:t>
            </w:r>
          </w:p>
          <w:p w:rsidR="00E51BF2" w:rsidRDefault="00E51BF2" w:rsidP="00FB4C86">
            <w:pPr>
              <w:spacing w:before="0" w:after="0"/>
              <w:rPr>
                <w:rFonts w:cs="Arial"/>
                <w:b/>
                <w:bCs/>
                <w:color w:val="FFFFFF"/>
                <w:sz w:val="20"/>
                <w:szCs w:val="20"/>
                <w:lang w:eastAsia="en-GB"/>
              </w:rPr>
            </w:pPr>
          </w:p>
          <w:p w:rsidR="00E51BF2" w:rsidRDefault="00E51BF2" w:rsidP="00FB4C86">
            <w:pPr>
              <w:spacing w:before="0" w:after="0"/>
              <w:rPr>
                <w:rFonts w:cs="Arial"/>
                <w:b/>
                <w:bCs/>
                <w:color w:val="FFFFFF"/>
                <w:sz w:val="20"/>
                <w:szCs w:val="20"/>
                <w:lang w:eastAsia="en-GB"/>
              </w:rPr>
            </w:pPr>
          </w:p>
          <w:p w:rsidR="00E51BF2" w:rsidRDefault="00E51BF2" w:rsidP="00FB4C86">
            <w:pPr>
              <w:spacing w:before="0" w:after="0"/>
              <w:rPr>
                <w:rFonts w:cs="Arial"/>
                <w:b/>
                <w:bCs/>
                <w:color w:val="FFFFFF"/>
                <w:sz w:val="20"/>
                <w:szCs w:val="20"/>
                <w:lang w:eastAsia="en-GB"/>
              </w:rPr>
            </w:pPr>
          </w:p>
          <w:p w:rsidR="00E51BF2" w:rsidRDefault="00E51BF2" w:rsidP="00FB4C86">
            <w:pPr>
              <w:spacing w:before="0" w:after="0"/>
              <w:rPr>
                <w:rFonts w:cs="Arial"/>
                <w:b/>
                <w:bCs/>
                <w:color w:val="FFFFFF"/>
                <w:sz w:val="20"/>
                <w:szCs w:val="20"/>
                <w:lang w:eastAsia="en-GB"/>
              </w:rPr>
            </w:pPr>
          </w:p>
          <w:p w:rsidR="00E51BF2" w:rsidRDefault="00E51BF2" w:rsidP="00FB4C86">
            <w:pPr>
              <w:spacing w:before="0" w:after="0"/>
              <w:rPr>
                <w:rFonts w:cs="Arial"/>
                <w:b/>
                <w:bCs/>
                <w:color w:val="FFFFFF"/>
                <w:sz w:val="20"/>
                <w:szCs w:val="20"/>
                <w:lang w:eastAsia="en-GB"/>
              </w:rPr>
            </w:pPr>
          </w:p>
          <w:p w:rsidR="00E51BF2" w:rsidRPr="00FB4C86" w:rsidRDefault="00E51BF2" w:rsidP="00FB4C86">
            <w:pPr>
              <w:spacing w:before="0" w:after="0"/>
              <w:rPr>
                <w:rFonts w:cs="Arial"/>
                <w:b/>
                <w:bCs/>
                <w:color w:val="FFFFFF"/>
                <w:sz w:val="20"/>
                <w:szCs w:val="20"/>
                <w:lang w:eastAsia="en-GB"/>
              </w:rPr>
            </w:pPr>
          </w:p>
        </w:tc>
        <w:tc>
          <w:tcPr>
            <w:tcW w:w="5665" w:type="dxa"/>
            <w:gridSpan w:val="5"/>
            <w:tcBorders>
              <w:top w:val="single" w:sz="4" w:space="0" w:color="auto"/>
              <w:left w:val="single" w:sz="4" w:space="0" w:color="auto"/>
              <w:bottom w:val="single" w:sz="4" w:space="0" w:color="auto"/>
              <w:right w:val="nil"/>
            </w:tcBorders>
            <w:shd w:val="clear" w:color="000000" w:fill="008080"/>
            <w:noWrap/>
            <w:vAlign w:val="center"/>
            <w:hideMark/>
          </w:tcPr>
          <w:p w:rsidR="00FB4C86" w:rsidRPr="00FB4C86" w:rsidRDefault="00FB4C86" w:rsidP="00FB4C86">
            <w:pPr>
              <w:spacing w:before="0" w:after="0"/>
              <w:rPr>
                <w:rFonts w:cs="Arial"/>
                <w:b/>
                <w:bCs/>
                <w:color w:val="FFFFFF"/>
                <w:sz w:val="20"/>
                <w:szCs w:val="20"/>
                <w:lang w:eastAsia="en-GB"/>
              </w:rPr>
            </w:pPr>
            <w:r w:rsidRPr="00FB4C86">
              <w:rPr>
                <w:rFonts w:cs="Arial"/>
                <w:b/>
                <w:bCs/>
                <w:color w:val="FFFFFF"/>
                <w:sz w:val="20"/>
                <w:szCs w:val="20"/>
                <w:lang w:eastAsia="en-GB"/>
              </w:rPr>
              <w:t>Household type - considered property type%</w:t>
            </w:r>
          </w:p>
        </w:tc>
        <w:tc>
          <w:tcPr>
            <w:tcW w:w="1020" w:type="dxa"/>
            <w:tcBorders>
              <w:top w:val="single" w:sz="4" w:space="0" w:color="auto"/>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b/>
                <w:bCs/>
                <w:color w:val="FFFFFF"/>
                <w:sz w:val="20"/>
                <w:szCs w:val="20"/>
                <w:lang w:eastAsia="en-GB"/>
              </w:rPr>
            </w:pPr>
            <w:r w:rsidRPr="00FB4C86">
              <w:rPr>
                <w:rFonts w:cs="Arial"/>
                <w:b/>
                <w:bCs/>
                <w:color w:val="FFFFFF"/>
                <w:sz w:val="20"/>
                <w:szCs w:val="20"/>
                <w:lang w:eastAsia="en-GB"/>
              </w:rPr>
              <w:t> </w:t>
            </w:r>
          </w:p>
        </w:tc>
        <w:tc>
          <w:tcPr>
            <w:tcW w:w="1330" w:type="dxa"/>
            <w:tcBorders>
              <w:top w:val="single" w:sz="4" w:space="0" w:color="auto"/>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1352" w:type="dxa"/>
            <w:tcBorders>
              <w:top w:val="single" w:sz="4" w:space="0" w:color="auto"/>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1213" w:type="dxa"/>
            <w:tcBorders>
              <w:top w:val="single" w:sz="4" w:space="0" w:color="auto"/>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953" w:type="dxa"/>
            <w:tcBorders>
              <w:top w:val="single" w:sz="4" w:space="0" w:color="auto"/>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880" w:type="dxa"/>
            <w:tcBorders>
              <w:top w:val="single" w:sz="4" w:space="0" w:color="auto"/>
              <w:left w:val="nil"/>
              <w:bottom w:val="single" w:sz="4" w:space="0" w:color="auto"/>
              <w:right w:val="single" w:sz="4" w:space="0" w:color="auto"/>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r>
      <w:tr w:rsidR="00FB4C86" w:rsidRPr="00FB4C86" w:rsidTr="00E51BF2">
        <w:trPr>
          <w:trHeight w:val="747"/>
        </w:trPr>
        <w:tc>
          <w:tcPr>
            <w:tcW w:w="2288" w:type="dxa"/>
            <w:vMerge/>
            <w:tcBorders>
              <w:top w:val="single" w:sz="4" w:space="0" w:color="auto"/>
              <w:left w:val="single" w:sz="4" w:space="0" w:color="auto"/>
              <w:bottom w:val="single" w:sz="4" w:space="0" w:color="auto"/>
              <w:right w:val="single" w:sz="4" w:space="0" w:color="000000"/>
            </w:tcBorders>
            <w:vAlign w:val="center"/>
            <w:hideMark/>
          </w:tcPr>
          <w:p w:rsidR="00FB4C86" w:rsidRPr="00FB4C86" w:rsidRDefault="00FB4C86" w:rsidP="00FB4C86">
            <w:pPr>
              <w:spacing w:before="0" w:after="0"/>
              <w:rPr>
                <w:rFonts w:cs="Arial"/>
                <w:b/>
                <w:bCs/>
                <w:color w:val="FFFFFF"/>
                <w:sz w:val="20"/>
                <w:szCs w:val="20"/>
                <w:lang w:eastAsia="en-GB"/>
              </w:rPr>
            </w:pPr>
          </w:p>
        </w:tc>
        <w:tc>
          <w:tcPr>
            <w:tcW w:w="1365"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Single adult (under 60)</w:t>
            </w:r>
          </w:p>
        </w:tc>
        <w:tc>
          <w:tcPr>
            <w:tcW w:w="106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Single adult (60 or over)</w:t>
            </w:r>
          </w:p>
        </w:tc>
        <w:tc>
          <w:tcPr>
            <w:tcW w:w="108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only (both under 60)</w:t>
            </w:r>
          </w:p>
        </w:tc>
        <w:tc>
          <w:tcPr>
            <w:tcW w:w="104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only (one or both over 60)</w:t>
            </w:r>
          </w:p>
        </w:tc>
        <w:tc>
          <w:tcPr>
            <w:tcW w:w="112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1/2 child(ren) under 18</w:t>
            </w:r>
          </w:p>
        </w:tc>
        <w:tc>
          <w:tcPr>
            <w:tcW w:w="102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3+ children under 18</w:t>
            </w:r>
          </w:p>
        </w:tc>
        <w:tc>
          <w:tcPr>
            <w:tcW w:w="133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Lone parent with 1/2 child(ren) under 18</w:t>
            </w:r>
          </w:p>
        </w:tc>
        <w:tc>
          <w:tcPr>
            <w:tcW w:w="1352"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with adult child(ren)</w:t>
            </w:r>
          </w:p>
        </w:tc>
        <w:tc>
          <w:tcPr>
            <w:tcW w:w="1213"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Lone parent with adult child(ren)</w:t>
            </w:r>
          </w:p>
        </w:tc>
        <w:tc>
          <w:tcPr>
            <w:tcW w:w="953"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Other type of hh</w:t>
            </w:r>
          </w:p>
        </w:tc>
        <w:tc>
          <w:tcPr>
            <w:tcW w:w="88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Total</w:t>
            </w:r>
          </w:p>
        </w:tc>
      </w:tr>
      <w:tr w:rsidR="002E1B35" w:rsidRPr="00FB4C86" w:rsidTr="00E51BF2">
        <w:trPr>
          <w:trHeight w:val="255"/>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Detached house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15.8</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22.5</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13.9</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45.2</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29.5</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31.5</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47.8</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12.6</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27.9</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Semi-detached house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52.3</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19.3</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30.4</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6.1</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42.8</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36.6</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51.0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11.2</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50.1</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46.4</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35.5</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Large terraced house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12.1</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29.1</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8.3</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20.7</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17.5</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26.3</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28.6</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13.3</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Small terraced house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4.9</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19.6</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1.4</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5.9</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1.2</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13.2</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3.3</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Flat - ground floor</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0.8</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14.4</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8.1</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3.5</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1.9</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Flat - above ground floor</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11.7</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13.7</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5.5</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3.5</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Detached bungalow</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13.7</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7.7</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35.5</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2.5</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5.6</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14.6</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12.3</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7.7</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Semi-detached bungalow</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2.4</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13.2</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1.4</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22.2</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16.6</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4.6</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Terraced bungalow</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8.3</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15.3</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1.7</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Caravan / Park Home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1.9</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9.0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0.5</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Total</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Base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1845</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655</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2713</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1466</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3664</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331</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1296</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688</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167</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356</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13180</w:t>
            </w:r>
          </w:p>
        </w:tc>
      </w:tr>
      <w:tr w:rsidR="00FB4C86" w:rsidRPr="00FB4C86" w:rsidTr="00E51BF2">
        <w:trPr>
          <w:trHeight w:val="255"/>
        </w:trPr>
        <w:tc>
          <w:tcPr>
            <w:tcW w:w="2288" w:type="dxa"/>
            <w:tcBorders>
              <w:top w:val="nil"/>
              <w:left w:val="single" w:sz="4" w:space="0" w:color="auto"/>
              <w:bottom w:val="single" w:sz="4" w:space="0" w:color="auto"/>
              <w:right w:val="nil"/>
            </w:tcBorders>
            <w:shd w:val="clear" w:color="000000" w:fill="008080"/>
            <w:vAlign w:val="bottom"/>
            <w:hideMark/>
          </w:tcPr>
          <w:p w:rsidR="00FB4C86" w:rsidRPr="00FB4C86" w:rsidRDefault="00FB4C86" w:rsidP="00FB4C86">
            <w:pPr>
              <w:spacing w:before="0" w:after="0"/>
              <w:rPr>
                <w:rFonts w:cs="Arial"/>
                <w:b/>
                <w:bCs/>
                <w:color w:val="FFFFFF"/>
                <w:sz w:val="20"/>
                <w:szCs w:val="20"/>
                <w:lang w:eastAsia="en-GB"/>
              </w:rPr>
            </w:pPr>
            <w:r w:rsidRPr="00FB4C86">
              <w:rPr>
                <w:rFonts w:cs="Arial"/>
                <w:b/>
                <w:bCs/>
                <w:color w:val="FFFFFF"/>
                <w:sz w:val="20"/>
                <w:szCs w:val="20"/>
                <w:lang w:eastAsia="en-GB"/>
              </w:rPr>
              <w:t>No. Bedrooms</w:t>
            </w:r>
          </w:p>
        </w:tc>
        <w:tc>
          <w:tcPr>
            <w:tcW w:w="5665" w:type="dxa"/>
            <w:gridSpan w:val="5"/>
            <w:tcBorders>
              <w:top w:val="single" w:sz="4" w:space="0" w:color="auto"/>
              <w:left w:val="single" w:sz="4" w:space="0" w:color="auto"/>
              <w:bottom w:val="single" w:sz="4" w:space="0" w:color="auto"/>
              <w:right w:val="nil"/>
            </w:tcBorders>
            <w:shd w:val="clear" w:color="000000" w:fill="008080"/>
            <w:noWrap/>
            <w:vAlign w:val="center"/>
            <w:hideMark/>
          </w:tcPr>
          <w:p w:rsidR="00FB4C86" w:rsidRPr="00FB4C86" w:rsidRDefault="00FB4C86" w:rsidP="00FB4C86">
            <w:pPr>
              <w:spacing w:before="0" w:after="0"/>
              <w:rPr>
                <w:rFonts w:cs="Arial"/>
                <w:b/>
                <w:bCs/>
                <w:color w:val="FFFFFF"/>
                <w:sz w:val="20"/>
                <w:szCs w:val="20"/>
                <w:lang w:eastAsia="en-GB"/>
              </w:rPr>
            </w:pPr>
            <w:r w:rsidRPr="00FB4C86">
              <w:rPr>
                <w:rFonts w:cs="Arial"/>
                <w:b/>
                <w:bCs/>
                <w:color w:val="FFFFFF"/>
                <w:sz w:val="20"/>
                <w:szCs w:val="20"/>
                <w:lang w:eastAsia="en-GB"/>
              </w:rPr>
              <w:t>Household type - considered property no. bedrooms %</w:t>
            </w:r>
          </w:p>
        </w:tc>
        <w:tc>
          <w:tcPr>
            <w:tcW w:w="1020" w:type="dxa"/>
            <w:tcBorders>
              <w:top w:val="nil"/>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b/>
                <w:bCs/>
                <w:color w:val="FFFFFF"/>
                <w:sz w:val="20"/>
                <w:szCs w:val="20"/>
                <w:lang w:eastAsia="en-GB"/>
              </w:rPr>
            </w:pPr>
            <w:r w:rsidRPr="00FB4C86">
              <w:rPr>
                <w:rFonts w:cs="Arial"/>
                <w:b/>
                <w:bCs/>
                <w:color w:val="FFFFFF"/>
                <w:sz w:val="20"/>
                <w:szCs w:val="20"/>
                <w:lang w:eastAsia="en-GB"/>
              </w:rPr>
              <w:t> </w:t>
            </w:r>
          </w:p>
        </w:tc>
        <w:tc>
          <w:tcPr>
            <w:tcW w:w="1330" w:type="dxa"/>
            <w:tcBorders>
              <w:top w:val="nil"/>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1352" w:type="dxa"/>
            <w:tcBorders>
              <w:top w:val="nil"/>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1213" w:type="dxa"/>
            <w:tcBorders>
              <w:top w:val="nil"/>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953" w:type="dxa"/>
            <w:tcBorders>
              <w:top w:val="nil"/>
              <w:left w:val="nil"/>
              <w:bottom w:val="single" w:sz="4" w:space="0" w:color="auto"/>
              <w:right w:val="nil"/>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c>
          <w:tcPr>
            <w:tcW w:w="880" w:type="dxa"/>
            <w:tcBorders>
              <w:top w:val="nil"/>
              <w:left w:val="nil"/>
              <w:bottom w:val="single" w:sz="4" w:space="0" w:color="auto"/>
              <w:right w:val="single" w:sz="4" w:space="0" w:color="auto"/>
            </w:tcBorders>
            <w:shd w:val="clear" w:color="000000" w:fill="008080"/>
            <w:noWrap/>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 </w:t>
            </w:r>
          </w:p>
        </w:tc>
      </w:tr>
      <w:tr w:rsidR="00FB4C86" w:rsidRPr="00FB4C86" w:rsidTr="00E51BF2">
        <w:trPr>
          <w:trHeight w:val="880"/>
        </w:trPr>
        <w:tc>
          <w:tcPr>
            <w:tcW w:w="2288" w:type="dxa"/>
            <w:tcBorders>
              <w:top w:val="nil"/>
              <w:left w:val="single" w:sz="4" w:space="0" w:color="auto"/>
              <w:bottom w:val="nil"/>
              <w:right w:val="nil"/>
            </w:tcBorders>
            <w:shd w:val="clear" w:color="000000" w:fill="008080"/>
            <w:vAlign w:val="bottom"/>
            <w:hideMark/>
          </w:tcPr>
          <w:p w:rsidR="00FB4C86" w:rsidRPr="00FB4C86" w:rsidRDefault="00FB4C86" w:rsidP="00FB4C86">
            <w:pPr>
              <w:spacing w:before="0" w:after="0"/>
              <w:rPr>
                <w:rFonts w:cs="Arial"/>
                <w:b/>
                <w:bCs/>
                <w:color w:val="FFFFFF"/>
                <w:sz w:val="20"/>
                <w:szCs w:val="20"/>
                <w:lang w:eastAsia="en-GB"/>
              </w:rPr>
            </w:pPr>
            <w:r w:rsidRPr="00FB4C86">
              <w:rPr>
                <w:rFonts w:cs="Arial"/>
                <w:b/>
                <w:bCs/>
                <w:color w:val="FFFFFF"/>
                <w:sz w:val="20"/>
                <w:szCs w:val="20"/>
                <w:lang w:eastAsia="en-GB"/>
              </w:rPr>
              <w:t> </w:t>
            </w:r>
          </w:p>
        </w:tc>
        <w:tc>
          <w:tcPr>
            <w:tcW w:w="1365" w:type="dxa"/>
            <w:tcBorders>
              <w:top w:val="nil"/>
              <w:left w:val="single" w:sz="4" w:space="0" w:color="auto"/>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Single adult (under 60)</w:t>
            </w:r>
          </w:p>
        </w:tc>
        <w:tc>
          <w:tcPr>
            <w:tcW w:w="106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Single adult (60 or over)</w:t>
            </w:r>
          </w:p>
        </w:tc>
        <w:tc>
          <w:tcPr>
            <w:tcW w:w="108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only (both under 60)</w:t>
            </w:r>
          </w:p>
        </w:tc>
        <w:tc>
          <w:tcPr>
            <w:tcW w:w="104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only (one or both over 60)</w:t>
            </w:r>
          </w:p>
        </w:tc>
        <w:tc>
          <w:tcPr>
            <w:tcW w:w="112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1/2 child(ren) under 18</w:t>
            </w:r>
          </w:p>
        </w:tc>
        <w:tc>
          <w:tcPr>
            <w:tcW w:w="102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3+ children under 18</w:t>
            </w:r>
          </w:p>
        </w:tc>
        <w:tc>
          <w:tcPr>
            <w:tcW w:w="133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Lone parent with 1/2 child(ren) under 18</w:t>
            </w:r>
          </w:p>
        </w:tc>
        <w:tc>
          <w:tcPr>
            <w:tcW w:w="1352"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Couple with adult child(ren)</w:t>
            </w:r>
          </w:p>
        </w:tc>
        <w:tc>
          <w:tcPr>
            <w:tcW w:w="1213"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Lone parent with adult child(ren)</w:t>
            </w:r>
          </w:p>
        </w:tc>
        <w:tc>
          <w:tcPr>
            <w:tcW w:w="953"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Other type of hh</w:t>
            </w:r>
          </w:p>
        </w:tc>
        <w:tc>
          <w:tcPr>
            <w:tcW w:w="880" w:type="dxa"/>
            <w:tcBorders>
              <w:top w:val="nil"/>
              <w:left w:val="nil"/>
              <w:bottom w:val="single" w:sz="4" w:space="0" w:color="auto"/>
              <w:right w:val="single" w:sz="4" w:space="0" w:color="auto"/>
            </w:tcBorders>
            <w:shd w:val="clear" w:color="000000" w:fill="008080"/>
            <w:vAlign w:val="bottom"/>
            <w:hideMark/>
          </w:tcPr>
          <w:p w:rsidR="00FB4C86" w:rsidRPr="00FB4C86" w:rsidRDefault="00FB4C86" w:rsidP="00FB4C86">
            <w:pPr>
              <w:spacing w:before="0" w:after="0"/>
              <w:rPr>
                <w:rFonts w:cs="Arial"/>
                <w:color w:val="FFFFFF"/>
                <w:sz w:val="20"/>
                <w:szCs w:val="20"/>
                <w:lang w:eastAsia="en-GB"/>
              </w:rPr>
            </w:pPr>
            <w:r w:rsidRPr="00FB4C86">
              <w:rPr>
                <w:rFonts w:cs="Arial"/>
                <w:color w:val="FFFFFF"/>
                <w:sz w:val="20"/>
                <w:szCs w:val="20"/>
                <w:lang w:eastAsia="en-GB"/>
              </w:rPr>
              <w:t>Total</w:t>
            </w:r>
          </w:p>
        </w:tc>
      </w:tr>
      <w:tr w:rsidR="002E1B35" w:rsidRPr="00FB4C86" w:rsidTr="00E51BF2">
        <w:trPr>
          <w:trHeight w:val="255"/>
        </w:trPr>
        <w:tc>
          <w:tcPr>
            <w:tcW w:w="2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One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11.6</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0.6</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Two</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32.7</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71.4</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26.0</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63.3</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5.4</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13.3</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33.4</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35.3</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8.8</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26.2</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Three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51.5</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63.2</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30.5</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44.3</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57.2</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73.0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45.6</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64.7</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75.1</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50.4</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Four</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15.8</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7.0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10.8</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6.2</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46.4</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42.8</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13.7</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16.4</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21.2</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Five or more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3.9</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4.6</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16.1</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1.7</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sz w:val="20"/>
                <w:szCs w:val="20"/>
                <w:lang w:eastAsia="en-GB"/>
              </w:rPr>
            </w:pPr>
            <w:r w:rsidRPr="00FB4C86">
              <w:rPr>
                <w:rFonts w:cs="Arial"/>
                <w:sz w:val="20"/>
                <w:szCs w:val="20"/>
                <w:lang w:eastAsia="en-GB"/>
              </w:rPr>
              <w:t>Total</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100.0</w:t>
            </w:r>
          </w:p>
        </w:tc>
      </w:tr>
      <w:tr w:rsidR="002E1B35" w:rsidRPr="00FB4C86" w:rsidTr="00E51BF2">
        <w:trPr>
          <w:trHeight w:val="255"/>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E1B35" w:rsidRPr="00FB4C86" w:rsidRDefault="002E1B35" w:rsidP="00FB4C86">
            <w:pPr>
              <w:spacing w:before="0" w:after="0"/>
              <w:rPr>
                <w:rFonts w:cs="Arial"/>
                <w:b/>
                <w:bCs/>
                <w:sz w:val="20"/>
                <w:szCs w:val="20"/>
                <w:lang w:eastAsia="en-GB"/>
              </w:rPr>
            </w:pPr>
            <w:r w:rsidRPr="00FB4C86">
              <w:rPr>
                <w:rFonts w:cs="Arial"/>
                <w:b/>
                <w:bCs/>
                <w:sz w:val="20"/>
                <w:szCs w:val="20"/>
                <w:lang w:eastAsia="en-GB"/>
              </w:rPr>
              <w:t>Base</w:t>
            </w:r>
          </w:p>
        </w:tc>
        <w:tc>
          <w:tcPr>
            <w:tcW w:w="1365"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1845</w:t>
            </w:r>
          </w:p>
        </w:tc>
        <w:tc>
          <w:tcPr>
            <w:tcW w:w="106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631</w:t>
            </w:r>
          </w:p>
        </w:tc>
        <w:tc>
          <w:tcPr>
            <w:tcW w:w="10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2713</w:t>
            </w:r>
          </w:p>
        </w:tc>
        <w:tc>
          <w:tcPr>
            <w:tcW w:w="104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1412</w:t>
            </w:r>
          </w:p>
        </w:tc>
        <w:tc>
          <w:tcPr>
            <w:tcW w:w="11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3421</w:t>
            </w:r>
          </w:p>
        </w:tc>
        <w:tc>
          <w:tcPr>
            <w:tcW w:w="102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210</w:t>
            </w:r>
          </w:p>
        </w:tc>
        <w:tc>
          <w:tcPr>
            <w:tcW w:w="133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1311</w:t>
            </w:r>
          </w:p>
        </w:tc>
        <w:tc>
          <w:tcPr>
            <w:tcW w:w="1352"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688</w:t>
            </w:r>
          </w:p>
        </w:tc>
        <w:tc>
          <w:tcPr>
            <w:tcW w:w="121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167</w:t>
            </w:r>
          </w:p>
        </w:tc>
        <w:tc>
          <w:tcPr>
            <w:tcW w:w="953"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278</w:t>
            </w:r>
          </w:p>
        </w:tc>
        <w:tc>
          <w:tcPr>
            <w:tcW w:w="880" w:type="dxa"/>
            <w:tcBorders>
              <w:top w:val="nil"/>
              <w:left w:val="nil"/>
              <w:bottom w:val="single" w:sz="4" w:space="0" w:color="auto"/>
              <w:right w:val="single" w:sz="4" w:space="0" w:color="auto"/>
            </w:tcBorders>
            <w:shd w:val="clear" w:color="auto" w:fill="auto"/>
            <w:noWrap/>
            <w:vAlign w:val="bottom"/>
            <w:hideMark/>
          </w:tcPr>
          <w:p w:rsidR="002E1B35" w:rsidRDefault="002E1B35" w:rsidP="002E1B35">
            <w:pPr>
              <w:spacing w:before="0" w:after="0"/>
              <w:jc w:val="right"/>
              <w:rPr>
                <w:rFonts w:cs="Arial"/>
                <w:sz w:val="20"/>
                <w:szCs w:val="20"/>
              </w:rPr>
            </w:pPr>
            <w:r>
              <w:rPr>
                <w:rFonts w:cs="Arial"/>
                <w:sz w:val="20"/>
                <w:szCs w:val="20"/>
              </w:rPr>
              <w:t>12676</w:t>
            </w:r>
          </w:p>
        </w:tc>
      </w:tr>
    </w:tbl>
    <w:p w:rsidR="00E51BF2" w:rsidRDefault="00FB4C86" w:rsidP="00E51BF2">
      <w:pPr>
        <w:pStyle w:val="Maintext"/>
        <w:numPr>
          <w:ilvl w:val="0"/>
          <w:numId w:val="0"/>
        </w:numPr>
        <w:rPr>
          <w:sz w:val="20"/>
          <w:szCs w:val="20"/>
        </w:rPr>
      </w:pPr>
      <w:r>
        <w:rPr>
          <w:sz w:val="20"/>
          <w:szCs w:val="20"/>
        </w:rPr>
        <w:t xml:space="preserve"> Source: 2012</w:t>
      </w:r>
      <w:r w:rsidR="009F12AE">
        <w:rPr>
          <w:sz w:val="20"/>
          <w:szCs w:val="20"/>
        </w:rPr>
        <w:t xml:space="preserve"> Household Survey</w:t>
      </w:r>
      <w:r w:rsidR="002E1B35">
        <w:rPr>
          <w:sz w:val="20"/>
          <w:szCs w:val="20"/>
        </w:rPr>
        <w:t>, rebased to 2011 Census</w:t>
      </w:r>
    </w:p>
    <w:p w:rsidR="00E374CB" w:rsidRDefault="00E374CB" w:rsidP="00E51BF2">
      <w:pPr>
        <w:pStyle w:val="Maintext"/>
        <w:numPr>
          <w:ilvl w:val="0"/>
          <w:numId w:val="0"/>
        </w:numPr>
        <w:rPr>
          <w:sz w:val="20"/>
          <w:szCs w:val="20"/>
        </w:rPr>
        <w:sectPr w:rsidR="00E374CB" w:rsidSect="00E51BF2">
          <w:pgSz w:w="16840" w:h="11907" w:orient="landscape" w:code="9"/>
          <w:pgMar w:top="1304" w:right="1559" w:bottom="1304" w:left="1304" w:header="720" w:footer="567" w:gutter="0"/>
          <w:cols w:space="708"/>
          <w:noEndnote/>
          <w:docGrid w:linePitch="326"/>
        </w:sectPr>
      </w:pPr>
    </w:p>
    <w:p w:rsidR="00822135" w:rsidRPr="00822135" w:rsidRDefault="00822135" w:rsidP="00E51BF2">
      <w:pPr>
        <w:pStyle w:val="Maintext"/>
        <w:numPr>
          <w:ilvl w:val="0"/>
          <w:numId w:val="0"/>
        </w:numPr>
        <w:rPr>
          <w:b/>
        </w:rPr>
      </w:pPr>
    </w:p>
    <w:p w:rsidR="003A6F13" w:rsidRDefault="001E3095">
      <w:pPr>
        <w:pStyle w:val="Maintext"/>
        <w:rPr>
          <w:b/>
        </w:rPr>
      </w:pPr>
      <w:r>
        <w:t>Table 4.20</w:t>
      </w:r>
      <w:r w:rsidR="003A6F13">
        <w:t xml:space="preserve"> considers the </w:t>
      </w:r>
      <w:r w:rsidR="00403601">
        <w:t>expectations of newly-forming households by considering the range of dwellings newly-forming households have moved to in the past five years.</w:t>
      </w:r>
      <w:r w:rsidR="003A6F13">
        <w:t xml:space="preserve">  This shows a particular </w:t>
      </w:r>
      <w:r w:rsidR="00403601">
        <w:t>flow of newly-forming households</w:t>
      </w:r>
      <w:r w:rsidR="00023F7B">
        <w:t xml:space="preserve"> in</w:t>
      </w:r>
      <w:r w:rsidR="0025072D">
        <w:t>to terraced and semi-detached houses</w:t>
      </w:r>
      <w:r w:rsidR="00403601">
        <w:t xml:space="preserve">; and </w:t>
      </w:r>
      <w:r w:rsidR="00822135">
        <w:t xml:space="preserve">mainly into </w:t>
      </w:r>
      <w:r w:rsidR="00403601">
        <w:t xml:space="preserve">two and three </w:t>
      </w:r>
      <w:r w:rsidR="00822135">
        <w:t>bedroom dwellings.</w:t>
      </w:r>
    </w:p>
    <w:p w:rsidR="003963C3" w:rsidRDefault="003963C3" w:rsidP="00822135">
      <w:pPr>
        <w:ind w:firstLine="709"/>
        <w:rPr>
          <w:b/>
        </w:rPr>
      </w:pPr>
    </w:p>
    <w:p w:rsidR="003A6F13" w:rsidRDefault="003A6F13" w:rsidP="00822135">
      <w:pPr>
        <w:ind w:firstLine="709"/>
      </w:pPr>
      <w:r>
        <w:rPr>
          <w:b/>
        </w:rPr>
        <w:t>Table 4.</w:t>
      </w:r>
      <w:r w:rsidR="001E3095">
        <w:rPr>
          <w:b/>
        </w:rPr>
        <w:t>20</w:t>
      </w:r>
      <w:r>
        <w:tab/>
        <w:t xml:space="preserve">Household </w:t>
      </w:r>
      <w:r w:rsidR="00403601">
        <w:t xml:space="preserve">expectations </w:t>
      </w:r>
      <w:r>
        <w:t>(newly-forming households)</w:t>
      </w:r>
    </w:p>
    <w:tbl>
      <w:tblPr>
        <w:tblW w:w="8647" w:type="dxa"/>
        <w:tblInd w:w="817" w:type="dxa"/>
        <w:tblLook w:val="04A0" w:firstRow="1" w:lastRow="0" w:firstColumn="1" w:lastColumn="0" w:noHBand="0" w:noVBand="1"/>
      </w:tblPr>
      <w:tblGrid>
        <w:gridCol w:w="1985"/>
        <w:gridCol w:w="1275"/>
        <w:gridCol w:w="1276"/>
        <w:gridCol w:w="1418"/>
        <w:gridCol w:w="1417"/>
        <w:gridCol w:w="1276"/>
      </w:tblGrid>
      <w:tr w:rsidR="00C2104D" w:rsidRPr="00780720" w:rsidTr="00C2104D">
        <w:trPr>
          <w:trHeight w:val="255"/>
        </w:trPr>
        <w:tc>
          <w:tcPr>
            <w:tcW w:w="1985" w:type="dxa"/>
            <w:tcBorders>
              <w:top w:val="single" w:sz="4" w:space="0" w:color="auto"/>
              <w:left w:val="single" w:sz="4" w:space="0" w:color="auto"/>
              <w:bottom w:val="nil"/>
              <w:right w:val="single" w:sz="4" w:space="0" w:color="auto"/>
            </w:tcBorders>
            <w:shd w:val="clear" w:color="000000" w:fill="008080"/>
            <w:noWrap/>
            <w:vAlign w:val="bottom"/>
            <w:hideMark/>
          </w:tcPr>
          <w:p w:rsidR="00780720" w:rsidRPr="00780720" w:rsidRDefault="00780720" w:rsidP="00780720">
            <w:pPr>
              <w:spacing w:before="0" w:after="0"/>
              <w:rPr>
                <w:rFonts w:cs="Arial"/>
                <w:b/>
                <w:bCs/>
                <w:color w:val="FFFFFF"/>
                <w:sz w:val="20"/>
                <w:szCs w:val="20"/>
                <w:lang w:eastAsia="en-GB"/>
              </w:rPr>
            </w:pPr>
            <w:r w:rsidRPr="00780720">
              <w:rPr>
                <w:rFonts w:cs="Arial"/>
                <w:b/>
                <w:bCs/>
                <w:color w:val="FFFFFF"/>
                <w:sz w:val="20"/>
                <w:szCs w:val="20"/>
                <w:lang w:eastAsia="en-GB"/>
              </w:rPr>
              <w:t>Property type</w:t>
            </w:r>
          </w:p>
        </w:tc>
        <w:tc>
          <w:tcPr>
            <w:tcW w:w="2551" w:type="dxa"/>
            <w:gridSpan w:val="2"/>
            <w:tcBorders>
              <w:top w:val="single" w:sz="4" w:space="0" w:color="auto"/>
              <w:left w:val="single" w:sz="4" w:space="0" w:color="auto"/>
              <w:bottom w:val="single" w:sz="4" w:space="0" w:color="auto"/>
              <w:right w:val="nil"/>
            </w:tcBorders>
            <w:shd w:val="clear" w:color="000000" w:fill="008080"/>
            <w:noWrap/>
            <w:vAlign w:val="bottom"/>
            <w:hideMark/>
          </w:tcPr>
          <w:p w:rsidR="00780720" w:rsidRPr="00780720" w:rsidRDefault="00780720" w:rsidP="00780720">
            <w:pPr>
              <w:spacing w:before="0" w:after="0"/>
              <w:rPr>
                <w:rFonts w:cs="Arial"/>
                <w:b/>
                <w:bCs/>
                <w:color w:val="FFFFFF"/>
                <w:sz w:val="20"/>
                <w:szCs w:val="20"/>
                <w:lang w:eastAsia="en-GB"/>
              </w:rPr>
            </w:pPr>
            <w:r w:rsidRPr="00780720">
              <w:rPr>
                <w:rFonts w:cs="Arial"/>
                <w:b/>
                <w:bCs/>
                <w:color w:val="FFFFFF"/>
                <w:sz w:val="20"/>
                <w:szCs w:val="20"/>
                <w:lang w:eastAsia="en-GB"/>
              </w:rPr>
              <w:t>Bedrooms</w:t>
            </w:r>
          </w:p>
        </w:tc>
        <w:tc>
          <w:tcPr>
            <w:tcW w:w="1418" w:type="dxa"/>
            <w:tcBorders>
              <w:top w:val="single" w:sz="4" w:space="0" w:color="auto"/>
              <w:left w:val="nil"/>
              <w:bottom w:val="single" w:sz="4" w:space="0" w:color="auto"/>
              <w:right w:val="nil"/>
            </w:tcBorders>
            <w:shd w:val="clear" w:color="000000" w:fill="008080"/>
            <w:noWrap/>
            <w:vAlign w:val="bottom"/>
            <w:hideMark/>
          </w:tcPr>
          <w:p w:rsidR="00780720" w:rsidRPr="00780720" w:rsidRDefault="00780720" w:rsidP="00780720">
            <w:pPr>
              <w:spacing w:before="0" w:after="0"/>
              <w:rPr>
                <w:rFonts w:cs="Arial"/>
                <w:b/>
                <w:bCs/>
                <w:color w:val="FFFFFF"/>
                <w:sz w:val="20"/>
                <w:szCs w:val="20"/>
                <w:lang w:eastAsia="en-GB"/>
              </w:rPr>
            </w:pPr>
            <w:r w:rsidRPr="00780720">
              <w:rPr>
                <w:rFonts w:cs="Arial"/>
                <w:b/>
                <w:bCs/>
                <w:color w:val="FFFFFF"/>
                <w:sz w:val="20"/>
                <w:szCs w:val="20"/>
                <w:lang w:eastAsia="en-GB"/>
              </w:rPr>
              <w:t> </w:t>
            </w:r>
          </w:p>
        </w:tc>
        <w:tc>
          <w:tcPr>
            <w:tcW w:w="1417" w:type="dxa"/>
            <w:tcBorders>
              <w:top w:val="single" w:sz="4" w:space="0" w:color="auto"/>
              <w:left w:val="nil"/>
              <w:bottom w:val="single" w:sz="4" w:space="0" w:color="auto"/>
              <w:right w:val="nil"/>
            </w:tcBorders>
            <w:shd w:val="clear" w:color="000000" w:fill="008080"/>
            <w:noWrap/>
            <w:vAlign w:val="bottom"/>
            <w:hideMark/>
          </w:tcPr>
          <w:p w:rsidR="00780720" w:rsidRPr="00780720" w:rsidRDefault="00780720" w:rsidP="00780720">
            <w:pPr>
              <w:spacing w:before="0" w:after="0"/>
              <w:rPr>
                <w:rFonts w:cs="Arial"/>
                <w:b/>
                <w:bCs/>
                <w:color w:val="FFFFFF"/>
                <w:sz w:val="20"/>
                <w:szCs w:val="20"/>
                <w:lang w:eastAsia="en-GB"/>
              </w:rPr>
            </w:pPr>
            <w:r w:rsidRPr="00780720">
              <w:rPr>
                <w:rFonts w:cs="Arial"/>
                <w:b/>
                <w:bCs/>
                <w:color w:val="FFFFFF"/>
                <w:sz w:val="20"/>
                <w:szCs w:val="20"/>
                <w:lang w:eastAsia="en-GB"/>
              </w:rPr>
              <w:t> </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780720" w:rsidRPr="00780720" w:rsidRDefault="00780720" w:rsidP="00780720">
            <w:pPr>
              <w:spacing w:before="0" w:after="0"/>
              <w:rPr>
                <w:rFonts w:cs="Arial"/>
                <w:b/>
                <w:bCs/>
                <w:color w:val="FFFFFF"/>
                <w:sz w:val="20"/>
                <w:szCs w:val="20"/>
                <w:lang w:eastAsia="en-GB"/>
              </w:rPr>
            </w:pPr>
            <w:r w:rsidRPr="00780720">
              <w:rPr>
                <w:rFonts w:cs="Arial"/>
                <w:b/>
                <w:bCs/>
                <w:color w:val="FFFFFF"/>
                <w:sz w:val="20"/>
                <w:szCs w:val="20"/>
                <w:lang w:eastAsia="en-GB"/>
              </w:rPr>
              <w:t> </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000000" w:fill="008080"/>
            <w:noWrap/>
            <w:vAlign w:val="bottom"/>
            <w:hideMark/>
          </w:tcPr>
          <w:p w:rsidR="00780720" w:rsidRPr="00780720" w:rsidRDefault="00780720" w:rsidP="00780720">
            <w:pPr>
              <w:spacing w:before="0" w:after="0"/>
              <w:rPr>
                <w:rFonts w:cs="Arial"/>
                <w:b/>
                <w:bCs/>
                <w:color w:val="FFFFFF"/>
                <w:sz w:val="20"/>
                <w:szCs w:val="20"/>
                <w:lang w:eastAsia="en-GB"/>
              </w:rPr>
            </w:pPr>
            <w:r w:rsidRPr="00780720">
              <w:rPr>
                <w:rFonts w:cs="Arial"/>
                <w:b/>
                <w:bCs/>
                <w:color w:val="FFFFFF"/>
                <w:sz w:val="20"/>
                <w:szCs w:val="20"/>
                <w:lang w:eastAsia="en-GB"/>
              </w:rPr>
              <w:t> </w:t>
            </w:r>
          </w:p>
        </w:tc>
        <w:tc>
          <w:tcPr>
            <w:tcW w:w="1275" w:type="dxa"/>
            <w:tcBorders>
              <w:top w:val="nil"/>
              <w:left w:val="nil"/>
              <w:bottom w:val="single" w:sz="4" w:space="0" w:color="auto"/>
              <w:right w:val="single" w:sz="4" w:space="0" w:color="auto"/>
            </w:tcBorders>
            <w:shd w:val="clear" w:color="000000" w:fill="008080"/>
            <w:noWrap/>
            <w:vAlign w:val="bottom"/>
            <w:hideMark/>
          </w:tcPr>
          <w:p w:rsidR="00780720" w:rsidRPr="00780720" w:rsidRDefault="00780720" w:rsidP="00780720">
            <w:pPr>
              <w:spacing w:before="0" w:after="0"/>
              <w:jc w:val="center"/>
              <w:rPr>
                <w:rFonts w:cs="Arial"/>
                <w:b/>
                <w:bCs/>
                <w:color w:val="FFFFFF"/>
                <w:sz w:val="20"/>
                <w:szCs w:val="20"/>
                <w:lang w:eastAsia="en-GB"/>
              </w:rPr>
            </w:pPr>
            <w:r w:rsidRPr="00780720">
              <w:rPr>
                <w:rFonts w:cs="Arial"/>
                <w:b/>
                <w:bCs/>
                <w:color w:val="FFFFFF"/>
                <w:sz w:val="20"/>
                <w:szCs w:val="20"/>
                <w:lang w:eastAsia="en-GB"/>
              </w:rPr>
              <w:t>One</w:t>
            </w:r>
          </w:p>
        </w:tc>
        <w:tc>
          <w:tcPr>
            <w:tcW w:w="1276" w:type="dxa"/>
            <w:tcBorders>
              <w:top w:val="nil"/>
              <w:left w:val="nil"/>
              <w:bottom w:val="single" w:sz="4" w:space="0" w:color="auto"/>
              <w:right w:val="single" w:sz="4" w:space="0" w:color="auto"/>
            </w:tcBorders>
            <w:shd w:val="clear" w:color="000000" w:fill="008080"/>
            <w:noWrap/>
            <w:vAlign w:val="bottom"/>
            <w:hideMark/>
          </w:tcPr>
          <w:p w:rsidR="00780720" w:rsidRPr="00780720" w:rsidRDefault="00780720" w:rsidP="00780720">
            <w:pPr>
              <w:spacing w:before="0" w:after="0"/>
              <w:jc w:val="center"/>
              <w:rPr>
                <w:rFonts w:cs="Arial"/>
                <w:b/>
                <w:bCs/>
                <w:color w:val="FFFFFF"/>
                <w:sz w:val="20"/>
                <w:szCs w:val="20"/>
                <w:lang w:eastAsia="en-GB"/>
              </w:rPr>
            </w:pPr>
            <w:r w:rsidRPr="00780720">
              <w:rPr>
                <w:rFonts w:cs="Arial"/>
                <w:b/>
                <w:bCs/>
                <w:color w:val="FFFFFF"/>
                <w:sz w:val="20"/>
                <w:szCs w:val="20"/>
                <w:lang w:eastAsia="en-GB"/>
              </w:rPr>
              <w:t>Two</w:t>
            </w:r>
          </w:p>
        </w:tc>
        <w:tc>
          <w:tcPr>
            <w:tcW w:w="1418" w:type="dxa"/>
            <w:tcBorders>
              <w:top w:val="nil"/>
              <w:left w:val="nil"/>
              <w:bottom w:val="single" w:sz="4" w:space="0" w:color="auto"/>
              <w:right w:val="single" w:sz="4" w:space="0" w:color="auto"/>
            </w:tcBorders>
            <w:shd w:val="clear" w:color="000000" w:fill="008080"/>
            <w:noWrap/>
            <w:vAlign w:val="bottom"/>
            <w:hideMark/>
          </w:tcPr>
          <w:p w:rsidR="00780720" w:rsidRPr="00780720" w:rsidRDefault="00780720" w:rsidP="00780720">
            <w:pPr>
              <w:spacing w:before="0" w:after="0"/>
              <w:jc w:val="center"/>
              <w:rPr>
                <w:rFonts w:cs="Arial"/>
                <w:b/>
                <w:bCs/>
                <w:color w:val="FFFFFF"/>
                <w:sz w:val="20"/>
                <w:szCs w:val="20"/>
                <w:lang w:eastAsia="en-GB"/>
              </w:rPr>
            </w:pPr>
            <w:r w:rsidRPr="00780720">
              <w:rPr>
                <w:rFonts w:cs="Arial"/>
                <w:b/>
                <w:bCs/>
                <w:color w:val="FFFFFF"/>
                <w:sz w:val="20"/>
                <w:szCs w:val="20"/>
                <w:lang w:eastAsia="en-GB"/>
              </w:rPr>
              <w:t>Three</w:t>
            </w:r>
          </w:p>
        </w:tc>
        <w:tc>
          <w:tcPr>
            <w:tcW w:w="1417" w:type="dxa"/>
            <w:tcBorders>
              <w:top w:val="nil"/>
              <w:left w:val="nil"/>
              <w:bottom w:val="single" w:sz="4" w:space="0" w:color="auto"/>
              <w:right w:val="single" w:sz="4" w:space="0" w:color="auto"/>
            </w:tcBorders>
            <w:shd w:val="clear" w:color="000000" w:fill="008080"/>
            <w:noWrap/>
            <w:vAlign w:val="bottom"/>
            <w:hideMark/>
          </w:tcPr>
          <w:p w:rsidR="00780720" w:rsidRPr="00780720" w:rsidRDefault="00780720" w:rsidP="00780720">
            <w:pPr>
              <w:spacing w:before="0" w:after="0"/>
              <w:jc w:val="center"/>
              <w:rPr>
                <w:rFonts w:cs="Arial"/>
                <w:b/>
                <w:bCs/>
                <w:color w:val="FFFFFF"/>
                <w:sz w:val="20"/>
                <w:szCs w:val="20"/>
                <w:lang w:eastAsia="en-GB"/>
              </w:rPr>
            </w:pPr>
            <w:r w:rsidRPr="00780720">
              <w:rPr>
                <w:rFonts w:cs="Arial"/>
                <w:b/>
                <w:bCs/>
                <w:color w:val="FFFFFF"/>
                <w:sz w:val="20"/>
                <w:szCs w:val="20"/>
                <w:lang w:eastAsia="en-GB"/>
              </w:rPr>
              <w:t>Four or more</w:t>
            </w:r>
          </w:p>
        </w:tc>
        <w:tc>
          <w:tcPr>
            <w:tcW w:w="1276" w:type="dxa"/>
            <w:tcBorders>
              <w:top w:val="nil"/>
              <w:left w:val="nil"/>
              <w:bottom w:val="single" w:sz="4" w:space="0" w:color="auto"/>
              <w:right w:val="single" w:sz="4" w:space="0" w:color="auto"/>
            </w:tcBorders>
            <w:shd w:val="clear" w:color="000000" w:fill="008080"/>
            <w:noWrap/>
            <w:vAlign w:val="bottom"/>
            <w:hideMark/>
          </w:tcPr>
          <w:p w:rsidR="00780720" w:rsidRPr="00780720" w:rsidRDefault="00780720" w:rsidP="00780720">
            <w:pPr>
              <w:spacing w:before="0" w:after="0"/>
              <w:jc w:val="center"/>
              <w:rPr>
                <w:rFonts w:cs="Arial"/>
                <w:b/>
                <w:bCs/>
                <w:color w:val="FFFFFF"/>
                <w:sz w:val="20"/>
                <w:szCs w:val="20"/>
                <w:lang w:eastAsia="en-GB"/>
              </w:rPr>
            </w:pPr>
            <w:r w:rsidRPr="00780720">
              <w:rPr>
                <w:rFonts w:cs="Arial"/>
                <w:b/>
                <w:bCs/>
                <w:color w:val="FFFFFF"/>
                <w:sz w:val="20"/>
                <w:szCs w:val="20"/>
                <w:lang w:eastAsia="en-GB"/>
              </w:rPr>
              <w:t>Total</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Detached house</w:t>
            </w:r>
          </w:p>
        </w:tc>
        <w:tc>
          <w:tcPr>
            <w:tcW w:w="1275"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1.2</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1.6</w:t>
            </w:r>
          </w:p>
        </w:tc>
        <w:tc>
          <w:tcPr>
            <w:tcW w:w="1418"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5.3</w:t>
            </w:r>
          </w:p>
        </w:tc>
        <w:tc>
          <w:tcPr>
            <w:tcW w:w="1417"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1.2</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9.2</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Semi-detached house</w:t>
            </w:r>
          </w:p>
        </w:tc>
        <w:tc>
          <w:tcPr>
            <w:tcW w:w="1275"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15.4</w:t>
            </w:r>
          </w:p>
        </w:tc>
        <w:tc>
          <w:tcPr>
            <w:tcW w:w="1418"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10.4</w:t>
            </w:r>
          </w:p>
        </w:tc>
        <w:tc>
          <w:tcPr>
            <w:tcW w:w="1417"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1.7</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27.6</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Terraced house</w:t>
            </w:r>
          </w:p>
        </w:tc>
        <w:tc>
          <w:tcPr>
            <w:tcW w:w="1275"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1.5</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23.8</w:t>
            </w:r>
          </w:p>
        </w:tc>
        <w:tc>
          <w:tcPr>
            <w:tcW w:w="1418"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13.0</w:t>
            </w:r>
          </w:p>
        </w:tc>
        <w:tc>
          <w:tcPr>
            <w:tcW w:w="1417"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39.4</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Bungalow</w:t>
            </w:r>
          </w:p>
        </w:tc>
        <w:tc>
          <w:tcPr>
            <w:tcW w:w="1275"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2.0</w:t>
            </w:r>
          </w:p>
        </w:tc>
        <w:tc>
          <w:tcPr>
            <w:tcW w:w="1418"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1.2</w:t>
            </w:r>
          </w:p>
        </w:tc>
        <w:tc>
          <w:tcPr>
            <w:tcW w:w="1417"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3.1</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Flat/apartment</w:t>
            </w:r>
          </w:p>
        </w:tc>
        <w:tc>
          <w:tcPr>
            <w:tcW w:w="1275"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2.7</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16.5</w:t>
            </w:r>
          </w:p>
        </w:tc>
        <w:tc>
          <w:tcPr>
            <w:tcW w:w="1418"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417"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19.2</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Other</w:t>
            </w:r>
          </w:p>
        </w:tc>
        <w:tc>
          <w:tcPr>
            <w:tcW w:w="1275"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1.5</w:t>
            </w:r>
          </w:p>
        </w:tc>
        <w:tc>
          <w:tcPr>
            <w:tcW w:w="1418"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417"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0.0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1.5</w:t>
            </w:r>
          </w:p>
        </w:tc>
      </w:tr>
      <w:tr w:rsidR="00C2104D" w:rsidRPr="00780720" w:rsidTr="00C2104D">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Total</w:t>
            </w:r>
          </w:p>
        </w:tc>
        <w:tc>
          <w:tcPr>
            <w:tcW w:w="1275"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5.4</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60.7</w:t>
            </w:r>
          </w:p>
        </w:tc>
        <w:tc>
          <w:tcPr>
            <w:tcW w:w="1418"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29.9</w:t>
            </w:r>
          </w:p>
        </w:tc>
        <w:tc>
          <w:tcPr>
            <w:tcW w:w="1417"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4.0</w:t>
            </w:r>
          </w:p>
        </w:tc>
        <w:tc>
          <w:tcPr>
            <w:tcW w:w="1276" w:type="dxa"/>
            <w:tcBorders>
              <w:top w:val="nil"/>
              <w:left w:val="nil"/>
              <w:bottom w:val="single" w:sz="4" w:space="0" w:color="auto"/>
              <w:right w:val="single" w:sz="4" w:space="0" w:color="auto"/>
            </w:tcBorders>
            <w:shd w:val="clear" w:color="auto" w:fill="auto"/>
            <w:noWrap/>
            <w:vAlign w:val="bottom"/>
            <w:hideMark/>
          </w:tcPr>
          <w:p w:rsidR="00780720" w:rsidRPr="00780720" w:rsidRDefault="00780720" w:rsidP="00780720">
            <w:pPr>
              <w:spacing w:before="0" w:after="0"/>
              <w:jc w:val="center"/>
              <w:rPr>
                <w:rFonts w:cs="Arial"/>
                <w:sz w:val="20"/>
                <w:szCs w:val="20"/>
                <w:lang w:eastAsia="en-GB"/>
              </w:rPr>
            </w:pPr>
            <w:r w:rsidRPr="00780720">
              <w:rPr>
                <w:rFonts w:cs="Arial"/>
                <w:sz w:val="20"/>
                <w:szCs w:val="20"/>
                <w:lang w:eastAsia="en-GB"/>
              </w:rPr>
              <w:t>100.0</w:t>
            </w:r>
          </w:p>
        </w:tc>
      </w:tr>
      <w:tr w:rsidR="00780720" w:rsidRPr="00780720" w:rsidTr="00C2104D">
        <w:trPr>
          <w:trHeight w:val="255"/>
        </w:trPr>
        <w:tc>
          <w:tcPr>
            <w:tcW w:w="8647" w:type="dxa"/>
            <w:gridSpan w:val="6"/>
            <w:tcBorders>
              <w:top w:val="nil"/>
              <w:left w:val="nil"/>
              <w:bottom w:val="nil"/>
              <w:right w:val="nil"/>
            </w:tcBorders>
            <w:shd w:val="clear" w:color="auto" w:fill="auto"/>
            <w:noWrap/>
            <w:vAlign w:val="bottom"/>
            <w:hideMark/>
          </w:tcPr>
          <w:p w:rsidR="00780720" w:rsidRPr="00780720" w:rsidRDefault="00780720" w:rsidP="00780720">
            <w:pPr>
              <w:spacing w:before="0" w:after="0"/>
              <w:rPr>
                <w:rFonts w:cs="Arial"/>
                <w:sz w:val="20"/>
                <w:szCs w:val="20"/>
                <w:lang w:eastAsia="en-GB"/>
              </w:rPr>
            </w:pPr>
            <w:r w:rsidRPr="00780720">
              <w:rPr>
                <w:rFonts w:cs="Arial"/>
                <w:sz w:val="20"/>
                <w:szCs w:val="20"/>
                <w:lang w:eastAsia="en-GB"/>
              </w:rPr>
              <w:t>Base: 8,727 newly-formed households moving into open market accommodation</w:t>
            </w:r>
          </w:p>
        </w:tc>
      </w:tr>
    </w:tbl>
    <w:p w:rsidR="003A6F13" w:rsidRDefault="00822C07" w:rsidP="00C2104D">
      <w:pPr>
        <w:ind w:firstLine="720"/>
        <w:rPr>
          <w:sz w:val="20"/>
          <w:szCs w:val="20"/>
        </w:rPr>
      </w:pPr>
      <w:r>
        <w:rPr>
          <w:sz w:val="20"/>
          <w:szCs w:val="20"/>
        </w:rPr>
        <w:t>Source: 2012</w:t>
      </w:r>
      <w:r w:rsidR="00E54933">
        <w:rPr>
          <w:sz w:val="20"/>
          <w:szCs w:val="20"/>
        </w:rPr>
        <w:t xml:space="preserve"> Household Survey</w:t>
      </w:r>
      <w:r w:rsidR="00780720">
        <w:rPr>
          <w:sz w:val="20"/>
          <w:szCs w:val="20"/>
        </w:rPr>
        <w:t>, rebased to 2011 Census</w:t>
      </w:r>
    </w:p>
    <w:p w:rsidR="00E205B0" w:rsidRDefault="00BE0C1E" w:rsidP="00C73FAA">
      <w:pPr>
        <w:pStyle w:val="Heading3"/>
        <w:rPr>
          <w:bCs/>
          <w:i/>
        </w:rPr>
      </w:pPr>
      <w:r>
        <w:tab/>
      </w:r>
    </w:p>
    <w:p w:rsidR="003A6F13" w:rsidRDefault="00C73FAA" w:rsidP="00C73FAA">
      <w:pPr>
        <w:pStyle w:val="Heading2"/>
        <w:ind w:left="0"/>
      </w:pPr>
      <w:bookmarkStart w:id="105" w:name="_Toc214433428"/>
      <w:bookmarkStart w:id="106" w:name="_Toc225941543"/>
      <w:r>
        <w:tab/>
      </w:r>
      <w:bookmarkStart w:id="107" w:name="_Toc333507765"/>
      <w:r w:rsidR="003A6F13">
        <w:t xml:space="preserve">Core Output 7: </w:t>
      </w:r>
      <w:r w:rsidR="003A6F13">
        <w:tab/>
        <w:t>Size of affordable housing required</w:t>
      </w:r>
      <w:bookmarkEnd w:id="105"/>
      <w:bookmarkEnd w:id="106"/>
      <w:bookmarkEnd w:id="107"/>
    </w:p>
    <w:p w:rsidR="00F46C2D" w:rsidRDefault="00F46C2D" w:rsidP="00F46C2D">
      <w:pPr>
        <w:pStyle w:val="Maintext"/>
        <w:numPr>
          <w:ilvl w:val="0"/>
          <w:numId w:val="0"/>
        </w:numPr>
        <w:ind w:left="709"/>
      </w:pPr>
    </w:p>
    <w:p w:rsidR="00F46C2D" w:rsidRDefault="00F46C2D" w:rsidP="00F46C2D">
      <w:pPr>
        <w:pStyle w:val="Maintext"/>
      </w:pPr>
      <w:r>
        <w:t>A detailed analysis of the following factors determines overall affordable housing requirements:</w:t>
      </w:r>
    </w:p>
    <w:p w:rsidR="00F46C2D" w:rsidRDefault="00F46C2D" w:rsidP="00C76826">
      <w:pPr>
        <w:pStyle w:val="Maintext"/>
        <w:numPr>
          <w:ilvl w:val="2"/>
          <w:numId w:val="10"/>
        </w:numPr>
      </w:pPr>
      <w:r>
        <w:t>Households currently in housing which is unsuitable for their use and who are unable to afford to buy or rent in the market (backlog need);</w:t>
      </w:r>
    </w:p>
    <w:p w:rsidR="00F46C2D" w:rsidRDefault="00F46C2D" w:rsidP="00C76826">
      <w:pPr>
        <w:pStyle w:val="Maintext"/>
        <w:numPr>
          <w:ilvl w:val="2"/>
          <w:numId w:val="10"/>
        </w:numPr>
      </w:pPr>
      <w:r>
        <w:t xml:space="preserve">New households forming who cannot afford to buy or rent in the market; </w:t>
      </w:r>
    </w:p>
    <w:p w:rsidR="00F46C2D" w:rsidRDefault="00F46C2D" w:rsidP="00C76826">
      <w:pPr>
        <w:pStyle w:val="Maintext"/>
        <w:numPr>
          <w:ilvl w:val="2"/>
          <w:numId w:val="10"/>
        </w:numPr>
      </w:pPr>
      <w:r>
        <w:t xml:space="preserve">Existing households expected to fall into need; </w:t>
      </w:r>
    </w:p>
    <w:p w:rsidR="00F46C2D" w:rsidRDefault="00F46C2D" w:rsidP="00C76826">
      <w:pPr>
        <w:pStyle w:val="Maintext"/>
        <w:numPr>
          <w:ilvl w:val="2"/>
          <w:numId w:val="10"/>
        </w:numPr>
      </w:pPr>
      <w:r>
        <w:t>The supply of affordable housing through social renting and intermediate tenure stock.</w:t>
      </w:r>
    </w:p>
    <w:p w:rsidR="001917F8" w:rsidRDefault="00F46C2D" w:rsidP="00F46C2D">
      <w:pPr>
        <w:pStyle w:val="Maintext"/>
      </w:pPr>
      <w:r>
        <w:t>The needs assessment model advocated by the CLG has been used and detailed analysis of each stage of the model is presented at Appendix D.</w:t>
      </w:r>
      <w:r w:rsidR="001917F8">
        <w:t xml:space="preserve"> </w:t>
      </w:r>
    </w:p>
    <w:p w:rsidR="00150609" w:rsidRDefault="001917F8" w:rsidP="00150609">
      <w:pPr>
        <w:pStyle w:val="Maintext"/>
      </w:pPr>
      <w:r>
        <w:t xml:space="preserve">In addition to establishing the overall affordable housing requirements, analysis considers the supply/demand variations by </w:t>
      </w:r>
      <w:r w:rsidR="00315960">
        <w:t>county</w:t>
      </w:r>
      <w:r>
        <w:t xml:space="preserve">, </w:t>
      </w:r>
      <w:r w:rsidR="00B440F0">
        <w:t>delivery area</w:t>
      </w:r>
      <w:r>
        <w:t>, property designation (i.e. general needs and older person) and property size (number of bedrooms)</w:t>
      </w:r>
      <w:r w:rsidR="005631FA">
        <w:t xml:space="preserve">. Analysis provides a gross figure (absolute shortfalls in affordable provision) and a net figure (which takes into account surplus accommodation relative to need). </w:t>
      </w:r>
      <w:r w:rsidR="00AA76B1">
        <w:t xml:space="preserve">Modelling suggests a </w:t>
      </w:r>
      <w:r w:rsidR="00AA76B1" w:rsidRPr="00AA76B1">
        <w:rPr>
          <w:b/>
        </w:rPr>
        <w:t>net</w:t>
      </w:r>
      <w:r w:rsidR="00AA76B1">
        <w:t xml:space="preserve"> </w:t>
      </w:r>
      <w:r w:rsidR="005631FA" w:rsidRPr="00150609">
        <w:rPr>
          <w:b/>
        </w:rPr>
        <w:t xml:space="preserve">shortfall of </w:t>
      </w:r>
      <w:r w:rsidR="000E21F3">
        <w:rPr>
          <w:b/>
        </w:rPr>
        <w:t>675</w:t>
      </w:r>
      <w:r w:rsidR="005631FA" w:rsidRPr="00150609">
        <w:rPr>
          <w:b/>
        </w:rPr>
        <w:t xml:space="preserve"> </w:t>
      </w:r>
      <w:r w:rsidR="005631FA" w:rsidRPr="005631FA">
        <w:t xml:space="preserve">and a </w:t>
      </w:r>
      <w:r w:rsidR="00AA76B1">
        <w:rPr>
          <w:b/>
        </w:rPr>
        <w:t>gross</w:t>
      </w:r>
      <w:r w:rsidRPr="00150609">
        <w:rPr>
          <w:b/>
        </w:rPr>
        <w:t xml:space="preserve"> shortfall of </w:t>
      </w:r>
      <w:r w:rsidR="00EF0F3A">
        <w:rPr>
          <w:b/>
        </w:rPr>
        <w:t>1</w:t>
      </w:r>
      <w:r w:rsidR="000E21F3">
        <w:rPr>
          <w:b/>
        </w:rPr>
        <w:t>,154</w:t>
      </w:r>
      <w:r w:rsidR="00AA76B1">
        <w:rPr>
          <w:b/>
        </w:rPr>
        <w:t xml:space="preserve"> </w:t>
      </w:r>
      <w:r>
        <w:t xml:space="preserve">affordable dwellings </w:t>
      </w:r>
      <w:r w:rsidR="00FE55A6">
        <w:t xml:space="preserve">each year </w:t>
      </w:r>
      <w:r w:rsidR="00942F99">
        <w:t>across County Durham (Table 4</w:t>
      </w:r>
      <w:r w:rsidR="001E3095">
        <w:t>.21</w:t>
      </w:r>
      <w:r w:rsidR="00561DB6">
        <w:t xml:space="preserve"> net shortfall a</w:t>
      </w:r>
      <w:r w:rsidR="001E3095">
        <w:t>nd Table 4.22</w:t>
      </w:r>
      <w:r w:rsidR="00FE55A6">
        <w:t xml:space="preserve"> gross shortfall</w:t>
      </w:r>
      <w:r w:rsidR="004243C6">
        <w:t>)</w:t>
      </w:r>
      <w:r w:rsidR="00FE55A6">
        <w:t xml:space="preserve">. </w:t>
      </w:r>
    </w:p>
    <w:p w:rsidR="00FC5964" w:rsidRDefault="00FC5964" w:rsidP="00CC27F5">
      <w:pPr>
        <w:ind w:left="1418" w:hanging="1418"/>
      </w:pPr>
      <w:r w:rsidRPr="004F6372">
        <w:rPr>
          <w:b/>
        </w:rPr>
        <w:t>Table 4.</w:t>
      </w:r>
      <w:r w:rsidR="001E3095">
        <w:rPr>
          <w:b/>
        </w:rPr>
        <w:t>21</w:t>
      </w:r>
      <w:r w:rsidRPr="004F6372">
        <w:tab/>
      </w:r>
      <w:r w:rsidR="00FE55A6">
        <w:t xml:space="preserve">Net </w:t>
      </w:r>
      <w:r w:rsidR="003218AD">
        <w:t>a</w:t>
      </w:r>
      <w:r w:rsidRPr="004F6372">
        <w:t>nnual affordable ho</w:t>
      </w:r>
      <w:r>
        <w:t xml:space="preserve">using requirements by </w:t>
      </w:r>
      <w:r w:rsidR="00B440F0">
        <w:t>delivery area</w:t>
      </w:r>
      <w:r w:rsidRPr="004F6372">
        <w:t>,</w:t>
      </w:r>
      <w:r w:rsidR="00CC27F5">
        <w:t xml:space="preserve"> </w:t>
      </w:r>
      <w:r w:rsidRPr="004F6372">
        <w:t>pr</w:t>
      </w:r>
      <w:r w:rsidR="00F07312">
        <w:t>operty size and designation 2012/13 to 2016/17</w:t>
      </w:r>
    </w:p>
    <w:tbl>
      <w:tblPr>
        <w:tblW w:w="10025" w:type="dxa"/>
        <w:tblInd w:w="93" w:type="dxa"/>
        <w:tblLook w:val="04A0" w:firstRow="1" w:lastRow="0" w:firstColumn="1" w:lastColumn="0" w:noHBand="0" w:noVBand="1"/>
      </w:tblPr>
      <w:tblGrid>
        <w:gridCol w:w="1858"/>
        <w:gridCol w:w="1418"/>
        <w:gridCol w:w="1109"/>
        <w:gridCol w:w="1540"/>
        <w:gridCol w:w="1080"/>
        <w:gridCol w:w="1080"/>
        <w:gridCol w:w="1940"/>
      </w:tblGrid>
      <w:tr w:rsidR="00EF0F3A" w:rsidRPr="00EF0F3A" w:rsidTr="00CF5794">
        <w:trPr>
          <w:trHeight w:val="600"/>
        </w:trPr>
        <w:tc>
          <w:tcPr>
            <w:tcW w:w="1858" w:type="dxa"/>
            <w:tcBorders>
              <w:top w:val="single" w:sz="4" w:space="0" w:color="auto"/>
              <w:left w:val="single" w:sz="4" w:space="0" w:color="auto"/>
              <w:right w:val="single" w:sz="4" w:space="0" w:color="auto"/>
            </w:tcBorders>
            <w:shd w:val="clear" w:color="000000" w:fill="008080"/>
            <w:noWrap/>
            <w:vAlign w:val="bottom"/>
            <w:hideMark/>
          </w:tcPr>
          <w:p w:rsidR="00EF0F3A" w:rsidRPr="00EF0F3A" w:rsidRDefault="00B440F0" w:rsidP="00CF5794">
            <w:pPr>
              <w:spacing w:before="0" w:after="0"/>
              <w:rPr>
                <w:rFonts w:cs="Arial"/>
                <w:b/>
                <w:bCs/>
                <w:color w:val="FFFFFF"/>
                <w:sz w:val="22"/>
                <w:szCs w:val="22"/>
                <w:lang w:eastAsia="en-GB"/>
              </w:rPr>
            </w:pPr>
            <w:r>
              <w:rPr>
                <w:rFonts w:cs="Arial"/>
                <w:b/>
                <w:bCs/>
                <w:color w:val="FFFFFF"/>
                <w:sz w:val="22"/>
                <w:szCs w:val="22"/>
                <w:lang w:eastAsia="en-GB"/>
              </w:rPr>
              <w:t>Delivery area</w:t>
            </w:r>
          </w:p>
        </w:tc>
        <w:tc>
          <w:tcPr>
            <w:tcW w:w="2527" w:type="dxa"/>
            <w:gridSpan w:val="2"/>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General</w:t>
            </w:r>
          </w:p>
          <w:p w:rsidR="00EF0F3A" w:rsidRPr="00EF0F3A" w:rsidRDefault="00EF0F3A" w:rsidP="00EF0F3A">
            <w:pPr>
              <w:spacing w:before="0" w:after="0"/>
              <w:jc w:val="center"/>
              <w:rPr>
                <w:rFonts w:cs="Arial"/>
                <w:b/>
                <w:bCs/>
                <w:color w:val="FFFFFF"/>
                <w:sz w:val="22"/>
                <w:szCs w:val="22"/>
                <w:lang w:eastAsia="en-GB"/>
              </w:rPr>
            </w:pPr>
          </w:p>
        </w:tc>
        <w:tc>
          <w:tcPr>
            <w:tcW w:w="1540" w:type="dxa"/>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Older Person</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TOTAL</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Total HHs</w:t>
            </w:r>
          </w:p>
        </w:tc>
        <w:tc>
          <w:tcPr>
            <w:tcW w:w="1940" w:type="dxa"/>
            <w:tcBorders>
              <w:top w:val="single" w:sz="4" w:space="0" w:color="auto"/>
              <w:left w:val="nil"/>
              <w:bottom w:val="single" w:sz="4" w:space="0" w:color="auto"/>
              <w:right w:val="single" w:sz="4" w:space="0" w:color="auto"/>
            </w:tcBorders>
            <w:shd w:val="clear" w:color="000000" w:fill="008080"/>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Net rate/1000 households</w:t>
            </w:r>
          </w:p>
        </w:tc>
      </w:tr>
      <w:tr w:rsidR="00EF0F3A" w:rsidRPr="00EF0F3A" w:rsidTr="000E21F3">
        <w:trPr>
          <w:trHeight w:val="300"/>
        </w:trPr>
        <w:tc>
          <w:tcPr>
            <w:tcW w:w="1858" w:type="dxa"/>
            <w:tcBorders>
              <w:top w:val="nil"/>
              <w:left w:val="single" w:sz="4" w:space="0" w:color="auto"/>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rPr>
                <w:rFonts w:cs="Arial"/>
                <w:b/>
                <w:bCs/>
                <w:color w:val="FFFFFF"/>
                <w:sz w:val="22"/>
                <w:szCs w:val="22"/>
                <w:lang w:eastAsia="en-GB"/>
              </w:rPr>
            </w:pPr>
            <w:r w:rsidRPr="00EF0F3A">
              <w:rPr>
                <w:rFonts w:cs="Arial"/>
                <w:b/>
                <w:bCs/>
                <w:color w:val="FFFFFF"/>
                <w:sz w:val="22"/>
                <w:szCs w:val="22"/>
                <w:lang w:eastAsia="en-GB"/>
              </w:rPr>
              <w:t> </w:t>
            </w:r>
          </w:p>
        </w:tc>
        <w:tc>
          <w:tcPr>
            <w:tcW w:w="1418" w:type="dxa"/>
            <w:tcBorders>
              <w:top w:val="nil"/>
              <w:left w:val="nil"/>
              <w:bottom w:val="single" w:sz="4" w:space="0" w:color="auto"/>
              <w:right w:val="single" w:sz="4" w:space="0" w:color="auto"/>
            </w:tcBorders>
            <w:shd w:val="clear" w:color="000000" w:fill="008080"/>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Smaller 1/2 Bed</w:t>
            </w:r>
          </w:p>
        </w:tc>
        <w:tc>
          <w:tcPr>
            <w:tcW w:w="1109" w:type="dxa"/>
            <w:tcBorders>
              <w:top w:val="nil"/>
              <w:left w:val="nil"/>
              <w:bottom w:val="single" w:sz="4" w:space="0" w:color="auto"/>
              <w:right w:val="single" w:sz="4" w:space="0" w:color="auto"/>
            </w:tcBorders>
            <w:shd w:val="clear" w:color="000000" w:fill="008080"/>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3+Bed</w:t>
            </w:r>
          </w:p>
        </w:tc>
        <w:tc>
          <w:tcPr>
            <w:tcW w:w="154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rPr>
                <w:rFonts w:cs="Arial"/>
                <w:color w:val="FFFFFF"/>
                <w:sz w:val="22"/>
                <w:szCs w:val="22"/>
                <w:lang w:eastAsia="en-GB"/>
              </w:rPr>
            </w:pPr>
            <w:r w:rsidRPr="00EF0F3A">
              <w:rPr>
                <w:rFonts w:cs="Arial"/>
                <w:color w:val="FFFFFF"/>
                <w:sz w:val="22"/>
                <w:szCs w:val="22"/>
                <w:lang w:eastAsia="en-GB"/>
              </w:rPr>
              <w:t> </w:t>
            </w:r>
          </w:p>
        </w:tc>
        <w:tc>
          <w:tcPr>
            <w:tcW w:w="194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rPr>
                <w:rFonts w:cs="Arial"/>
                <w:color w:val="FFFFFF"/>
                <w:sz w:val="22"/>
                <w:szCs w:val="22"/>
                <w:lang w:eastAsia="en-GB"/>
              </w:rPr>
            </w:pPr>
            <w:r w:rsidRPr="00EF0F3A">
              <w:rPr>
                <w:rFonts w:cs="Arial"/>
                <w:color w:val="FFFFFF"/>
                <w:sz w:val="22"/>
                <w:szCs w:val="22"/>
                <w:lang w:eastAsia="en-GB"/>
              </w:rPr>
              <w:t> </w:t>
            </w:r>
          </w:p>
        </w:tc>
      </w:tr>
      <w:tr w:rsidR="000E21F3" w:rsidRPr="00EF0F3A" w:rsidTr="000E21F3">
        <w:trPr>
          <w:trHeight w:val="28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North Durham</w:t>
            </w:r>
          </w:p>
        </w:tc>
        <w:tc>
          <w:tcPr>
            <w:tcW w:w="1418"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72</w:t>
            </w:r>
          </w:p>
        </w:tc>
        <w:tc>
          <w:tcPr>
            <w:tcW w:w="1109"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-27</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110</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156</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sz w:val="20"/>
                <w:szCs w:val="20"/>
              </w:rPr>
            </w:pPr>
            <w:r>
              <w:rPr>
                <w:rFonts w:cs="Arial"/>
                <w:sz w:val="20"/>
                <w:szCs w:val="20"/>
              </w:rPr>
              <w:t>60151</w:t>
            </w:r>
          </w:p>
        </w:tc>
        <w:tc>
          <w:tcPr>
            <w:tcW w:w="19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2.6</w:t>
            </w:r>
          </w:p>
        </w:tc>
      </w:tr>
      <w:tr w:rsidR="000E21F3" w:rsidRPr="00EF0F3A" w:rsidTr="000E21F3">
        <w:trPr>
          <w:trHeight w:val="28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Central Durham</w:t>
            </w:r>
          </w:p>
        </w:tc>
        <w:tc>
          <w:tcPr>
            <w:tcW w:w="1418"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68</w:t>
            </w:r>
          </w:p>
        </w:tc>
        <w:tc>
          <w:tcPr>
            <w:tcW w:w="1109"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31</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90</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189</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sz w:val="20"/>
                <w:szCs w:val="20"/>
              </w:rPr>
            </w:pPr>
            <w:r>
              <w:rPr>
                <w:rFonts w:cs="Arial"/>
                <w:sz w:val="20"/>
                <w:szCs w:val="20"/>
              </w:rPr>
              <w:t>42905</w:t>
            </w:r>
          </w:p>
        </w:tc>
        <w:tc>
          <w:tcPr>
            <w:tcW w:w="19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4.4</w:t>
            </w:r>
          </w:p>
        </w:tc>
      </w:tr>
      <w:tr w:rsidR="000E21F3" w:rsidRPr="00EF0F3A" w:rsidTr="000E21F3">
        <w:trPr>
          <w:trHeight w:val="28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East Durham</w:t>
            </w:r>
          </w:p>
        </w:tc>
        <w:tc>
          <w:tcPr>
            <w:tcW w:w="1418"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70</w:t>
            </w:r>
          </w:p>
        </w:tc>
        <w:tc>
          <w:tcPr>
            <w:tcW w:w="1109"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-26</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108</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152</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sz w:val="20"/>
                <w:szCs w:val="20"/>
              </w:rPr>
            </w:pPr>
            <w:r>
              <w:rPr>
                <w:rFonts w:cs="Arial"/>
                <w:sz w:val="20"/>
                <w:szCs w:val="20"/>
              </w:rPr>
              <w:t>41416</w:t>
            </w:r>
          </w:p>
        </w:tc>
        <w:tc>
          <w:tcPr>
            <w:tcW w:w="19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3.7</w:t>
            </w:r>
          </w:p>
        </w:tc>
      </w:tr>
      <w:tr w:rsidR="000E21F3" w:rsidRPr="00EF0F3A" w:rsidTr="000E21F3">
        <w:trPr>
          <w:trHeight w:val="28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The Dales and South Durham</w:t>
            </w:r>
          </w:p>
        </w:tc>
        <w:tc>
          <w:tcPr>
            <w:tcW w:w="1418"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w:t>
            </w:r>
          </w:p>
        </w:tc>
        <w:tc>
          <w:tcPr>
            <w:tcW w:w="1109"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-33</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210</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177</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79331</w:t>
            </w:r>
          </w:p>
        </w:tc>
        <w:tc>
          <w:tcPr>
            <w:tcW w:w="19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2.2</w:t>
            </w:r>
          </w:p>
        </w:tc>
      </w:tr>
      <w:tr w:rsidR="000E21F3" w:rsidRPr="00EF0F3A" w:rsidTr="000E21F3">
        <w:trPr>
          <w:trHeight w:val="28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E21F3" w:rsidRPr="000E21F3" w:rsidRDefault="000E21F3" w:rsidP="000E21F3">
            <w:pPr>
              <w:spacing w:before="0" w:after="0"/>
              <w:rPr>
                <w:rFonts w:cs="Arial"/>
                <w:b/>
                <w:sz w:val="20"/>
                <w:szCs w:val="20"/>
              </w:rPr>
            </w:pPr>
            <w:r w:rsidRPr="000E21F3">
              <w:rPr>
                <w:rFonts w:cs="Arial"/>
                <w:b/>
                <w:sz w:val="20"/>
                <w:szCs w:val="20"/>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210</w:t>
            </w:r>
          </w:p>
        </w:tc>
        <w:tc>
          <w:tcPr>
            <w:tcW w:w="1109"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-54</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519</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674</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223803</w:t>
            </w:r>
          </w:p>
        </w:tc>
        <w:tc>
          <w:tcPr>
            <w:tcW w:w="1940" w:type="dxa"/>
            <w:tcBorders>
              <w:top w:val="nil"/>
              <w:left w:val="nil"/>
              <w:bottom w:val="single" w:sz="4" w:space="0" w:color="auto"/>
              <w:right w:val="single" w:sz="4" w:space="0" w:color="auto"/>
            </w:tcBorders>
            <w:shd w:val="clear" w:color="auto" w:fill="auto"/>
            <w:noWrap/>
            <w:vAlign w:val="bottom"/>
            <w:hideMark/>
          </w:tcPr>
          <w:p w:rsidR="000E21F3" w:rsidRPr="000E21F3" w:rsidRDefault="000E21F3" w:rsidP="000E21F3">
            <w:pPr>
              <w:spacing w:before="0" w:after="0"/>
              <w:jc w:val="center"/>
              <w:rPr>
                <w:rFonts w:cs="Arial"/>
                <w:b/>
                <w:color w:val="000000"/>
                <w:sz w:val="22"/>
                <w:szCs w:val="22"/>
              </w:rPr>
            </w:pPr>
            <w:r w:rsidRPr="000E21F3">
              <w:rPr>
                <w:rFonts w:cs="Arial"/>
                <w:b/>
                <w:color w:val="000000"/>
                <w:sz w:val="22"/>
                <w:szCs w:val="22"/>
              </w:rPr>
              <w:t>3.0</w:t>
            </w:r>
          </w:p>
        </w:tc>
      </w:tr>
    </w:tbl>
    <w:p w:rsidR="00FC5964" w:rsidRDefault="00FE55A6" w:rsidP="00FC5964">
      <w:pPr>
        <w:rPr>
          <w:sz w:val="20"/>
          <w:szCs w:val="20"/>
        </w:rPr>
      </w:pPr>
      <w:r>
        <w:rPr>
          <w:sz w:val="20"/>
          <w:szCs w:val="20"/>
        </w:rPr>
        <w:t>Sources: 2012</w:t>
      </w:r>
      <w:r w:rsidR="00FC5964" w:rsidRPr="004F6372">
        <w:rPr>
          <w:sz w:val="20"/>
          <w:szCs w:val="20"/>
        </w:rPr>
        <w:t xml:space="preserve"> Household Survey</w:t>
      </w:r>
      <w:r w:rsidR="000E21F3">
        <w:rPr>
          <w:sz w:val="20"/>
          <w:szCs w:val="20"/>
        </w:rPr>
        <w:t xml:space="preserve"> rebased to 2011 Census</w:t>
      </w:r>
      <w:r w:rsidR="00FC5964" w:rsidRPr="004F6372">
        <w:rPr>
          <w:sz w:val="20"/>
          <w:szCs w:val="20"/>
        </w:rPr>
        <w:t>; RSL CORE Lettings and Sales</w:t>
      </w:r>
    </w:p>
    <w:p w:rsidR="00FE55A6" w:rsidRDefault="00FE55A6" w:rsidP="00FC5964">
      <w:pPr>
        <w:rPr>
          <w:sz w:val="20"/>
          <w:szCs w:val="20"/>
        </w:rPr>
      </w:pPr>
    </w:p>
    <w:p w:rsidR="00FE55A6" w:rsidRDefault="00FE55A6" w:rsidP="00FE55A6">
      <w:pPr>
        <w:ind w:left="1418" w:hanging="1418"/>
      </w:pPr>
      <w:r w:rsidRPr="004F6372">
        <w:rPr>
          <w:b/>
        </w:rPr>
        <w:t>Table 4.</w:t>
      </w:r>
      <w:r w:rsidR="001E3095">
        <w:rPr>
          <w:b/>
        </w:rPr>
        <w:t>22</w:t>
      </w:r>
      <w:r w:rsidRPr="004F6372">
        <w:tab/>
      </w:r>
      <w:r>
        <w:t>Gross a</w:t>
      </w:r>
      <w:r w:rsidRPr="004F6372">
        <w:t>nnual affordable ho</w:t>
      </w:r>
      <w:r>
        <w:t xml:space="preserve">using requirements by </w:t>
      </w:r>
      <w:r w:rsidR="00B440F0">
        <w:t>delivery area</w:t>
      </w:r>
      <w:r w:rsidR="00EF0F3A" w:rsidRPr="004F6372">
        <w:t>,</w:t>
      </w:r>
      <w:r w:rsidR="00EF0F3A">
        <w:t xml:space="preserve"> </w:t>
      </w:r>
      <w:r w:rsidR="00EF0F3A" w:rsidRPr="004F6372">
        <w:t>pr</w:t>
      </w:r>
      <w:r w:rsidR="00EF0F3A">
        <w:t>operty size and designation 2012/13 to 2016/17</w:t>
      </w:r>
    </w:p>
    <w:tbl>
      <w:tblPr>
        <w:tblW w:w="10206" w:type="dxa"/>
        <w:tblInd w:w="93" w:type="dxa"/>
        <w:tblLook w:val="04A0" w:firstRow="1" w:lastRow="0" w:firstColumn="1" w:lastColumn="0" w:noHBand="0" w:noVBand="1"/>
      </w:tblPr>
      <w:tblGrid>
        <w:gridCol w:w="1586"/>
        <w:gridCol w:w="1780"/>
        <w:gridCol w:w="1180"/>
        <w:gridCol w:w="1540"/>
        <w:gridCol w:w="1080"/>
        <w:gridCol w:w="1080"/>
        <w:gridCol w:w="1960"/>
      </w:tblGrid>
      <w:tr w:rsidR="00EF0F3A" w:rsidRPr="00EF0F3A" w:rsidTr="00CF5794">
        <w:trPr>
          <w:trHeight w:val="600"/>
        </w:trPr>
        <w:tc>
          <w:tcPr>
            <w:tcW w:w="1586" w:type="dxa"/>
            <w:tcBorders>
              <w:top w:val="single" w:sz="4" w:space="0" w:color="auto"/>
              <w:left w:val="single" w:sz="4" w:space="0" w:color="auto"/>
              <w:right w:val="single" w:sz="4" w:space="0" w:color="auto"/>
            </w:tcBorders>
            <w:shd w:val="clear" w:color="000000" w:fill="008080"/>
            <w:noWrap/>
            <w:vAlign w:val="bottom"/>
            <w:hideMark/>
          </w:tcPr>
          <w:p w:rsidR="00EF0F3A" w:rsidRPr="00EF0F3A" w:rsidRDefault="00B440F0" w:rsidP="00EF0F3A">
            <w:pPr>
              <w:spacing w:before="0" w:after="0"/>
              <w:rPr>
                <w:rFonts w:cs="Arial"/>
                <w:b/>
                <w:bCs/>
                <w:color w:val="FFFFFF"/>
                <w:sz w:val="22"/>
                <w:szCs w:val="22"/>
                <w:lang w:eastAsia="en-GB"/>
              </w:rPr>
            </w:pPr>
            <w:r>
              <w:rPr>
                <w:rFonts w:cs="Arial"/>
                <w:b/>
                <w:bCs/>
                <w:color w:val="FFFFFF"/>
                <w:sz w:val="22"/>
                <w:szCs w:val="22"/>
                <w:lang w:eastAsia="en-GB"/>
              </w:rPr>
              <w:t>Delivery area</w:t>
            </w:r>
          </w:p>
        </w:tc>
        <w:tc>
          <w:tcPr>
            <w:tcW w:w="2960" w:type="dxa"/>
            <w:gridSpan w:val="2"/>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General</w:t>
            </w:r>
          </w:p>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 </w:t>
            </w:r>
          </w:p>
        </w:tc>
        <w:tc>
          <w:tcPr>
            <w:tcW w:w="1540" w:type="dxa"/>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Older Person</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TOTAL</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Total HHs</w:t>
            </w:r>
          </w:p>
        </w:tc>
        <w:tc>
          <w:tcPr>
            <w:tcW w:w="1960" w:type="dxa"/>
            <w:tcBorders>
              <w:top w:val="single" w:sz="4" w:space="0" w:color="auto"/>
              <w:left w:val="nil"/>
              <w:bottom w:val="single" w:sz="4" w:space="0" w:color="auto"/>
              <w:right w:val="single" w:sz="4" w:space="0" w:color="auto"/>
            </w:tcBorders>
            <w:shd w:val="clear" w:color="000000" w:fill="008080"/>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Gross rate/1000 households</w:t>
            </w:r>
          </w:p>
        </w:tc>
      </w:tr>
      <w:tr w:rsidR="00EF0F3A" w:rsidRPr="00EF0F3A" w:rsidTr="00EF0F3A">
        <w:trPr>
          <w:trHeight w:val="300"/>
        </w:trPr>
        <w:tc>
          <w:tcPr>
            <w:tcW w:w="1586" w:type="dxa"/>
            <w:tcBorders>
              <w:top w:val="nil"/>
              <w:left w:val="single" w:sz="4" w:space="0" w:color="auto"/>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rPr>
                <w:rFonts w:cs="Arial"/>
                <w:b/>
                <w:bCs/>
                <w:color w:val="FFFFFF"/>
                <w:sz w:val="22"/>
                <w:szCs w:val="22"/>
                <w:lang w:eastAsia="en-GB"/>
              </w:rPr>
            </w:pPr>
            <w:r w:rsidRPr="00EF0F3A">
              <w:rPr>
                <w:rFonts w:cs="Arial"/>
                <w:b/>
                <w:bCs/>
                <w:color w:val="FFFFFF"/>
                <w:sz w:val="22"/>
                <w:szCs w:val="22"/>
                <w:lang w:eastAsia="en-GB"/>
              </w:rPr>
              <w:t> </w:t>
            </w:r>
          </w:p>
        </w:tc>
        <w:tc>
          <w:tcPr>
            <w:tcW w:w="1780" w:type="dxa"/>
            <w:tcBorders>
              <w:top w:val="nil"/>
              <w:left w:val="nil"/>
              <w:bottom w:val="single" w:sz="4" w:space="0" w:color="auto"/>
              <w:right w:val="single" w:sz="4" w:space="0" w:color="auto"/>
            </w:tcBorders>
            <w:shd w:val="clear" w:color="000000" w:fill="008080"/>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Smaller 1/2 Bed</w:t>
            </w:r>
          </w:p>
        </w:tc>
        <w:tc>
          <w:tcPr>
            <w:tcW w:w="1180" w:type="dxa"/>
            <w:tcBorders>
              <w:top w:val="nil"/>
              <w:left w:val="nil"/>
              <w:bottom w:val="single" w:sz="4" w:space="0" w:color="auto"/>
              <w:right w:val="single" w:sz="4" w:space="0" w:color="auto"/>
            </w:tcBorders>
            <w:shd w:val="clear" w:color="000000" w:fill="008080"/>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3+Bed</w:t>
            </w:r>
          </w:p>
        </w:tc>
        <w:tc>
          <w:tcPr>
            <w:tcW w:w="154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jc w:val="center"/>
              <w:rPr>
                <w:rFonts w:cs="Arial"/>
                <w:b/>
                <w:bCs/>
                <w:color w:val="FFFFFF"/>
                <w:sz w:val="22"/>
                <w:szCs w:val="22"/>
                <w:lang w:eastAsia="en-GB"/>
              </w:rPr>
            </w:pPr>
            <w:r w:rsidRPr="00EF0F3A">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rPr>
                <w:rFonts w:cs="Arial"/>
                <w:color w:val="FFFFFF"/>
                <w:sz w:val="22"/>
                <w:szCs w:val="22"/>
                <w:lang w:eastAsia="en-GB"/>
              </w:rPr>
            </w:pPr>
            <w:r w:rsidRPr="00EF0F3A">
              <w:rPr>
                <w:rFonts w:cs="Arial"/>
                <w:color w:val="FFFFFF"/>
                <w:sz w:val="22"/>
                <w:szCs w:val="22"/>
                <w:lang w:eastAsia="en-GB"/>
              </w:rPr>
              <w:t> </w:t>
            </w:r>
          </w:p>
        </w:tc>
        <w:tc>
          <w:tcPr>
            <w:tcW w:w="1960" w:type="dxa"/>
            <w:tcBorders>
              <w:top w:val="nil"/>
              <w:left w:val="nil"/>
              <w:bottom w:val="single" w:sz="4" w:space="0" w:color="auto"/>
              <w:right w:val="single" w:sz="4" w:space="0" w:color="auto"/>
            </w:tcBorders>
            <w:shd w:val="clear" w:color="000000" w:fill="008080"/>
            <w:noWrap/>
            <w:vAlign w:val="bottom"/>
            <w:hideMark/>
          </w:tcPr>
          <w:p w:rsidR="00EF0F3A" w:rsidRPr="00EF0F3A" w:rsidRDefault="00EF0F3A" w:rsidP="00EF0F3A">
            <w:pPr>
              <w:spacing w:before="0" w:after="0"/>
              <w:rPr>
                <w:rFonts w:cs="Arial"/>
                <w:color w:val="FFFFFF"/>
                <w:sz w:val="22"/>
                <w:szCs w:val="22"/>
                <w:lang w:eastAsia="en-GB"/>
              </w:rPr>
            </w:pPr>
            <w:r w:rsidRPr="00EF0F3A">
              <w:rPr>
                <w:rFonts w:cs="Arial"/>
                <w:color w:val="FFFFFF"/>
                <w:sz w:val="22"/>
                <w:szCs w:val="22"/>
                <w:lang w:eastAsia="en-GB"/>
              </w:rPr>
              <w:t> </w:t>
            </w:r>
          </w:p>
        </w:tc>
      </w:tr>
      <w:tr w:rsidR="000E21F3" w:rsidRPr="00EF0F3A" w:rsidTr="00EF0F3A">
        <w:trPr>
          <w:trHeight w:val="285"/>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North Durham</w:t>
            </w:r>
          </w:p>
        </w:tc>
        <w:tc>
          <w:tcPr>
            <w:tcW w:w="17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166</w:t>
            </w:r>
          </w:p>
        </w:tc>
        <w:tc>
          <w:tcPr>
            <w:tcW w:w="11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50</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116</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332</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sz w:val="20"/>
                <w:szCs w:val="20"/>
              </w:rPr>
            </w:pPr>
            <w:r>
              <w:rPr>
                <w:rFonts w:cs="Arial"/>
                <w:sz w:val="20"/>
                <w:szCs w:val="20"/>
              </w:rPr>
              <w:t>60151</w:t>
            </w:r>
          </w:p>
        </w:tc>
        <w:tc>
          <w:tcPr>
            <w:tcW w:w="196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5.5</w:t>
            </w:r>
          </w:p>
        </w:tc>
      </w:tr>
      <w:tr w:rsidR="000E21F3" w:rsidRPr="00EF0F3A" w:rsidTr="00EF0F3A">
        <w:trPr>
          <w:trHeight w:val="285"/>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Central Durham</w:t>
            </w:r>
          </w:p>
        </w:tc>
        <w:tc>
          <w:tcPr>
            <w:tcW w:w="17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79</w:t>
            </w:r>
          </w:p>
        </w:tc>
        <w:tc>
          <w:tcPr>
            <w:tcW w:w="11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34</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90</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203</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sz w:val="20"/>
                <w:szCs w:val="20"/>
              </w:rPr>
            </w:pPr>
            <w:r>
              <w:rPr>
                <w:rFonts w:cs="Arial"/>
                <w:sz w:val="20"/>
                <w:szCs w:val="20"/>
              </w:rPr>
              <w:t>42905</w:t>
            </w:r>
          </w:p>
        </w:tc>
        <w:tc>
          <w:tcPr>
            <w:tcW w:w="196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4.7</w:t>
            </w:r>
          </w:p>
        </w:tc>
      </w:tr>
      <w:tr w:rsidR="000E21F3" w:rsidRPr="00EF0F3A" w:rsidTr="00EF0F3A">
        <w:trPr>
          <w:trHeight w:val="285"/>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East Durham</w:t>
            </w:r>
          </w:p>
        </w:tc>
        <w:tc>
          <w:tcPr>
            <w:tcW w:w="17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104</w:t>
            </w:r>
          </w:p>
        </w:tc>
        <w:tc>
          <w:tcPr>
            <w:tcW w:w="11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7</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123</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234</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sz w:val="20"/>
                <w:szCs w:val="20"/>
              </w:rPr>
            </w:pPr>
            <w:r>
              <w:rPr>
                <w:rFonts w:cs="Arial"/>
                <w:sz w:val="20"/>
                <w:szCs w:val="20"/>
              </w:rPr>
              <w:t>41416</w:t>
            </w:r>
          </w:p>
        </w:tc>
        <w:tc>
          <w:tcPr>
            <w:tcW w:w="196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5.7</w:t>
            </w:r>
          </w:p>
        </w:tc>
      </w:tr>
      <w:tr w:rsidR="000E21F3" w:rsidRPr="00EF0F3A" w:rsidTr="00EF0F3A">
        <w:trPr>
          <w:trHeight w:val="285"/>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The Dales and South Durham</w:t>
            </w:r>
          </w:p>
        </w:tc>
        <w:tc>
          <w:tcPr>
            <w:tcW w:w="17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137</w:t>
            </w:r>
          </w:p>
        </w:tc>
        <w:tc>
          <w:tcPr>
            <w:tcW w:w="11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28</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220</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385</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79331</w:t>
            </w:r>
          </w:p>
        </w:tc>
        <w:tc>
          <w:tcPr>
            <w:tcW w:w="196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color w:val="000000"/>
                <w:sz w:val="22"/>
                <w:szCs w:val="22"/>
              </w:rPr>
            </w:pPr>
            <w:r>
              <w:rPr>
                <w:rFonts w:cs="Arial"/>
                <w:color w:val="000000"/>
                <w:sz w:val="22"/>
                <w:szCs w:val="22"/>
              </w:rPr>
              <w:t>4.9</w:t>
            </w:r>
          </w:p>
        </w:tc>
      </w:tr>
      <w:tr w:rsidR="000E21F3" w:rsidRPr="00EF0F3A" w:rsidTr="00EF0F3A">
        <w:trPr>
          <w:trHeight w:val="285"/>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rsidR="000E21F3" w:rsidRDefault="000E21F3" w:rsidP="000E21F3">
            <w:pPr>
              <w:spacing w:before="0" w:after="0"/>
              <w:rPr>
                <w:rFonts w:cs="Arial"/>
                <w:sz w:val="20"/>
                <w:szCs w:val="20"/>
              </w:rPr>
            </w:pPr>
            <w:r>
              <w:rPr>
                <w:rFonts w:cs="Arial"/>
                <w:sz w:val="20"/>
                <w:szCs w:val="20"/>
              </w:rPr>
              <w:t>Total</w:t>
            </w:r>
          </w:p>
        </w:tc>
        <w:tc>
          <w:tcPr>
            <w:tcW w:w="17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486</w:t>
            </w:r>
          </w:p>
        </w:tc>
        <w:tc>
          <w:tcPr>
            <w:tcW w:w="11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118</w:t>
            </w:r>
          </w:p>
        </w:tc>
        <w:tc>
          <w:tcPr>
            <w:tcW w:w="154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550</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1154</w:t>
            </w:r>
          </w:p>
        </w:tc>
        <w:tc>
          <w:tcPr>
            <w:tcW w:w="108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223803</w:t>
            </w:r>
          </w:p>
        </w:tc>
        <w:tc>
          <w:tcPr>
            <w:tcW w:w="1960" w:type="dxa"/>
            <w:tcBorders>
              <w:top w:val="nil"/>
              <w:left w:val="nil"/>
              <w:bottom w:val="single" w:sz="4" w:space="0" w:color="auto"/>
              <w:right w:val="single" w:sz="4" w:space="0" w:color="auto"/>
            </w:tcBorders>
            <w:shd w:val="clear" w:color="auto" w:fill="auto"/>
            <w:noWrap/>
            <w:vAlign w:val="bottom"/>
            <w:hideMark/>
          </w:tcPr>
          <w:p w:rsidR="000E21F3" w:rsidRDefault="000E21F3" w:rsidP="000E21F3">
            <w:pPr>
              <w:spacing w:before="0" w:after="0"/>
              <w:jc w:val="center"/>
              <w:rPr>
                <w:rFonts w:cs="Arial"/>
                <w:b/>
                <w:bCs/>
                <w:color w:val="000000"/>
                <w:sz w:val="22"/>
                <w:szCs w:val="22"/>
              </w:rPr>
            </w:pPr>
            <w:r>
              <w:rPr>
                <w:rFonts w:cs="Arial"/>
                <w:b/>
                <w:bCs/>
                <w:color w:val="000000"/>
                <w:sz w:val="22"/>
                <w:szCs w:val="22"/>
              </w:rPr>
              <w:t>5.2</w:t>
            </w:r>
          </w:p>
        </w:tc>
      </w:tr>
    </w:tbl>
    <w:p w:rsidR="00FE55A6" w:rsidRDefault="00FE55A6" w:rsidP="00FE55A6">
      <w:pPr>
        <w:rPr>
          <w:sz w:val="20"/>
          <w:szCs w:val="20"/>
        </w:rPr>
      </w:pPr>
      <w:r>
        <w:rPr>
          <w:sz w:val="20"/>
          <w:szCs w:val="20"/>
        </w:rPr>
        <w:t>Sources: 2012</w:t>
      </w:r>
      <w:r w:rsidRPr="004F6372">
        <w:rPr>
          <w:sz w:val="20"/>
          <w:szCs w:val="20"/>
        </w:rPr>
        <w:t xml:space="preserve"> Household Survey</w:t>
      </w:r>
      <w:r w:rsidR="000E21F3">
        <w:rPr>
          <w:sz w:val="20"/>
          <w:szCs w:val="20"/>
        </w:rPr>
        <w:t xml:space="preserve"> rebased to 2011 Census</w:t>
      </w:r>
      <w:r w:rsidRPr="004F6372">
        <w:rPr>
          <w:sz w:val="20"/>
          <w:szCs w:val="20"/>
        </w:rPr>
        <w:t>; RSL CORE Lettings and Sales</w:t>
      </w:r>
    </w:p>
    <w:p w:rsidR="00381E1B" w:rsidRDefault="00381E1B" w:rsidP="00381E1B">
      <w:pPr>
        <w:pStyle w:val="Maintext"/>
        <w:numPr>
          <w:ilvl w:val="0"/>
          <w:numId w:val="0"/>
        </w:numPr>
        <w:ind w:left="709"/>
      </w:pPr>
    </w:p>
    <w:p w:rsidR="00EB0331" w:rsidRDefault="00EB0331" w:rsidP="00EF0F3A">
      <w:pPr>
        <w:pStyle w:val="Maintext"/>
      </w:pPr>
      <w:r>
        <w:t xml:space="preserve">Tables 4.21 and 4.22 also translate identified shortfalls in affordable housing into a rate per 1,000 households. This suggests that the greatest need is in the North and East Durham areas. </w:t>
      </w:r>
    </w:p>
    <w:p w:rsidR="00942F99" w:rsidRDefault="00942F99" w:rsidP="00EF0F3A">
      <w:pPr>
        <w:pStyle w:val="Maintext"/>
      </w:pPr>
      <w:r>
        <w:t>Please note that this modelling does not include future affordable development which would help to offset the scale of affordable shortfall identified.</w:t>
      </w:r>
    </w:p>
    <w:p w:rsidR="00EF0F3A" w:rsidRDefault="00EF0F3A" w:rsidP="00EF0F3A">
      <w:pPr>
        <w:pStyle w:val="Maintext"/>
      </w:pPr>
      <w:r>
        <w:t>It should also be noted that the last few years has been a time of marked slowdown in housing market activity and a time of increasing economic uncertainty. Furthermore, the ability of households to access mortgage finance is a critical consideration in looking at overall affordable housing need in the short-term. The current affordable need estimates are based on CLG SHMA guidance modelling but may be higher as they are simply based on an income multiplier/access to equity and not on the ability to actually access a mortgage.</w:t>
      </w:r>
    </w:p>
    <w:p w:rsidR="008F6597" w:rsidRDefault="008F6597" w:rsidP="00950A90">
      <w:pPr>
        <w:ind w:firstLine="709"/>
        <w:rPr>
          <w:b/>
        </w:rPr>
      </w:pPr>
    </w:p>
    <w:p w:rsidR="008F6597" w:rsidRDefault="008F6597" w:rsidP="00096915">
      <w:pPr>
        <w:rPr>
          <w:b/>
        </w:rPr>
      </w:pPr>
    </w:p>
    <w:p w:rsidR="00381E1B" w:rsidRDefault="00381E1B" w:rsidP="00096915">
      <w:pPr>
        <w:rPr>
          <w:b/>
        </w:rPr>
      </w:pPr>
    </w:p>
    <w:p w:rsidR="00381E1B" w:rsidRDefault="00381E1B" w:rsidP="00096915">
      <w:pPr>
        <w:rPr>
          <w:b/>
        </w:rPr>
      </w:pPr>
    </w:p>
    <w:p w:rsidR="00950A90" w:rsidRPr="00DC1B92" w:rsidRDefault="00950A90" w:rsidP="00950A90">
      <w:pPr>
        <w:ind w:firstLine="709"/>
        <w:rPr>
          <w:b/>
        </w:rPr>
      </w:pPr>
      <w:r w:rsidRPr="00DC1B92">
        <w:rPr>
          <w:b/>
        </w:rPr>
        <w:t>Policy recommendations</w:t>
      </w:r>
    </w:p>
    <w:p w:rsidR="00950A90" w:rsidRDefault="00950A90" w:rsidP="00950A90">
      <w:pPr>
        <w:pStyle w:val="Maintext"/>
      </w:pPr>
      <w:r>
        <w:t>The SHMA has provided net and gross affordable requirement figures based on the CLG housing needs assessment model. In terms of implications for the scale and type of affordable housing to be delivered</w:t>
      </w:r>
      <w:r w:rsidR="001E3095">
        <w:t>, Table 4.23</w:t>
      </w:r>
      <w:r>
        <w:t xml:space="preserve"> considers the overall gross shortfalls by </w:t>
      </w:r>
      <w:r w:rsidR="00B440F0">
        <w:t>delivery area</w:t>
      </w:r>
      <w:r>
        <w:t xml:space="preserve"> and applies the gross proportions to the net shortfall figure. This helps to determine the relative housing shortfall by basing analysis on the overall (gross) shortfalls but applied to a baseline net figure which takes account of existing affordable housing capacity.</w:t>
      </w:r>
    </w:p>
    <w:p w:rsidR="00950A90" w:rsidRDefault="00950A90" w:rsidP="00950A90">
      <w:pPr>
        <w:pStyle w:val="Heading1"/>
        <w:numPr>
          <w:ilvl w:val="0"/>
          <w:numId w:val="0"/>
        </w:numPr>
        <w:ind w:left="709"/>
      </w:pPr>
    </w:p>
    <w:p w:rsidR="000B0F10" w:rsidRDefault="00950A90" w:rsidP="000B0F10">
      <w:pPr>
        <w:pStyle w:val="Maintext"/>
        <w:numPr>
          <w:ilvl w:val="0"/>
          <w:numId w:val="0"/>
        </w:numPr>
        <w:ind w:left="709"/>
      </w:pPr>
      <w:r w:rsidRPr="000B0F10">
        <w:rPr>
          <w:b/>
        </w:rPr>
        <w:t>Table 4.</w:t>
      </w:r>
      <w:r w:rsidR="00942F99">
        <w:rPr>
          <w:b/>
        </w:rPr>
        <w:t>2</w:t>
      </w:r>
      <w:r w:rsidR="001E3095">
        <w:rPr>
          <w:b/>
        </w:rPr>
        <w:t>3</w:t>
      </w:r>
      <w:r w:rsidR="000B0F10">
        <w:tab/>
        <w:t xml:space="preserve">Affordable shortfalls by </w:t>
      </w:r>
      <w:r w:rsidR="00B440F0">
        <w:t>delivery area</w:t>
      </w:r>
    </w:p>
    <w:tbl>
      <w:tblPr>
        <w:tblW w:w="8647" w:type="dxa"/>
        <w:tblInd w:w="817" w:type="dxa"/>
        <w:tblLook w:val="04A0" w:firstRow="1" w:lastRow="0" w:firstColumn="1" w:lastColumn="0" w:noHBand="0" w:noVBand="1"/>
      </w:tblPr>
      <w:tblGrid>
        <w:gridCol w:w="2126"/>
        <w:gridCol w:w="1276"/>
        <w:gridCol w:w="1276"/>
        <w:gridCol w:w="1417"/>
        <w:gridCol w:w="1276"/>
        <w:gridCol w:w="1276"/>
      </w:tblGrid>
      <w:tr w:rsidR="001E3FEF" w:rsidRPr="00950A90" w:rsidTr="001E3FEF">
        <w:trPr>
          <w:trHeight w:val="600"/>
        </w:trPr>
        <w:tc>
          <w:tcPr>
            <w:tcW w:w="2126"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rPr>
                <w:rFonts w:cs="Arial"/>
                <w:b/>
                <w:bCs/>
                <w:color w:val="FFFFFF"/>
                <w:sz w:val="22"/>
                <w:szCs w:val="22"/>
                <w:lang w:eastAsia="en-GB"/>
              </w:rPr>
            </w:pPr>
            <w:r>
              <w:rPr>
                <w:rFonts w:cs="Arial"/>
                <w:b/>
                <w:bCs/>
                <w:color w:val="FFFFFF"/>
                <w:sz w:val="22"/>
                <w:szCs w:val="22"/>
                <w:lang w:eastAsia="en-GB"/>
              </w:rPr>
              <w:t>Delivery area</w:t>
            </w:r>
          </w:p>
        </w:tc>
        <w:tc>
          <w:tcPr>
            <w:tcW w:w="1276" w:type="dxa"/>
            <w:tcBorders>
              <w:top w:val="single" w:sz="4" w:space="0" w:color="auto"/>
              <w:left w:val="nil"/>
              <w:bottom w:val="single" w:sz="4" w:space="0" w:color="auto"/>
              <w:right w:val="nil"/>
            </w:tcBorders>
            <w:shd w:val="clear" w:color="000000" w:fill="008080"/>
            <w:noWrap/>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General</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 </w:t>
            </w:r>
          </w:p>
        </w:tc>
        <w:tc>
          <w:tcPr>
            <w:tcW w:w="1417" w:type="dxa"/>
            <w:tcBorders>
              <w:top w:val="single" w:sz="4" w:space="0" w:color="auto"/>
              <w:left w:val="nil"/>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Older Person</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TOTAL</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Total HHs</w:t>
            </w:r>
          </w:p>
        </w:tc>
      </w:tr>
      <w:tr w:rsidR="001E3FEF" w:rsidRPr="00950A90" w:rsidTr="001E3FEF">
        <w:trPr>
          <w:trHeight w:val="300"/>
        </w:trPr>
        <w:tc>
          <w:tcPr>
            <w:tcW w:w="2126" w:type="dxa"/>
            <w:tcBorders>
              <w:top w:val="nil"/>
              <w:left w:val="single" w:sz="4" w:space="0" w:color="auto"/>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rPr>
                <w:rFonts w:cs="Arial"/>
                <w:b/>
                <w:bCs/>
                <w:color w:val="FFFFFF"/>
                <w:sz w:val="22"/>
                <w:szCs w:val="22"/>
                <w:lang w:eastAsia="en-GB"/>
              </w:rPr>
            </w:pPr>
            <w:r w:rsidRPr="00950A90">
              <w:rPr>
                <w:rFonts w:cs="Arial"/>
                <w:b/>
                <w:bCs/>
                <w:color w:val="FFFFFF"/>
                <w:sz w:val="22"/>
                <w:szCs w:val="22"/>
                <w:lang w:eastAsia="en-GB"/>
              </w:rPr>
              <w:t> </w:t>
            </w:r>
          </w:p>
        </w:tc>
        <w:tc>
          <w:tcPr>
            <w:tcW w:w="1276" w:type="dxa"/>
            <w:tcBorders>
              <w:top w:val="nil"/>
              <w:left w:val="nil"/>
              <w:bottom w:val="single" w:sz="4" w:space="0" w:color="auto"/>
              <w:right w:val="single" w:sz="4" w:space="0" w:color="auto"/>
            </w:tcBorders>
            <w:shd w:val="clear" w:color="000000" w:fill="008080"/>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Smaller 1/2 Bed</w:t>
            </w:r>
          </w:p>
        </w:tc>
        <w:tc>
          <w:tcPr>
            <w:tcW w:w="1276" w:type="dxa"/>
            <w:tcBorders>
              <w:top w:val="nil"/>
              <w:left w:val="nil"/>
              <w:bottom w:val="single" w:sz="4" w:space="0" w:color="auto"/>
              <w:right w:val="single" w:sz="4" w:space="0" w:color="auto"/>
            </w:tcBorders>
            <w:shd w:val="clear" w:color="000000" w:fill="008080"/>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3+Bed</w:t>
            </w:r>
          </w:p>
        </w:tc>
        <w:tc>
          <w:tcPr>
            <w:tcW w:w="1417" w:type="dxa"/>
            <w:tcBorders>
              <w:top w:val="nil"/>
              <w:left w:val="nil"/>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 </w:t>
            </w:r>
          </w:p>
        </w:tc>
        <w:tc>
          <w:tcPr>
            <w:tcW w:w="1276" w:type="dxa"/>
            <w:tcBorders>
              <w:top w:val="nil"/>
              <w:left w:val="nil"/>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jc w:val="center"/>
              <w:rPr>
                <w:rFonts w:cs="Arial"/>
                <w:b/>
                <w:bCs/>
                <w:color w:val="FFFFFF"/>
                <w:sz w:val="22"/>
                <w:szCs w:val="22"/>
                <w:lang w:eastAsia="en-GB"/>
              </w:rPr>
            </w:pPr>
            <w:r w:rsidRPr="00950A90">
              <w:rPr>
                <w:rFonts w:cs="Arial"/>
                <w:b/>
                <w:bCs/>
                <w:color w:val="FFFFFF"/>
                <w:sz w:val="22"/>
                <w:szCs w:val="22"/>
                <w:lang w:eastAsia="en-GB"/>
              </w:rPr>
              <w:t> </w:t>
            </w:r>
          </w:p>
        </w:tc>
        <w:tc>
          <w:tcPr>
            <w:tcW w:w="1276" w:type="dxa"/>
            <w:tcBorders>
              <w:top w:val="nil"/>
              <w:left w:val="nil"/>
              <w:bottom w:val="single" w:sz="4" w:space="0" w:color="auto"/>
              <w:right w:val="single" w:sz="4" w:space="0" w:color="auto"/>
            </w:tcBorders>
            <w:shd w:val="clear" w:color="000000" w:fill="008080"/>
            <w:noWrap/>
            <w:vAlign w:val="bottom"/>
            <w:hideMark/>
          </w:tcPr>
          <w:p w:rsidR="001E3FEF" w:rsidRPr="00950A90" w:rsidRDefault="001E3FEF" w:rsidP="00950A90">
            <w:pPr>
              <w:spacing w:before="0" w:after="0"/>
              <w:rPr>
                <w:rFonts w:cs="Arial"/>
                <w:color w:val="FFFFFF"/>
                <w:sz w:val="22"/>
                <w:szCs w:val="22"/>
                <w:lang w:eastAsia="en-GB"/>
              </w:rPr>
            </w:pPr>
            <w:r w:rsidRPr="00950A90">
              <w:rPr>
                <w:rFonts w:cs="Arial"/>
                <w:color w:val="FFFFFF"/>
                <w:sz w:val="22"/>
                <w:szCs w:val="22"/>
                <w:lang w:eastAsia="en-GB"/>
              </w:rPr>
              <w:t> </w:t>
            </w:r>
          </w:p>
        </w:tc>
      </w:tr>
      <w:tr w:rsidR="001E3FEF" w:rsidRPr="00950A90" w:rsidTr="001E3FEF">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1E3FEF" w:rsidRDefault="001E3FEF" w:rsidP="001E3FEF">
            <w:pPr>
              <w:spacing w:before="0" w:after="0"/>
              <w:rPr>
                <w:rFonts w:cs="Arial"/>
                <w:sz w:val="20"/>
                <w:szCs w:val="20"/>
              </w:rPr>
            </w:pPr>
            <w:r>
              <w:rPr>
                <w:rFonts w:cs="Arial"/>
                <w:sz w:val="20"/>
                <w:szCs w:val="20"/>
              </w:rPr>
              <w:t>North Durham</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29</w:t>
            </w:r>
          </w:p>
        </w:tc>
        <w:tc>
          <w:tcPr>
            <w:tcW w:w="1417"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68</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194</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sz w:val="20"/>
                <w:szCs w:val="20"/>
              </w:rPr>
            </w:pPr>
            <w:r>
              <w:rPr>
                <w:rFonts w:cs="Arial"/>
                <w:sz w:val="20"/>
                <w:szCs w:val="20"/>
              </w:rPr>
              <w:t>60151</w:t>
            </w:r>
          </w:p>
        </w:tc>
      </w:tr>
      <w:tr w:rsidR="001E3FEF" w:rsidRPr="00950A90" w:rsidTr="001E3FEF">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1E3FEF" w:rsidRDefault="001E3FEF" w:rsidP="001E3FEF">
            <w:pPr>
              <w:spacing w:before="0" w:after="0"/>
              <w:rPr>
                <w:rFonts w:cs="Arial"/>
                <w:sz w:val="20"/>
                <w:szCs w:val="20"/>
              </w:rPr>
            </w:pPr>
            <w:r>
              <w:rPr>
                <w:rFonts w:cs="Arial"/>
                <w:sz w:val="20"/>
                <w:szCs w:val="20"/>
              </w:rPr>
              <w:t>Central Durham</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46</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20</w:t>
            </w:r>
          </w:p>
        </w:tc>
        <w:tc>
          <w:tcPr>
            <w:tcW w:w="1417"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53</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119</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sz w:val="20"/>
                <w:szCs w:val="20"/>
              </w:rPr>
            </w:pPr>
            <w:r>
              <w:rPr>
                <w:rFonts w:cs="Arial"/>
                <w:sz w:val="20"/>
                <w:szCs w:val="20"/>
              </w:rPr>
              <w:t>42905</w:t>
            </w:r>
          </w:p>
        </w:tc>
      </w:tr>
      <w:tr w:rsidR="001E3FEF" w:rsidRPr="00950A90" w:rsidTr="001E3FEF">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1E3FEF" w:rsidRDefault="001E3FEF" w:rsidP="001E3FEF">
            <w:pPr>
              <w:spacing w:before="0" w:after="0"/>
              <w:rPr>
                <w:rFonts w:cs="Arial"/>
                <w:sz w:val="20"/>
                <w:szCs w:val="20"/>
              </w:rPr>
            </w:pPr>
            <w:r>
              <w:rPr>
                <w:rFonts w:cs="Arial"/>
                <w:sz w:val="20"/>
                <w:szCs w:val="20"/>
              </w:rPr>
              <w:t>East Durham</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61</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4</w:t>
            </w:r>
          </w:p>
        </w:tc>
        <w:tc>
          <w:tcPr>
            <w:tcW w:w="1417"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72</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137</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sz w:val="20"/>
                <w:szCs w:val="20"/>
              </w:rPr>
            </w:pPr>
            <w:r>
              <w:rPr>
                <w:rFonts w:cs="Arial"/>
                <w:sz w:val="20"/>
                <w:szCs w:val="20"/>
              </w:rPr>
              <w:t>41416</w:t>
            </w:r>
          </w:p>
        </w:tc>
      </w:tr>
      <w:tr w:rsidR="001E3FEF" w:rsidRPr="00950A90" w:rsidTr="001E3FEF">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1E3FEF" w:rsidRDefault="001E3FEF" w:rsidP="001E3FEF">
            <w:pPr>
              <w:spacing w:before="0" w:after="0"/>
              <w:rPr>
                <w:rFonts w:cs="Arial"/>
                <w:sz w:val="20"/>
                <w:szCs w:val="20"/>
              </w:rPr>
            </w:pPr>
            <w:r>
              <w:rPr>
                <w:rFonts w:cs="Arial"/>
                <w:sz w:val="20"/>
                <w:szCs w:val="20"/>
              </w:rPr>
              <w:t>The Dales and South Durham</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80</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16</w:t>
            </w:r>
          </w:p>
        </w:tc>
        <w:tc>
          <w:tcPr>
            <w:tcW w:w="1417"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129</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225</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color w:val="000000"/>
                <w:sz w:val="22"/>
                <w:szCs w:val="22"/>
              </w:rPr>
            </w:pPr>
            <w:r>
              <w:rPr>
                <w:rFonts w:cs="Arial"/>
                <w:color w:val="000000"/>
                <w:sz w:val="22"/>
                <w:szCs w:val="22"/>
              </w:rPr>
              <w:t>79331</w:t>
            </w:r>
          </w:p>
        </w:tc>
      </w:tr>
      <w:tr w:rsidR="001E3FEF" w:rsidRPr="00950A90" w:rsidTr="001E3FEF">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1E3FEF" w:rsidRDefault="001E3FEF" w:rsidP="001E3FEF">
            <w:pPr>
              <w:spacing w:before="0" w:after="0"/>
              <w:rPr>
                <w:rFonts w:cs="Arial"/>
                <w:b/>
                <w:bCs/>
                <w:sz w:val="20"/>
                <w:szCs w:val="20"/>
              </w:rPr>
            </w:pPr>
            <w:r>
              <w:rPr>
                <w:rFonts w:cs="Arial"/>
                <w:b/>
                <w:bCs/>
                <w:sz w:val="20"/>
                <w:szCs w:val="20"/>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b/>
                <w:bCs/>
                <w:color w:val="000000"/>
                <w:sz w:val="22"/>
                <w:szCs w:val="22"/>
              </w:rPr>
            </w:pPr>
            <w:r>
              <w:rPr>
                <w:rFonts w:cs="Arial"/>
                <w:b/>
                <w:bCs/>
                <w:color w:val="000000"/>
                <w:sz w:val="22"/>
                <w:szCs w:val="22"/>
              </w:rPr>
              <w:t>284</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b/>
                <w:bCs/>
                <w:color w:val="000000"/>
                <w:sz w:val="22"/>
                <w:szCs w:val="22"/>
              </w:rPr>
            </w:pPr>
            <w:r>
              <w:rPr>
                <w:rFonts w:cs="Arial"/>
                <w:b/>
                <w:bCs/>
                <w:color w:val="000000"/>
                <w:sz w:val="22"/>
                <w:szCs w:val="22"/>
              </w:rPr>
              <w:t>69</w:t>
            </w:r>
          </w:p>
        </w:tc>
        <w:tc>
          <w:tcPr>
            <w:tcW w:w="1417"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b/>
                <w:bCs/>
                <w:color w:val="000000"/>
                <w:sz w:val="22"/>
                <w:szCs w:val="22"/>
              </w:rPr>
            </w:pPr>
            <w:r>
              <w:rPr>
                <w:rFonts w:cs="Arial"/>
                <w:b/>
                <w:bCs/>
                <w:color w:val="000000"/>
                <w:sz w:val="22"/>
                <w:szCs w:val="22"/>
              </w:rPr>
              <w:t>321</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b/>
                <w:bCs/>
                <w:color w:val="000000"/>
                <w:sz w:val="22"/>
                <w:szCs w:val="22"/>
              </w:rPr>
            </w:pPr>
            <w:r>
              <w:rPr>
                <w:rFonts w:cs="Arial"/>
                <w:b/>
                <w:bCs/>
                <w:color w:val="000000"/>
                <w:sz w:val="22"/>
                <w:szCs w:val="22"/>
              </w:rPr>
              <w:t>674</w:t>
            </w:r>
          </w:p>
        </w:tc>
        <w:tc>
          <w:tcPr>
            <w:tcW w:w="1276" w:type="dxa"/>
            <w:tcBorders>
              <w:top w:val="nil"/>
              <w:left w:val="nil"/>
              <w:bottom w:val="single" w:sz="4" w:space="0" w:color="auto"/>
              <w:right w:val="single" w:sz="4" w:space="0" w:color="auto"/>
            </w:tcBorders>
            <w:shd w:val="clear" w:color="auto" w:fill="auto"/>
            <w:noWrap/>
            <w:vAlign w:val="bottom"/>
            <w:hideMark/>
          </w:tcPr>
          <w:p w:rsidR="001E3FEF" w:rsidRDefault="001E3FEF" w:rsidP="001E3FEF">
            <w:pPr>
              <w:spacing w:before="0" w:after="0"/>
              <w:jc w:val="center"/>
              <w:rPr>
                <w:rFonts w:cs="Arial"/>
                <w:b/>
                <w:bCs/>
                <w:color w:val="000000"/>
                <w:sz w:val="22"/>
                <w:szCs w:val="22"/>
              </w:rPr>
            </w:pPr>
            <w:r>
              <w:rPr>
                <w:rFonts w:cs="Arial"/>
                <w:b/>
                <w:bCs/>
                <w:color w:val="000000"/>
                <w:sz w:val="22"/>
                <w:szCs w:val="22"/>
              </w:rPr>
              <w:t>223803</w:t>
            </w:r>
          </w:p>
        </w:tc>
      </w:tr>
    </w:tbl>
    <w:p w:rsidR="000B0F10" w:rsidRDefault="000B0F10" w:rsidP="000B0F10">
      <w:pPr>
        <w:pStyle w:val="Maintext"/>
        <w:numPr>
          <w:ilvl w:val="0"/>
          <w:numId w:val="0"/>
        </w:numPr>
      </w:pPr>
    </w:p>
    <w:p w:rsidR="00EF0F3A" w:rsidRPr="00C66F41" w:rsidRDefault="00EF0F3A" w:rsidP="00C66F41">
      <w:pPr>
        <w:pStyle w:val="Maintext"/>
      </w:pPr>
      <w:r w:rsidRPr="004F6372">
        <w:t>T</w:t>
      </w:r>
      <w:r>
        <w:t xml:space="preserve">he method for calculating affordable requirements </w:t>
      </w:r>
      <w:r w:rsidRPr="004F6372">
        <w:t xml:space="preserve">is explored in full in Technical Appendix D. </w:t>
      </w:r>
    </w:p>
    <w:p w:rsidR="008F6597" w:rsidRDefault="008F6597" w:rsidP="00DA0513">
      <w:pPr>
        <w:pStyle w:val="Maintext"/>
        <w:numPr>
          <w:ilvl w:val="0"/>
          <w:numId w:val="0"/>
        </w:numPr>
        <w:rPr>
          <w:bCs/>
          <w:i/>
        </w:rPr>
      </w:pPr>
    </w:p>
    <w:p w:rsidR="00C52EF0" w:rsidRPr="009651D1" w:rsidRDefault="00C52EF0" w:rsidP="00C52EF0">
      <w:pPr>
        <w:pStyle w:val="Maintext"/>
        <w:numPr>
          <w:ilvl w:val="0"/>
          <w:numId w:val="0"/>
        </w:numPr>
        <w:ind w:left="709"/>
        <w:rPr>
          <w:b/>
          <w:bCs/>
        </w:rPr>
      </w:pPr>
      <w:r w:rsidRPr="009651D1">
        <w:rPr>
          <w:b/>
          <w:bCs/>
        </w:rPr>
        <w:t>Tenure split</w:t>
      </w:r>
    </w:p>
    <w:p w:rsidR="000E5A1E" w:rsidRPr="004243C6" w:rsidRDefault="00C52EF0" w:rsidP="000E5A1E">
      <w:pPr>
        <w:pStyle w:val="Maintext"/>
        <w:rPr>
          <w:bCs/>
        </w:rPr>
      </w:pPr>
      <w:r w:rsidRPr="004243C6">
        <w:rPr>
          <w:bCs/>
        </w:rPr>
        <w:t>I</w:t>
      </w:r>
      <w:r w:rsidR="000E5A1E" w:rsidRPr="004243C6">
        <w:rPr>
          <w:bCs/>
        </w:rPr>
        <w:t xml:space="preserve">n terms of the split between social rented and intermediate tenure products, the household survey identified tenure preferences </w:t>
      </w:r>
      <w:r w:rsidR="003C4479" w:rsidRPr="004243C6">
        <w:rPr>
          <w:bCs/>
        </w:rPr>
        <w:t xml:space="preserve">of </w:t>
      </w:r>
      <w:r w:rsidR="000E5A1E" w:rsidRPr="004243C6">
        <w:rPr>
          <w:bCs/>
        </w:rPr>
        <w:t>existing and newly-forming households and also the extent to which intermediate tenure products could be af</w:t>
      </w:r>
      <w:r w:rsidR="003C4479" w:rsidRPr="004243C6">
        <w:rPr>
          <w:bCs/>
        </w:rPr>
        <w:t>forded.</w:t>
      </w:r>
    </w:p>
    <w:p w:rsidR="003C4479" w:rsidRPr="004243C6" w:rsidRDefault="001E3095" w:rsidP="000E5A1E">
      <w:pPr>
        <w:pStyle w:val="Maintext"/>
        <w:rPr>
          <w:bCs/>
        </w:rPr>
      </w:pPr>
      <w:r>
        <w:rPr>
          <w:bCs/>
        </w:rPr>
        <w:t>Table 4.24</w:t>
      </w:r>
      <w:r w:rsidR="003C4479" w:rsidRPr="004243C6">
        <w:rPr>
          <w:bCs/>
        </w:rPr>
        <w:t xml:space="preserve"> indicates that existing households in need mainly considered social renting as a preferred tenure option but newly-forming households had a much stronger preference for intermediate tenure options. </w:t>
      </w:r>
    </w:p>
    <w:p w:rsidR="003C4479" w:rsidRDefault="003C4479" w:rsidP="003C4479">
      <w:pPr>
        <w:pStyle w:val="Maintext"/>
        <w:numPr>
          <w:ilvl w:val="0"/>
          <w:numId w:val="0"/>
        </w:numPr>
        <w:ind w:left="720"/>
        <w:rPr>
          <w:bCs/>
        </w:rPr>
      </w:pPr>
    </w:p>
    <w:p w:rsidR="003C4479" w:rsidRPr="004243C6" w:rsidRDefault="003C4479" w:rsidP="00A579C2">
      <w:pPr>
        <w:pStyle w:val="Maintext"/>
        <w:numPr>
          <w:ilvl w:val="0"/>
          <w:numId w:val="0"/>
        </w:numPr>
        <w:ind w:left="2160" w:hanging="1440"/>
        <w:rPr>
          <w:bCs/>
        </w:rPr>
      </w:pPr>
      <w:r w:rsidRPr="004243C6">
        <w:rPr>
          <w:b/>
          <w:bCs/>
        </w:rPr>
        <w:t>Table 4.</w:t>
      </w:r>
      <w:r w:rsidR="000B0F10">
        <w:rPr>
          <w:b/>
          <w:bCs/>
        </w:rPr>
        <w:t>2</w:t>
      </w:r>
      <w:r w:rsidR="001E3095">
        <w:rPr>
          <w:b/>
          <w:bCs/>
        </w:rPr>
        <w:t>4</w:t>
      </w:r>
      <w:r w:rsidRPr="004243C6">
        <w:rPr>
          <w:bCs/>
        </w:rPr>
        <w:tab/>
        <w:t>Tenure preferences of existing households in need and newly-forming households requiring affordable housing</w:t>
      </w:r>
    </w:p>
    <w:tbl>
      <w:tblPr>
        <w:tblW w:w="8140" w:type="dxa"/>
        <w:tblInd w:w="720" w:type="dxa"/>
        <w:tblLook w:val="04A0" w:firstRow="1" w:lastRow="0" w:firstColumn="1" w:lastColumn="0" w:noHBand="0" w:noVBand="1"/>
      </w:tblPr>
      <w:tblGrid>
        <w:gridCol w:w="2980"/>
        <w:gridCol w:w="2300"/>
        <w:gridCol w:w="1780"/>
        <w:gridCol w:w="1080"/>
      </w:tblGrid>
      <w:tr w:rsidR="000A0B2B" w:rsidRPr="000A0B2B" w:rsidTr="004243C6">
        <w:trPr>
          <w:trHeight w:val="747"/>
        </w:trPr>
        <w:tc>
          <w:tcPr>
            <w:tcW w:w="29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0A0B2B" w:rsidRPr="000A0B2B" w:rsidRDefault="000A0B2B" w:rsidP="000A0B2B">
            <w:pPr>
              <w:spacing w:before="0" w:after="0"/>
              <w:rPr>
                <w:rFonts w:cs="Arial"/>
                <w:b/>
                <w:bCs/>
                <w:color w:val="FFFFFF"/>
                <w:sz w:val="22"/>
                <w:szCs w:val="22"/>
                <w:lang w:eastAsia="en-GB"/>
              </w:rPr>
            </w:pPr>
            <w:r w:rsidRPr="000A0B2B">
              <w:rPr>
                <w:rFonts w:cs="Arial"/>
                <w:b/>
                <w:bCs/>
                <w:color w:val="FFFFFF"/>
                <w:sz w:val="22"/>
                <w:szCs w:val="22"/>
                <w:lang w:eastAsia="en-GB"/>
              </w:rPr>
              <w:t>Tenure</w:t>
            </w:r>
          </w:p>
        </w:tc>
        <w:tc>
          <w:tcPr>
            <w:tcW w:w="2300" w:type="dxa"/>
            <w:tcBorders>
              <w:top w:val="single" w:sz="4" w:space="0" w:color="auto"/>
              <w:left w:val="nil"/>
              <w:bottom w:val="single" w:sz="4" w:space="0" w:color="auto"/>
              <w:right w:val="single" w:sz="4" w:space="0" w:color="auto"/>
            </w:tcBorders>
            <w:shd w:val="clear" w:color="000000" w:fill="008080"/>
            <w:vAlign w:val="bottom"/>
            <w:hideMark/>
          </w:tcPr>
          <w:p w:rsidR="000A0B2B" w:rsidRPr="000A0B2B" w:rsidRDefault="000A0B2B" w:rsidP="000A0B2B">
            <w:pPr>
              <w:spacing w:before="0" w:after="0"/>
              <w:jc w:val="center"/>
              <w:rPr>
                <w:rFonts w:cs="Arial"/>
                <w:b/>
                <w:bCs/>
                <w:color w:val="FFFFFF"/>
                <w:sz w:val="22"/>
                <w:szCs w:val="22"/>
                <w:lang w:eastAsia="en-GB"/>
              </w:rPr>
            </w:pPr>
            <w:r w:rsidRPr="000A0B2B">
              <w:rPr>
                <w:rFonts w:cs="Arial"/>
                <w:b/>
                <w:bCs/>
                <w:color w:val="FFFFFF"/>
                <w:sz w:val="22"/>
                <w:szCs w:val="22"/>
                <w:lang w:eastAsia="en-GB"/>
              </w:rPr>
              <w:t>Existing households in need</w:t>
            </w:r>
          </w:p>
        </w:tc>
        <w:tc>
          <w:tcPr>
            <w:tcW w:w="1780" w:type="dxa"/>
            <w:tcBorders>
              <w:top w:val="single" w:sz="4" w:space="0" w:color="auto"/>
              <w:left w:val="nil"/>
              <w:bottom w:val="single" w:sz="4" w:space="0" w:color="auto"/>
              <w:right w:val="single" w:sz="4" w:space="0" w:color="auto"/>
            </w:tcBorders>
            <w:shd w:val="clear" w:color="000000" w:fill="008080"/>
            <w:vAlign w:val="bottom"/>
            <w:hideMark/>
          </w:tcPr>
          <w:p w:rsidR="000A0B2B" w:rsidRPr="000A0B2B" w:rsidRDefault="000A0B2B" w:rsidP="000A0B2B">
            <w:pPr>
              <w:spacing w:before="0" w:after="0"/>
              <w:jc w:val="center"/>
              <w:rPr>
                <w:rFonts w:cs="Arial"/>
                <w:b/>
                <w:bCs/>
                <w:color w:val="FFFFFF"/>
                <w:sz w:val="22"/>
                <w:szCs w:val="22"/>
                <w:lang w:eastAsia="en-GB"/>
              </w:rPr>
            </w:pPr>
            <w:r w:rsidRPr="000A0B2B">
              <w:rPr>
                <w:rFonts w:cs="Arial"/>
                <w:b/>
                <w:bCs/>
                <w:color w:val="FFFFFF"/>
                <w:sz w:val="22"/>
                <w:szCs w:val="22"/>
                <w:lang w:eastAsia="en-GB"/>
              </w:rPr>
              <w:t xml:space="preserve">Newly-forming households </w:t>
            </w:r>
          </w:p>
        </w:tc>
        <w:tc>
          <w:tcPr>
            <w:tcW w:w="1080" w:type="dxa"/>
            <w:tcBorders>
              <w:top w:val="single" w:sz="4" w:space="0" w:color="auto"/>
              <w:left w:val="nil"/>
              <w:bottom w:val="single" w:sz="4" w:space="0" w:color="auto"/>
              <w:right w:val="single" w:sz="4" w:space="0" w:color="auto"/>
            </w:tcBorders>
            <w:shd w:val="clear" w:color="000000" w:fill="008080"/>
            <w:vAlign w:val="bottom"/>
            <w:hideMark/>
          </w:tcPr>
          <w:p w:rsidR="000A0B2B" w:rsidRPr="000A0B2B" w:rsidRDefault="000A0B2B" w:rsidP="000A0B2B">
            <w:pPr>
              <w:spacing w:before="0" w:after="0"/>
              <w:jc w:val="center"/>
              <w:rPr>
                <w:rFonts w:cs="Arial"/>
                <w:b/>
                <w:bCs/>
                <w:color w:val="FFFFFF"/>
                <w:sz w:val="22"/>
                <w:szCs w:val="22"/>
                <w:lang w:eastAsia="en-GB"/>
              </w:rPr>
            </w:pPr>
            <w:r w:rsidRPr="000A0B2B">
              <w:rPr>
                <w:rFonts w:cs="Arial"/>
                <w:b/>
                <w:bCs/>
                <w:color w:val="FFFFFF"/>
                <w:sz w:val="22"/>
                <w:szCs w:val="22"/>
                <w:lang w:eastAsia="en-GB"/>
              </w:rPr>
              <w:t>Total</w:t>
            </w:r>
          </w:p>
        </w:tc>
      </w:tr>
      <w:tr w:rsidR="00B07D2A" w:rsidRPr="000A0B2B" w:rsidTr="004243C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07D2A" w:rsidRDefault="00B07D2A" w:rsidP="00B07D2A">
            <w:pPr>
              <w:spacing w:before="0" w:after="0"/>
              <w:rPr>
                <w:rFonts w:cs="Arial"/>
                <w:color w:val="000000"/>
                <w:sz w:val="22"/>
                <w:szCs w:val="22"/>
              </w:rPr>
            </w:pPr>
            <w:r>
              <w:rPr>
                <w:rFonts w:cs="Arial"/>
                <w:color w:val="000000"/>
                <w:sz w:val="22"/>
                <w:szCs w:val="22"/>
              </w:rPr>
              <w:t>Affordable (Social) Rent</w:t>
            </w:r>
          </w:p>
        </w:tc>
        <w:tc>
          <w:tcPr>
            <w:tcW w:w="230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82.6</w:t>
            </w:r>
          </w:p>
        </w:tc>
        <w:tc>
          <w:tcPr>
            <w:tcW w:w="17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72.2</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76.7</w:t>
            </w:r>
          </w:p>
        </w:tc>
      </w:tr>
      <w:tr w:rsidR="00B07D2A" w:rsidRPr="000A0B2B" w:rsidTr="004243C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07D2A" w:rsidRDefault="00B07D2A" w:rsidP="00B07D2A">
            <w:pPr>
              <w:spacing w:before="0" w:after="0"/>
              <w:rPr>
                <w:rFonts w:cs="Arial"/>
                <w:color w:val="000000"/>
                <w:sz w:val="22"/>
                <w:szCs w:val="22"/>
              </w:rPr>
            </w:pPr>
            <w:r>
              <w:rPr>
                <w:rFonts w:cs="Arial"/>
                <w:color w:val="000000"/>
                <w:sz w:val="22"/>
                <w:szCs w:val="22"/>
              </w:rPr>
              <w:t>Intermediate Tenure</w:t>
            </w:r>
          </w:p>
        </w:tc>
        <w:tc>
          <w:tcPr>
            <w:tcW w:w="230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17.4</w:t>
            </w:r>
          </w:p>
        </w:tc>
        <w:tc>
          <w:tcPr>
            <w:tcW w:w="17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27.8</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23.3</w:t>
            </w:r>
          </w:p>
        </w:tc>
      </w:tr>
      <w:tr w:rsidR="00B07D2A" w:rsidRPr="000A0B2B" w:rsidTr="004243C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07D2A" w:rsidRDefault="00B07D2A" w:rsidP="00B07D2A">
            <w:pPr>
              <w:spacing w:before="0" w:after="0"/>
              <w:rPr>
                <w:rFonts w:cs="Arial"/>
                <w:color w:val="000000"/>
                <w:sz w:val="22"/>
                <w:szCs w:val="22"/>
              </w:rPr>
            </w:pPr>
            <w:r>
              <w:rPr>
                <w:rFonts w:cs="Arial"/>
                <w:color w:val="000000"/>
                <w:sz w:val="22"/>
                <w:szCs w:val="22"/>
              </w:rPr>
              <w:t>Total</w:t>
            </w:r>
          </w:p>
        </w:tc>
        <w:tc>
          <w:tcPr>
            <w:tcW w:w="230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100.0</w:t>
            </w:r>
          </w:p>
        </w:tc>
        <w:tc>
          <w:tcPr>
            <w:tcW w:w="17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100.0</w:t>
            </w:r>
          </w:p>
        </w:tc>
      </w:tr>
      <w:tr w:rsidR="00B07D2A" w:rsidRPr="000A0B2B" w:rsidTr="004243C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B07D2A" w:rsidRDefault="00B07D2A" w:rsidP="00B07D2A">
            <w:pPr>
              <w:spacing w:before="0" w:after="0"/>
              <w:rPr>
                <w:rFonts w:cs="Arial"/>
                <w:color w:val="000000"/>
                <w:sz w:val="22"/>
                <w:szCs w:val="22"/>
              </w:rPr>
            </w:pPr>
            <w:r>
              <w:rPr>
                <w:rFonts w:cs="Arial"/>
                <w:color w:val="000000"/>
                <w:sz w:val="22"/>
                <w:szCs w:val="22"/>
              </w:rPr>
              <w:t>Base (annual requirement)</w:t>
            </w:r>
          </w:p>
        </w:tc>
        <w:tc>
          <w:tcPr>
            <w:tcW w:w="230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980</w:t>
            </w:r>
          </w:p>
        </w:tc>
        <w:tc>
          <w:tcPr>
            <w:tcW w:w="17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1274</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2254</w:t>
            </w:r>
          </w:p>
        </w:tc>
      </w:tr>
    </w:tbl>
    <w:p w:rsidR="000A0B2B" w:rsidRPr="004243C6" w:rsidRDefault="004243C6" w:rsidP="000A0B2B">
      <w:pPr>
        <w:pStyle w:val="Maintext"/>
        <w:numPr>
          <w:ilvl w:val="0"/>
          <w:numId w:val="0"/>
        </w:numPr>
        <w:ind w:left="709"/>
        <w:rPr>
          <w:bCs/>
          <w:sz w:val="20"/>
          <w:szCs w:val="20"/>
        </w:rPr>
      </w:pPr>
      <w:r w:rsidRPr="004243C6">
        <w:rPr>
          <w:bCs/>
          <w:sz w:val="20"/>
          <w:szCs w:val="20"/>
        </w:rPr>
        <w:t>Source: 2012 household survey</w:t>
      </w:r>
      <w:r w:rsidR="00B07D2A">
        <w:rPr>
          <w:bCs/>
          <w:sz w:val="20"/>
          <w:szCs w:val="20"/>
        </w:rPr>
        <w:t>, rebased to 2011 Census</w:t>
      </w:r>
    </w:p>
    <w:p w:rsidR="004243C6" w:rsidRPr="000A0B2B" w:rsidRDefault="004243C6" w:rsidP="000A0B2B">
      <w:pPr>
        <w:pStyle w:val="Maintext"/>
        <w:numPr>
          <w:ilvl w:val="0"/>
          <w:numId w:val="0"/>
        </w:numPr>
        <w:ind w:left="709"/>
        <w:rPr>
          <w:b/>
          <w:bCs/>
        </w:rPr>
      </w:pPr>
    </w:p>
    <w:p w:rsidR="00CE21C5" w:rsidRPr="004243C6" w:rsidRDefault="003C4479" w:rsidP="000A0B2B">
      <w:pPr>
        <w:pStyle w:val="Maintext"/>
        <w:rPr>
          <w:bCs/>
        </w:rPr>
      </w:pPr>
      <w:r w:rsidRPr="004243C6">
        <w:t>Overall, analysis wo</w:t>
      </w:r>
      <w:r w:rsidR="000A0B2B" w:rsidRPr="004243C6">
        <w:t xml:space="preserve">uld suggest a tenure split of </w:t>
      </w:r>
      <w:r w:rsidR="00B07D2A">
        <w:t>76.7</w:t>
      </w:r>
      <w:r w:rsidRPr="004243C6">
        <w:t>% aff</w:t>
      </w:r>
      <w:r w:rsidR="000A0B2B" w:rsidRPr="004243C6">
        <w:t xml:space="preserve">ordable rent and </w:t>
      </w:r>
      <w:r w:rsidR="00B07D2A">
        <w:t>23.3</w:t>
      </w:r>
      <w:r w:rsidRPr="004243C6">
        <w:t>% intermediate tenure based on household preferences</w:t>
      </w:r>
      <w:r w:rsidR="00DC1B92" w:rsidRPr="004243C6">
        <w:rPr>
          <w:bCs/>
        </w:rPr>
        <w:t xml:space="preserve">. </w:t>
      </w:r>
    </w:p>
    <w:p w:rsidR="000A0B2B" w:rsidRPr="00D407F3" w:rsidRDefault="000A0B2B" w:rsidP="000A0B2B">
      <w:pPr>
        <w:pStyle w:val="Maintext"/>
        <w:rPr>
          <w:bCs/>
        </w:rPr>
      </w:pPr>
      <w:r w:rsidRPr="00D407F3">
        <w:rPr>
          <w:bCs/>
        </w:rPr>
        <w:t xml:space="preserve">An analysis of the ability of existing households in need and newly-forming households to afford intermediate tenure </w:t>
      </w:r>
      <w:r w:rsidR="00561DB6" w:rsidRPr="00D407F3">
        <w:rPr>
          <w:bCs/>
        </w:rPr>
        <w:t>is summarised in Table 4</w:t>
      </w:r>
      <w:r w:rsidR="00D407F3">
        <w:rPr>
          <w:bCs/>
        </w:rPr>
        <w:t>.25</w:t>
      </w:r>
      <w:r w:rsidRPr="00D407F3">
        <w:rPr>
          <w:bCs/>
        </w:rPr>
        <w:t xml:space="preserve">. Analysis suggests that intermediate tenure options remain relatively affordable to households in need and newly-forming households, with </w:t>
      </w:r>
      <w:r w:rsidR="00D407F3" w:rsidRPr="00D407F3">
        <w:rPr>
          <w:bCs/>
        </w:rPr>
        <w:t>32.9</w:t>
      </w:r>
      <w:r w:rsidR="00B07D2A" w:rsidRPr="00D407F3">
        <w:rPr>
          <w:bCs/>
        </w:rPr>
        <w:t>% able to afford a property</w:t>
      </w:r>
      <w:r w:rsidR="00D407F3" w:rsidRPr="00D407F3">
        <w:rPr>
          <w:bCs/>
        </w:rPr>
        <w:t xml:space="preserve"> priced at between £80,000 and £100,000</w:t>
      </w:r>
    </w:p>
    <w:p w:rsidR="006B4CDE" w:rsidRPr="004243C6" w:rsidRDefault="006B4CDE" w:rsidP="00C52EF0">
      <w:pPr>
        <w:pStyle w:val="Maintext"/>
        <w:numPr>
          <w:ilvl w:val="0"/>
          <w:numId w:val="0"/>
        </w:numPr>
        <w:ind w:left="720"/>
      </w:pPr>
    </w:p>
    <w:p w:rsidR="000A0B2B" w:rsidRPr="004243C6" w:rsidRDefault="000A0B2B" w:rsidP="000A0B2B">
      <w:pPr>
        <w:pStyle w:val="Maintext"/>
        <w:numPr>
          <w:ilvl w:val="0"/>
          <w:numId w:val="0"/>
        </w:numPr>
        <w:ind w:left="2160" w:hanging="1440"/>
        <w:rPr>
          <w:bCs/>
        </w:rPr>
      </w:pPr>
      <w:r w:rsidRPr="004243C6">
        <w:rPr>
          <w:b/>
          <w:bCs/>
        </w:rPr>
        <w:t>Table 4.2</w:t>
      </w:r>
      <w:r w:rsidR="00D407F3">
        <w:rPr>
          <w:b/>
          <w:bCs/>
        </w:rPr>
        <w:t>5</w:t>
      </w:r>
      <w:r w:rsidRPr="004243C6">
        <w:rPr>
          <w:bCs/>
        </w:rPr>
        <w:tab/>
        <w:t>Ability of existing households in need and newly-forming households requiring affordable housing to afford intermediate tenure dwellings</w:t>
      </w:r>
    </w:p>
    <w:tbl>
      <w:tblPr>
        <w:tblW w:w="6858" w:type="dxa"/>
        <w:tblInd w:w="720" w:type="dxa"/>
        <w:tblLook w:val="04A0" w:firstRow="1" w:lastRow="0" w:firstColumn="1" w:lastColumn="0" w:noHBand="0" w:noVBand="1"/>
      </w:tblPr>
      <w:tblGrid>
        <w:gridCol w:w="2847"/>
        <w:gridCol w:w="1451"/>
        <w:gridCol w:w="1480"/>
        <w:gridCol w:w="1080"/>
      </w:tblGrid>
      <w:tr w:rsidR="000A0B2B" w:rsidRPr="000A0B2B" w:rsidTr="00AC12A7">
        <w:trPr>
          <w:trHeight w:val="300"/>
        </w:trPr>
        <w:tc>
          <w:tcPr>
            <w:tcW w:w="2847"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0A0B2B" w:rsidRPr="000A0B2B" w:rsidRDefault="000A0B2B" w:rsidP="000A0B2B">
            <w:pPr>
              <w:spacing w:before="0" w:after="0"/>
              <w:rPr>
                <w:rFonts w:cs="Arial"/>
                <w:b/>
                <w:bCs/>
                <w:color w:val="FFFFFF"/>
                <w:sz w:val="22"/>
                <w:szCs w:val="22"/>
                <w:lang w:eastAsia="en-GB"/>
              </w:rPr>
            </w:pPr>
            <w:r w:rsidRPr="000A0B2B">
              <w:rPr>
                <w:rFonts w:cs="Arial"/>
                <w:b/>
                <w:bCs/>
                <w:color w:val="FFFFFF"/>
                <w:sz w:val="22"/>
                <w:szCs w:val="22"/>
                <w:lang w:eastAsia="en-GB"/>
              </w:rPr>
              <w:t>Price</w:t>
            </w:r>
          </w:p>
        </w:tc>
        <w:tc>
          <w:tcPr>
            <w:tcW w:w="4011" w:type="dxa"/>
            <w:gridSpan w:val="3"/>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0A0B2B" w:rsidRPr="000A0B2B" w:rsidRDefault="000A0B2B" w:rsidP="000A0B2B">
            <w:pPr>
              <w:spacing w:before="0" w:after="0"/>
              <w:rPr>
                <w:rFonts w:cs="Arial"/>
                <w:b/>
                <w:bCs/>
                <w:color w:val="FFFFFF"/>
                <w:sz w:val="22"/>
                <w:szCs w:val="22"/>
                <w:lang w:eastAsia="en-GB"/>
              </w:rPr>
            </w:pPr>
            <w:r w:rsidRPr="000A0B2B">
              <w:rPr>
                <w:rFonts w:cs="Arial"/>
                <w:b/>
                <w:bCs/>
                <w:color w:val="FFFFFF"/>
                <w:sz w:val="22"/>
                <w:szCs w:val="22"/>
                <w:lang w:eastAsia="en-GB"/>
              </w:rPr>
              <w:t>% could affor</w:t>
            </w:r>
            <w:r>
              <w:rPr>
                <w:rFonts w:cs="Arial"/>
                <w:b/>
                <w:bCs/>
                <w:color w:val="FFFFFF"/>
                <w:sz w:val="22"/>
                <w:szCs w:val="22"/>
                <w:lang w:eastAsia="en-GB"/>
              </w:rPr>
              <w:t>d</w:t>
            </w:r>
            <w:r w:rsidRPr="000A0B2B">
              <w:rPr>
                <w:rFonts w:cs="Arial"/>
                <w:b/>
                <w:bCs/>
                <w:color w:val="FFFFFF"/>
                <w:sz w:val="22"/>
                <w:szCs w:val="22"/>
                <w:lang w:eastAsia="en-GB"/>
              </w:rPr>
              <w:t> </w:t>
            </w:r>
          </w:p>
        </w:tc>
      </w:tr>
      <w:tr w:rsidR="000A0B2B" w:rsidRPr="000A0B2B" w:rsidTr="004243C6">
        <w:trPr>
          <w:trHeight w:val="852"/>
        </w:trPr>
        <w:tc>
          <w:tcPr>
            <w:tcW w:w="2847" w:type="dxa"/>
            <w:tcBorders>
              <w:top w:val="nil"/>
              <w:left w:val="single" w:sz="4" w:space="0" w:color="auto"/>
              <w:bottom w:val="single" w:sz="4" w:space="0" w:color="auto"/>
              <w:right w:val="single" w:sz="4" w:space="0" w:color="auto"/>
            </w:tcBorders>
            <w:shd w:val="clear" w:color="000000" w:fill="008080"/>
            <w:vAlign w:val="bottom"/>
            <w:hideMark/>
          </w:tcPr>
          <w:p w:rsidR="000A0B2B" w:rsidRPr="000A0B2B" w:rsidRDefault="000A0B2B" w:rsidP="000A0B2B">
            <w:pPr>
              <w:spacing w:before="0" w:after="0"/>
              <w:jc w:val="center"/>
              <w:rPr>
                <w:rFonts w:cs="Arial"/>
                <w:b/>
                <w:bCs/>
                <w:color w:val="FFFFFF"/>
                <w:sz w:val="22"/>
                <w:szCs w:val="22"/>
                <w:lang w:eastAsia="en-GB"/>
              </w:rPr>
            </w:pPr>
            <w:r w:rsidRPr="000A0B2B">
              <w:rPr>
                <w:rFonts w:cs="Arial"/>
                <w:b/>
                <w:bCs/>
                <w:color w:val="FFFFFF"/>
                <w:sz w:val="22"/>
                <w:szCs w:val="22"/>
                <w:lang w:eastAsia="en-GB"/>
              </w:rPr>
              <w:t> </w:t>
            </w:r>
          </w:p>
        </w:tc>
        <w:tc>
          <w:tcPr>
            <w:tcW w:w="1451" w:type="dxa"/>
            <w:tcBorders>
              <w:top w:val="nil"/>
              <w:left w:val="nil"/>
              <w:bottom w:val="single" w:sz="4" w:space="0" w:color="auto"/>
              <w:right w:val="single" w:sz="4" w:space="0" w:color="auto"/>
            </w:tcBorders>
            <w:shd w:val="clear" w:color="000000" w:fill="008080"/>
            <w:vAlign w:val="bottom"/>
            <w:hideMark/>
          </w:tcPr>
          <w:p w:rsidR="000A0B2B" w:rsidRPr="000A0B2B" w:rsidRDefault="000A0B2B" w:rsidP="000A0B2B">
            <w:pPr>
              <w:spacing w:before="0" w:after="0"/>
              <w:jc w:val="center"/>
              <w:rPr>
                <w:rFonts w:cs="Arial"/>
                <w:b/>
                <w:bCs/>
                <w:color w:val="FFFFFF"/>
                <w:sz w:val="22"/>
                <w:szCs w:val="22"/>
                <w:lang w:eastAsia="en-GB"/>
              </w:rPr>
            </w:pPr>
            <w:r w:rsidRPr="000A0B2B">
              <w:rPr>
                <w:rFonts w:cs="Arial"/>
                <w:b/>
                <w:bCs/>
                <w:color w:val="FFFFFF"/>
                <w:sz w:val="22"/>
                <w:szCs w:val="22"/>
                <w:lang w:eastAsia="en-GB"/>
              </w:rPr>
              <w:t>Existing households in need</w:t>
            </w:r>
          </w:p>
        </w:tc>
        <w:tc>
          <w:tcPr>
            <w:tcW w:w="1480" w:type="dxa"/>
            <w:tcBorders>
              <w:top w:val="nil"/>
              <w:left w:val="nil"/>
              <w:bottom w:val="single" w:sz="4" w:space="0" w:color="auto"/>
              <w:right w:val="single" w:sz="4" w:space="0" w:color="auto"/>
            </w:tcBorders>
            <w:shd w:val="clear" w:color="000000" w:fill="008080"/>
            <w:vAlign w:val="bottom"/>
            <w:hideMark/>
          </w:tcPr>
          <w:p w:rsidR="000A0B2B" w:rsidRPr="000A0B2B" w:rsidRDefault="000A0B2B" w:rsidP="000A0B2B">
            <w:pPr>
              <w:spacing w:before="0" w:after="0"/>
              <w:jc w:val="center"/>
              <w:rPr>
                <w:rFonts w:cs="Arial"/>
                <w:b/>
                <w:bCs/>
                <w:color w:val="FFFFFF"/>
                <w:sz w:val="22"/>
                <w:szCs w:val="22"/>
                <w:lang w:eastAsia="en-GB"/>
              </w:rPr>
            </w:pPr>
            <w:r w:rsidRPr="000A0B2B">
              <w:rPr>
                <w:rFonts w:cs="Arial"/>
                <w:b/>
                <w:bCs/>
                <w:color w:val="FFFFFF"/>
                <w:sz w:val="22"/>
                <w:szCs w:val="22"/>
                <w:lang w:eastAsia="en-GB"/>
              </w:rPr>
              <w:t xml:space="preserve">Newly-forming households </w:t>
            </w:r>
          </w:p>
        </w:tc>
        <w:tc>
          <w:tcPr>
            <w:tcW w:w="1080" w:type="dxa"/>
            <w:tcBorders>
              <w:top w:val="nil"/>
              <w:left w:val="nil"/>
              <w:bottom w:val="single" w:sz="4" w:space="0" w:color="auto"/>
              <w:right w:val="single" w:sz="4" w:space="0" w:color="auto"/>
            </w:tcBorders>
            <w:shd w:val="clear" w:color="000000" w:fill="008080"/>
            <w:vAlign w:val="bottom"/>
            <w:hideMark/>
          </w:tcPr>
          <w:p w:rsidR="000A0B2B" w:rsidRPr="000A0B2B" w:rsidRDefault="000A0B2B" w:rsidP="000A0B2B">
            <w:pPr>
              <w:spacing w:before="0" w:after="0"/>
              <w:jc w:val="center"/>
              <w:rPr>
                <w:rFonts w:cs="Arial"/>
                <w:b/>
                <w:bCs/>
                <w:color w:val="FFFFFF"/>
                <w:sz w:val="22"/>
                <w:szCs w:val="22"/>
                <w:lang w:eastAsia="en-GB"/>
              </w:rPr>
            </w:pPr>
            <w:r w:rsidRPr="000A0B2B">
              <w:rPr>
                <w:rFonts w:cs="Arial"/>
                <w:b/>
                <w:bCs/>
                <w:color w:val="FFFFFF"/>
                <w:sz w:val="22"/>
                <w:szCs w:val="22"/>
                <w:lang w:eastAsia="en-GB"/>
              </w:rPr>
              <w:t>Total</w:t>
            </w:r>
          </w:p>
        </w:tc>
      </w:tr>
      <w:tr w:rsidR="00B07D2A" w:rsidRPr="000A0B2B" w:rsidTr="000A0B2B">
        <w:trPr>
          <w:trHeight w:val="285"/>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B07D2A" w:rsidRPr="000A0B2B" w:rsidRDefault="00B07D2A" w:rsidP="000A0B2B">
            <w:pPr>
              <w:spacing w:before="0" w:after="0"/>
              <w:rPr>
                <w:rFonts w:cs="Arial"/>
                <w:color w:val="000000"/>
                <w:sz w:val="22"/>
                <w:szCs w:val="22"/>
                <w:lang w:eastAsia="en-GB"/>
              </w:rPr>
            </w:pPr>
            <w:r w:rsidRPr="000A0B2B">
              <w:rPr>
                <w:rFonts w:cs="Arial"/>
                <w:color w:val="000000"/>
                <w:sz w:val="22"/>
                <w:szCs w:val="22"/>
                <w:lang w:eastAsia="en-GB"/>
              </w:rPr>
              <w:t xml:space="preserve">£80,000 </w:t>
            </w:r>
            <w:r>
              <w:rPr>
                <w:rFonts w:cs="Arial"/>
                <w:color w:val="000000"/>
                <w:sz w:val="22"/>
                <w:szCs w:val="22"/>
                <w:lang w:eastAsia="en-GB"/>
              </w:rPr>
              <w:t>up to £100,000</w:t>
            </w:r>
          </w:p>
        </w:tc>
        <w:tc>
          <w:tcPr>
            <w:tcW w:w="1451"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37.8</w:t>
            </w:r>
          </w:p>
        </w:tc>
        <w:tc>
          <w:tcPr>
            <w:tcW w:w="14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29.1</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32.9</w:t>
            </w:r>
          </w:p>
        </w:tc>
      </w:tr>
      <w:tr w:rsidR="00B07D2A" w:rsidRPr="000A0B2B" w:rsidTr="000A0B2B">
        <w:trPr>
          <w:trHeight w:val="285"/>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B07D2A" w:rsidRPr="000A0B2B" w:rsidRDefault="00B07D2A" w:rsidP="000A0B2B">
            <w:pPr>
              <w:spacing w:before="0" w:after="0"/>
              <w:rPr>
                <w:rFonts w:cs="Arial"/>
                <w:color w:val="000000"/>
                <w:sz w:val="22"/>
                <w:szCs w:val="22"/>
                <w:lang w:eastAsia="en-GB"/>
              </w:rPr>
            </w:pPr>
            <w:r>
              <w:rPr>
                <w:rFonts w:cs="Arial"/>
                <w:color w:val="000000"/>
                <w:sz w:val="22"/>
                <w:szCs w:val="22"/>
                <w:lang w:eastAsia="en-GB"/>
              </w:rPr>
              <w:t>£100,000 up to £120,000</w:t>
            </w:r>
          </w:p>
        </w:tc>
        <w:tc>
          <w:tcPr>
            <w:tcW w:w="1451"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33.7</w:t>
            </w:r>
          </w:p>
        </w:tc>
        <w:tc>
          <w:tcPr>
            <w:tcW w:w="14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24.0</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28.2</w:t>
            </w:r>
          </w:p>
        </w:tc>
      </w:tr>
      <w:tr w:rsidR="00B07D2A" w:rsidRPr="000A0B2B" w:rsidTr="000A0B2B">
        <w:trPr>
          <w:trHeight w:val="285"/>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B07D2A" w:rsidRPr="000A0B2B" w:rsidRDefault="00B07D2A" w:rsidP="000A0B2B">
            <w:pPr>
              <w:spacing w:before="0" w:after="0"/>
              <w:rPr>
                <w:rFonts w:cs="Arial"/>
                <w:color w:val="000000"/>
                <w:sz w:val="22"/>
                <w:szCs w:val="22"/>
                <w:lang w:eastAsia="en-GB"/>
              </w:rPr>
            </w:pPr>
            <w:r w:rsidRPr="000A0B2B">
              <w:rPr>
                <w:rFonts w:cs="Arial"/>
                <w:color w:val="000000"/>
                <w:sz w:val="22"/>
                <w:szCs w:val="22"/>
                <w:lang w:eastAsia="en-GB"/>
              </w:rPr>
              <w:t xml:space="preserve">£120,000 </w:t>
            </w:r>
            <w:r>
              <w:rPr>
                <w:rFonts w:cs="Arial"/>
                <w:color w:val="000000"/>
                <w:sz w:val="22"/>
                <w:szCs w:val="22"/>
                <w:lang w:eastAsia="en-GB"/>
              </w:rPr>
              <w:t>up to £150,000</w:t>
            </w:r>
          </w:p>
        </w:tc>
        <w:tc>
          <w:tcPr>
            <w:tcW w:w="1451"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27.7</w:t>
            </w:r>
          </w:p>
        </w:tc>
        <w:tc>
          <w:tcPr>
            <w:tcW w:w="14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16.8</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sz w:val="20"/>
                <w:szCs w:val="20"/>
              </w:rPr>
            </w:pPr>
            <w:r>
              <w:rPr>
                <w:rFonts w:cs="Arial"/>
                <w:sz w:val="20"/>
                <w:szCs w:val="20"/>
              </w:rPr>
              <w:t>21.6</w:t>
            </w:r>
          </w:p>
        </w:tc>
      </w:tr>
      <w:tr w:rsidR="00B07D2A" w:rsidRPr="000A0B2B" w:rsidTr="000A0B2B">
        <w:trPr>
          <w:trHeight w:val="285"/>
        </w:trPr>
        <w:tc>
          <w:tcPr>
            <w:tcW w:w="2847" w:type="dxa"/>
            <w:tcBorders>
              <w:top w:val="nil"/>
              <w:left w:val="single" w:sz="4" w:space="0" w:color="auto"/>
              <w:bottom w:val="single" w:sz="4" w:space="0" w:color="auto"/>
              <w:right w:val="single" w:sz="4" w:space="0" w:color="auto"/>
            </w:tcBorders>
            <w:shd w:val="clear" w:color="auto" w:fill="auto"/>
            <w:noWrap/>
            <w:vAlign w:val="bottom"/>
            <w:hideMark/>
          </w:tcPr>
          <w:p w:rsidR="00B07D2A" w:rsidRPr="000A0B2B" w:rsidRDefault="00B07D2A" w:rsidP="000A0B2B">
            <w:pPr>
              <w:spacing w:before="0" w:after="0"/>
              <w:rPr>
                <w:rFonts w:cs="Arial"/>
                <w:color w:val="000000"/>
                <w:sz w:val="22"/>
                <w:szCs w:val="22"/>
                <w:lang w:eastAsia="en-GB"/>
              </w:rPr>
            </w:pPr>
            <w:r w:rsidRPr="000A0B2B">
              <w:rPr>
                <w:rFonts w:cs="Arial"/>
                <w:color w:val="000000"/>
                <w:sz w:val="22"/>
                <w:szCs w:val="22"/>
                <w:lang w:eastAsia="en-GB"/>
              </w:rPr>
              <w:t>Base</w:t>
            </w:r>
          </w:p>
        </w:tc>
        <w:tc>
          <w:tcPr>
            <w:tcW w:w="1451"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980</w:t>
            </w:r>
          </w:p>
        </w:tc>
        <w:tc>
          <w:tcPr>
            <w:tcW w:w="14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1274</w:t>
            </w:r>
          </w:p>
        </w:tc>
        <w:tc>
          <w:tcPr>
            <w:tcW w:w="1080" w:type="dxa"/>
            <w:tcBorders>
              <w:top w:val="nil"/>
              <w:left w:val="nil"/>
              <w:bottom w:val="single" w:sz="4" w:space="0" w:color="auto"/>
              <w:right w:val="single" w:sz="4" w:space="0" w:color="auto"/>
            </w:tcBorders>
            <w:shd w:val="clear" w:color="auto" w:fill="auto"/>
            <w:noWrap/>
            <w:vAlign w:val="bottom"/>
            <w:hideMark/>
          </w:tcPr>
          <w:p w:rsidR="00B07D2A" w:rsidRDefault="00B07D2A" w:rsidP="00B07D2A">
            <w:pPr>
              <w:spacing w:before="0" w:after="0"/>
              <w:jc w:val="center"/>
              <w:rPr>
                <w:rFonts w:cs="Arial"/>
                <w:color w:val="000000"/>
                <w:sz w:val="22"/>
                <w:szCs w:val="22"/>
              </w:rPr>
            </w:pPr>
            <w:r>
              <w:rPr>
                <w:rFonts w:cs="Arial"/>
                <w:color w:val="000000"/>
                <w:sz w:val="22"/>
                <w:szCs w:val="22"/>
              </w:rPr>
              <w:t>2254</w:t>
            </w:r>
          </w:p>
        </w:tc>
      </w:tr>
    </w:tbl>
    <w:p w:rsidR="004243C6" w:rsidRPr="004243C6" w:rsidRDefault="004243C6" w:rsidP="004243C6">
      <w:pPr>
        <w:pStyle w:val="Maintext"/>
        <w:numPr>
          <w:ilvl w:val="0"/>
          <w:numId w:val="0"/>
        </w:numPr>
        <w:ind w:left="709"/>
        <w:rPr>
          <w:bCs/>
          <w:sz w:val="20"/>
          <w:szCs w:val="20"/>
        </w:rPr>
      </w:pPr>
      <w:r w:rsidRPr="004243C6">
        <w:rPr>
          <w:bCs/>
          <w:sz w:val="20"/>
          <w:szCs w:val="20"/>
        </w:rPr>
        <w:t>Source: 2012 household survey</w:t>
      </w:r>
      <w:r w:rsidR="00B07D2A">
        <w:rPr>
          <w:bCs/>
          <w:sz w:val="20"/>
          <w:szCs w:val="20"/>
        </w:rPr>
        <w:t>, rebased to 2011 Census</w:t>
      </w:r>
    </w:p>
    <w:p w:rsidR="000A0B2B" w:rsidRPr="009651D1" w:rsidRDefault="000A0B2B" w:rsidP="006C2CDD">
      <w:pPr>
        <w:pStyle w:val="Maintext"/>
        <w:numPr>
          <w:ilvl w:val="0"/>
          <w:numId w:val="0"/>
        </w:numPr>
        <w:rPr>
          <w:b/>
        </w:rPr>
      </w:pPr>
    </w:p>
    <w:p w:rsidR="00C52EF0" w:rsidRPr="009651D1" w:rsidRDefault="00C52EF0" w:rsidP="00C52EF0">
      <w:pPr>
        <w:pStyle w:val="Maintext"/>
        <w:numPr>
          <w:ilvl w:val="0"/>
          <w:numId w:val="0"/>
        </w:numPr>
        <w:ind w:left="720"/>
        <w:rPr>
          <w:b/>
        </w:rPr>
      </w:pPr>
      <w:r w:rsidRPr="009651D1">
        <w:rPr>
          <w:b/>
        </w:rPr>
        <w:t>Property type preferences</w:t>
      </w:r>
    </w:p>
    <w:p w:rsidR="00C52EF0" w:rsidRPr="00010F68" w:rsidRDefault="00C52EF0" w:rsidP="00C52EF0">
      <w:pPr>
        <w:pStyle w:val="Maintext"/>
      </w:pPr>
      <w:r w:rsidRPr="00010F68">
        <w:t>Analysis of prope</w:t>
      </w:r>
      <w:r w:rsidR="00CE21C5" w:rsidRPr="00010F68">
        <w:t>rty typ</w:t>
      </w:r>
      <w:r w:rsidR="00D407F3">
        <w:t>e preferences (Table 4.26</w:t>
      </w:r>
      <w:r w:rsidRPr="00010F68">
        <w:t xml:space="preserve">) suggests that, primarily, delivery </w:t>
      </w:r>
      <w:r w:rsidR="00625C45" w:rsidRPr="00010F68">
        <w:t>of</w:t>
      </w:r>
      <w:r w:rsidR="000C004C">
        <w:t xml:space="preserve"> houses is a priority, </w:t>
      </w:r>
      <w:r w:rsidR="006C2CDD">
        <w:t>with 62</w:t>
      </w:r>
      <w:r w:rsidR="00010F68" w:rsidRPr="00010F68">
        <w:t>.8</w:t>
      </w:r>
      <w:r w:rsidRPr="00010F68">
        <w:t>% stating an e</w:t>
      </w:r>
      <w:r w:rsidR="000C004C">
        <w:t>xpectation of moving to a house</w:t>
      </w:r>
      <w:r w:rsidRPr="00010F68">
        <w:t xml:space="preserve">, followed by </w:t>
      </w:r>
      <w:r w:rsidR="00010F68" w:rsidRPr="00010F68">
        <w:t>bungalows (</w:t>
      </w:r>
      <w:r w:rsidR="006C2CDD">
        <w:t>27.2</w:t>
      </w:r>
      <w:r w:rsidR="00010F68" w:rsidRPr="00010F68">
        <w:t xml:space="preserve">%) and </w:t>
      </w:r>
      <w:r w:rsidRPr="00010F68">
        <w:t>flats (</w:t>
      </w:r>
      <w:r w:rsidR="006C2CDD">
        <w:t>10.0</w:t>
      </w:r>
      <w:r w:rsidR="00010F68" w:rsidRPr="00010F68">
        <w:t>%)</w:t>
      </w:r>
      <w:r w:rsidRPr="00010F68">
        <w:t xml:space="preserve">. </w:t>
      </w:r>
    </w:p>
    <w:p w:rsidR="00C52EF0" w:rsidRDefault="00C52EF0" w:rsidP="00C52EF0">
      <w:pPr>
        <w:pStyle w:val="Maintext"/>
        <w:numPr>
          <w:ilvl w:val="0"/>
          <w:numId w:val="0"/>
        </w:numPr>
        <w:rPr>
          <w:b/>
        </w:rPr>
      </w:pPr>
    </w:p>
    <w:p w:rsidR="00C52EF0" w:rsidRDefault="00C52EF0" w:rsidP="00C66F41">
      <w:pPr>
        <w:spacing w:before="0" w:after="0"/>
        <w:ind w:firstLine="709"/>
        <w:rPr>
          <w:b/>
        </w:rPr>
      </w:pPr>
      <w:r w:rsidRPr="009651D1">
        <w:rPr>
          <w:b/>
        </w:rPr>
        <w:t>Table 4.</w:t>
      </w:r>
      <w:r w:rsidR="00DC1B92" w:rsidRPr="009651D1">
        <w:rPr>
          <w:b/>
        </w:rPr>
        <w:t>2</w:t>
      </w:r>
      <w:r w:rsidR="00D407F3">
        <w:rPr>
          <w:b/>
        </w:rPr>
        <w:t>6</w:t>
      </w:r>
      <w:r w:rsidRPr="009651D1">
        <w:rPr>
          <w:b/>
        </w:rPr>
        <w:tab/>
      </w:r>
      <w:r w:rsidRPr="00010F68">
        <w:t>Property type preferences</w:t>
      </w:r>
    </w:p>
    <w:tbl>
      <w:tblPr>
        <w:tblW w:w="7185" w:type="dxa"/>
        <w:tblInd w:w="720" w:type="dxa"/>
        <w:tblLook w:val="04A0" w:firstRow="1" w:lastRow="0" w:firstColumn="1" w:lastColumn="0" w:noHBand="0" w:noVBand="1"/>
      </w:tblPr>
      <w:tblGrid>
        <w:gridCol w:w="2980"/>
        <w:gridCol w:w="1280"/>
        <w:gridCol w:w="1420"/>
        <w:gridCol w:w="1505"/>
      </w:tblGrid>
      <w:tr w:rsidR="00142352" w:rsidRPr="00142352" w:rsidTr="006C2CDD">
        <w:trPr>
          <w:trHeight w:val="915"/>
        </w:trPr>
        <w:tc>
          <w:tcPr>
            <w:tcW w:w="29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142352" w:rsidRPr="00142352" w:rsidRDefault="00142352" w:rsidP="00142352">
            <w:pPr>
              <w:spacing w:before="0" w:after="0"/>
              <w:rPr>
                <w:rFonts w:cs="Arial"/>
                <w:b/>
                <w:bCs/>
                <w:color w:val="FFFFFF"/>
                <w:sz w:val="22"/>
                <w:szCs w:val="22"/>
                <w:lang w:eastAsia="en-GB"/>
              </w:rPr>
            </w:pPr>
            <w:r w:rsidRPr="00142352">
              <w:rPr>
                <w:rFonts w:cs="Arial"/>
                <w:b/>
                <w:bCs/>
                <w:color w:val="FFFFFF"/>
                <w:sz w:val="22"/>
                <w:szCs w:val="22"/>
                <w:lang w:eastAsia="en-GB"/>
              </w:rPr>
              <w:t>Type preferences</w:t>
            </w:r>
          </w:p>
        </w:tc>
        <w:tc>
          <w:tcPr>
            <w:tcW w:w="1280" w:type="dxa"/>
            <w:tcBorders>
              <w:top w:val="single" w:sz="4" w:space="0" w:color="auto"/>
              <w:left w:val="nil"/>
              <w:bottom w:val="single" w:sz="4" w:space="0" w:color="auto"/>
              <w:right w:val="single" w:sz="4" w:space="0" w:color="auto"/>
            </w:tcBorders>
            <w:shd w:val="clear" w:color="000000" w:fill="008080"/>
            <w:vAlign w:val="bottom"/>
            <w:hideMark/>
          </w:tcPr>
          <w:p w:rsidR="00142352" w:rsidRPr="00142352" w:rsidRDefault="00142352" w:rsidP="00142352">
            <w:pPr>
              <w:spacing w:before="0" w:after="0"/>
              <w:jc w:val="center"/>
              <w:rPr>
                <w:rFonts w:cs="Arial"/>
                <w:b/>
                <w:bCs/>
                <w:color w:val="FFFFFF"/>
                <w:sz w:val="22"/>
                <w:szCs w:val="22"/>
                <w:lang w:eastAsia="en-GB"/>
              </w:rPr>
            </w:pPr>
            <w:r w:rsidRPr="00142352">
              <w:rPr>
                <w:rFonts w:cs="Arial"/>
                <w:b/>
                <w:bCs/>
                <w:color w:val="FFFFFF"/>
                <w:sz w:val="22"/>
                <w:szCs w:val="22"/>
                <w:lang w:eastAsia="en-GB"/>
              </w:rPr>
              <w:t>Existing (%)</w:t>
            </w:r>
          </w:p>
        </w:tc>
        <w:tc>
          <w:tcPr>
            <w:tcW w:w="1420" w:type="dxa"/>
            <w:tcBorders>
              <w:top w:val="single" w:sz="4" w:space="0" w:color="auto"/>
              <w:left w:val="nil"/>
              <w:bottom w:val="single" w:sz="4" w:space="0" w:color="auto"/>
              <w:right w:val="single" w:sz="4" w:space="0" w:color="auto"/>
            </w:tcBorders>
            <w:shd w:val="clear" w:color="000000" w:fill="008080"/>
            <w:vAlign w:val="bottom"/>
            <w:hideMark/>
          </w:tcPr>
          <w:p w:rsidR="00142352" w:rsidRPr="00142352" w:rsidRDefault="00142352" w:rsidP="00142352">
            <w:pPr>
              <w:spacing w:before="0" w:after="0"/>
              <w:jc w:val="center"/>
              <w:rPr>
                <w:rFonts w:cs="Arial"/>
                <w:b/>
                <w:bCs/>
                <w:color w:val="FFFFFF"/>
                <w:sz w:val="22"/>
                <w:szCs w:val="22"/>
                <w:lang w:eastAsia="en-GB"/>
              </w:rPr>
            </w:pPr>
            <w:r w:rsidRPr="00142352">
              <w:rPr>
                <w:rFonts w:cs="Arial"/>
                <w:b/>
                <w:bCs/>
                <w:color w:val="FFFFFF"/>
                <w:sz w:val="22"/>
                <w:szCs w:val="22"/>
                <w:lang w:eastAsia="en-GB"/>
              </w:rPr>
              <w:t>Newly-forming (%)</w:t>
            </w:r>
          </w:p>
        </w:tc>
        <w:tc>
          <w:tcPr>
            <w:tcW w:w="1505" w:type="dxa"/>
            <w:tcBorders>
              <w:top w:val="single" w:sz="4" w:space="0" w:color="auto"/>
              <w:left w:val="nil"/>
              <w:bottom w:val="single" w:sz="4" w:space="0" w:color="auto"/>
              <w:right w:val="single" w:sz="4" w:space="0" w:color="auto"/>
            </w:tcBorders>
            <w:shd w:val="clear" w:color="000000" w:fill="008080"/>
            <w:vAlign w:val="bottom"/>
            <w:hideMark/>
          </w:tcPr>
          <w:p w:rsidR="00142352" w:rsidRPr="00142352" w:rsidRDefault="00142352" w:rsidP="00142352">
            <w:pPr>
              <w:spacing w:before="0" w:after="0"/>
              <w:jc w:val="center"/>
              <w:rPr>
                <w:rFonts w:cs="Arial"/>
                <w:b/>
                <w:bCs/>
                <w:color w:val="FFFFFF"/>
                <w:sz w:val="22"/>
                <w:szCs w:val="22"/>
                <w:lang w:eastAsia="en-GB"/>
              </w:rPr>
            </w:pPr>
            <w:r w:rsidRPr="00142352">
              <w:rPr>
                <w:rFonts w:cs="Arial"/>
                <w:b/>
                <w:bCs/>
                <w:color w:val="FFFFFF"/>
                <w:sz w:val="22"/>
                <w:szCs w:val="22"/>
                <w:lang w:eastAsia="en-GB"/>
              </w:rPr>
              <w:t>Total (%)</w:t>
            </w:r>
          </w:p>
        </w:tc>
      </w:tr>
      <w:tr w:rsidR="006C2CDD" w:rsidRPr="00142352" w:rsidTr="006C2CDD">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6C2CDD" w:rsidRPr="00142352" w:rsidRDefault="006C2CDD" w:rsidP="00142352">
            <w:pPr>
              <w:spacing w:before="0" w:after="0"/>
              <w:rPr>
                <w:rFonts w:cs="Arial"/>
                <w:color w:val="000000"/>
                <w:sz w:val="22"/>
                <w:szCs w:val="22"/>
                <w:lang w:eastAsia="en-GB"/>
              </w:rPr>
            </w:pPr>
            <w:r w:rsidRPr="00142352">
              <w:rPr>
                <w:rFonts w:cs="Arial"/>
                <w:color w:val="000000"/>
                <w:sz w:val="22"/>
                <w:szCs w:val="22"/>
                <w:lang w:eastAsia="en-GB"/>
              </w:rPr>
              <w:t>Detached</w:t>
            </w:r>
          </w:p>
        </w:tc>
        <w:tc>
          <w:tcPr>
            <w:tcW w:w="128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15.0</w:t>
            </w:r>
          </w:p>
        </w:tc>
        <w:tc>
          <w:tcPr>
            <w:tcW w:w="142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sz w:val="20"/>
                <w:szCs w:val="20"/>
              </w:rPr>
            </w:pPr>
            <w:r>
              <w:rPr>
                <w:rFonts w:cs="Arial"/>
                <w:sz w:val="20"/>
                <w:szCs w:val="20"/>
              </w:rPr>
              <w:t>6.8</w:t>
            </w:r>
          </w:p>
        </w:tc>
        <w:tc>
          <w:tcPr>
            <w:tcW w:w="1505"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10.4</w:t>
            </w:r>
          </w:p>
        </w:tc>
      </w:tr>
      <w:tr w:rsidR="006C2CDD" w:rsidRPr="00142352" w:rsidTr="006C2CDD">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6C2CDD" w:rsidRPr="00142352" w:rsidRDefault="006C2CDD" w:rsidP="00142352">
            <w:pPr>
              <w:spacing w:before="0" w:after="0"/>
              <w:rPr>
                <w:rFonts w:cs="Arial"/>
                <w:color w:val="000000"/>
                <w:sz w:val="22"/>
                <w:szCs w:val="22"/>
                <w:lang w:eastAsia="en-GB"/>
              </w:rPr>
            </w:pPr>
            <w:r w:rsidRPr="00142352">
              <w:rPr>
                <w:rFonts w:cs="Arial"/>
                <w:color w:val="000000"/>
                <w:sz w:val="22"/>
                <w:szCs w:val="22"/>
                <w:lang w:eastAsia="en-GB"/>
              </w:rPr>
              <w:t>Semi-detached</w:t>
            </w:r>
          </w:p>
        </w:tc>
        <w:tc>
          <w:tcPr>
            <w:tcW w:w="128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19.9</w:t>
            </w:r>
          </w:p>
        </w:tc>
        <w:tc>
          <w:tcPr>
            <w:tcW w:w="142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sz w:val="20"/>
                <w:szCs w:val="20"/>
              </w:rPr>
            </w:pPr>
            <w:r>
              <w:rPr>
                <w:rFonts w:cs="Arial"/>
                <w:sz w:val="20"/>
                <w:szCs w:val="20"/>
              </w:rPr>
              <w:t>32.0</w:t>
            </w:r>
          </w:p>
        </w:tc>
        <w:tc>
          <w:tcPr>
            <w:tcW w:w="1505"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26.7</w:t>
            </w:r>
          </w:p>
        </w:tc>
      </w:tr>
      <w:tr w:rsidR="006C2CDD" w:rsidRPr="00142352" w:rsidTr="006C2CDD">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6C2CDD" w:rsidRPr="00142352" w:rsidRDefault="006C2CDD" w:rsidP="00142352">
            <w:pPr>
              <w:spacing w:before="0" w:after="0"/>
              <w:rPr>
                <w:rFonts w:cs="Arial"/>
                <w:color w:val="000000"/>
                <w:sz w:val="22"/>
                <w:szCs w:val="22"/>
                <w:lang w:eastAsia="en-GB"/>
              </w:rPr>
            </w:pPr>
            <w:r w:rsidRPr="00142352">
              <w:rPr>
                <w:rFonts w:cs="Arial"/>
                <w:color w:val="000000"/>
                <w:sz w:val="22"/>
                <w:szCs w:val="22"/>
                <w:lang w:eastAsia="en-GB"/>
              </w:rPr>
              <w:t>Terraced</w:t>
            </w:r>
          </w:p>
        </w:tc>
        <w:tc>
          <w:tcPr>
            <w:tcW w:w="128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13.4</w:t>
            </w:r>
          </w:p>
        </w:tc>
        <w:tc>
          <w:tcPr>
            <w:tcW w:w="142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sz w:val="20"/>
                <w:szCs w:val="20"/>
              </w:rPr>
            </w:pPr>
            <w:r>
              <w:rPr>
                <w:rFonts w:cs="Arial"/>
                <w:sz w:val="20"/>
                <w:szCs w:val="20"/>
              </w:rPr>
              <w:t>35.2</w:t>
            </w:r>
          </w:p>
        </w:tc>
        <w:tc>
          <w:tcPr>
            <w:tcW w:w="1505"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25.7</w:t>
            </w:r>
          </w:p>
        </w:tc>
      </w:tr>
      <w:tr w:rsidR="006C2CDD" w:rsidRPr="00142352" w:rsidTr="006C2CDD">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6C2CDD" w:rsidRPr="00142352" w:rsidRDefault="006C2CDD" w:rsidP="00142352">
            <w:pPr>
              <w:spacing w:before="0" w:after="0"/>
              <w:rPr>
                <w:rFonts w:cs="Arial"/>
                <w:color w:val="000000"/>
                <w:sz w:val="22"/>
                <w:szCs w:val="22"/>
                <w:lang w:eastAsia="en-GB"/>
              </w:rPr>
            </w:pPr>
            <w:r w:rsidRPr="00142352">
              <w:rPr>
                <w:rFonts w:cs="Arial"/>
                <w:color w:val="000000"/>
                <w:sz w:val="22"/>
                <w:szCs w:val="22"/>
                <w:lang w:eastAsia="en-GB"/>
              </w:rPr>
              <w:t>Flat</w:t>
            </w:r>
          </w:p>
        </w:tc>
        <w:tc>
          <w:tcPr>
            <w:tcW w:w="128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12.8</w:t>
            </w:r>
          </w:p>
        </w:tc>
        <w:tc>
          <w:tcPr>
            <w:tcW w:w="142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sz w:val="20"/>
                <w:szCs w:val="20"/>
              </w:rPr>
            </w:pPr>
            <w:r>
              <w:rPr>
                <w:rFonts w:cs="Arial"/>
                <w:sz w:val="20"/>
                <w:szCs w:val="20"/>
              </w:rPr>
              <w:t>7.9</w:t>
            </w:r>
          </w:p>
        </w:tc>
        <w:tc>
          <w:tcPr>
            <w:tcW w:w="1505"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10.0</w:t>
            </w:r>
          </w:p>
        </w:tc>
      </w:tr>
      <w:tr w:rsidR="006C2CDD" w:rsidRPr="00142352" w:rsidTr="006C2CDD">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6C2CDD" w:rsidRPr="00142352" w:rsidRDefault="006C2CDD" w:rsidP="00142352">
            <w:pPr>
              <w:spacing w:before="0" w:after="0"/>
              <w:rPr>
                <w:rFonts w:cs="Arial"/>
                <w:color w:val="000000"/>
                <w:sz w:val="22"/>
                <w:szCs w:val="22"/>
                <w:lang w:eastAsia="en-GB"/>
              </w:rPr>
            </w:pPr>
            <w:r w:rsidRPr="00142352">
              <w:rPr>
                <w:rFonts w:cs="Arial"/>
                <w:color w:val="000000"/>
                <w:sz w:val="22"/>
                <w:szCs w:val="22"/>
                <w:lang w:eastAsia="en-GB"/>
              </w:rPr>
              <w:t>Bungalow</w:t>
            </w:r>
          </w:p>
        </w:tc>
        <w:tc>
          <w:tcPr>
            <w:tcW w:w="128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39.0</w:t>
            </w:r>
          </w:p>
        </w:tc>
        <w:tc>
          <w:tcPr>
            <w:tcW w:w="142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sz w:val="20"/>
                <w:szCs w:val="20"/>
              </w:rPr>
            </w:pPr>
            <w:r>
              <w:rPr>
                <w:rFonts w:cs="Arial"/>
                <w:sz w:val="20"/>
                <w:szCs w:val="20"/>
              </w:rPr>
              <w:t>18.1</w:t>
            </w:r>
          </w:p>
        </w:tc>
        <w:tc>
          <w:tcPr>
            <w:tcW w:w="1505"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27.2</w:t>
            </w:r>
          </w:p>
        </w:tc>
      </w:tr>
      <w:tr w:rsidR="006C2CDD" w:rsidRPr="00142352" w:rsidTr="006C2CDD">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6C2CDD" w:rsidRPr="00142352" w:rsidRDefault="006C2CDD" w:rsidP="00142352">
            <w:pPr>
              <w:spacing w:before="0" w:after="0"/>
              <w:rPr>
                <w:rFonts w:cs="Arial"/>
                <w:color w:val="000000"/>
                <w:sz w:val="22"/>
                <w:szCs w:val="22"/>
                <w:lang w:eastAsia="en-GB"/>
              </w:rPr>
            </w:pPr>
            <w:r w:rsidRPr="00142352">
              <w:rPr>
                <w:rFonts w:cs="Arial"/>
                <w:color w:val="000000"/>
                <w:sz w:val="22"/>
                <w:szCs w:val="22"/>
                <w:lang w:eastAsia="en-GB"/>
              </w:rPr>
              <w:t>Total</w:t>
            </w:r>
          </w:p>
        </w:tc>
        <w:tc>
          <w:tcPr>
            <w:tcW w:w="128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100.0</w:t>
            </w:r>
          </w:p>
        </w:tc>
        <w:tc>
          <w:tcPr>
            <w:tcW w:w="1505"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100.0</w:t>
            </w:r>
          </w:p>
        </w:tc>
      </w:tr>
      <w:tr w:rsidR="006C2CDD" w:rsidRPr="00142352" w:rsidTr="006C2CDD">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6C2CDD" w:rsidRPr="00142352" w:rsidRDefault="006C2CDD" w:rsidP="00142352">
            <w:pPr>
              <w:spacing w:before="0" w:after="0"/>
              <w:rPr>
                <w:rFonts w:cs="Arial"/>
                <w:color w:val="000000"/>
                <w:sz w:val="22"/>
                <w:szCs w:val="22"/>
                <w:lang w:eastAsia="en-GB"/>
              </w:rPr>
            </w:pPr>
            <w:r w:rsidRPr="00142352">
              <w:rPr>
                <w:rFonts w:cs="Arial"/>
                <w:color w:val="000000"/>
                <w:sz w:val="22"/>
                <w:szCs w:val="22"/>
                <w:lang w:eastAsia="en-GB"/>
              </w:rPr>
              <w:t>Base (annual requirement)</w:t>
            </w:r>
          </w:p>
        </w:tc>
        <w:tc>
          <w:tcPr>
            <w:tcW w:w="128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980</w:t>
            </w:r>
          </w:p>
        </w:tc>
        <w:tc>
          <w:tcPr>
            <w:tcW w:w="1420"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1274</w:t>
            </w:r>
          </w:p>
        </w:tc>
        <w:tc>
          <w:tcPr>
            <w:tcW w:w="1505" w:type="dxa"/>
            <w:tcBorders>
              <w:top w:val="nil"/>
              <w:left w:val="nil"/>
              <w:bottom w:val="single" w:sz="4" w:space="0" w:color="auto"/>
              <w:right w:val="single" w:sz="4" w:space="0" w:color="auto"/>
            </w:tcBorders>
            <w:shd w:val="clear" w:color="auto" w:fill="auto"/>
            <w:noWrap/>
            <w:vAlign w:val="bottom"/>
            <w:hideMark/>
          </w:tcPr>
          <w:p w:rsidR="006C2CDD" w:rsidRDefault="006C2CDD" w:rsidP="006C2CDD">
            <w:pPr>
              <w:spacing w:before="0" w:after="0"/>
              <w:jc w:val="center"/>
              <w:rPr>
                <w:rFonts w:cs="Arial"/>
                <w:color w:val="000000"/>
                <w:sz w:val="22"/>
                <w:szCs w:val="22"/>
              </w:rPr>
            </w:pPr>
            <w:r>
              <w:rPr>
                <w:rFonts w:cs="Arial"/>
                <w:color w:val="000000"/>
                <w:sz w:val="22"/>
                <w:szCs w:val="22"/>
              </w:rPr>
              <w:t>2254</w:t>
            </w:r>
          </w:p>
        </w:tc>
      </w:tr>
    </w:tbl>
    <w:p w:rsidR="00625C45" w:rsidRPr="00010F68" w:rsidRDefault="00625C45" w:rsidP="00010F68">
      <w:pPr>
        <w:pStyle w:val="Maintext"/>
        <w:numPr>
          <w:ilvl w:val="0"/>
          <w:numId w:val="0"/>
        </w:numPr>
        <w:ind w:left="709"/>
        <w:rPr>
          <w:sz w:val="20"/>
          <w:szCs w:val="20"/>
        </w:rPr>
      </w:pPr>
      <w:r w:rsidRPr="00010F68">
        <w:rPr>
          <w:sz w:val="20"/>
          <w:szCs w:val="20"/>
        </w:rPr>
        <w:t>Based on expectations of existing households in need and what newly-formed households have moved to in the past 5 years</w:t>
      </w:r>
    </w:p>
    <w:p w:rsidR="00A35A9F" w:rsidRPr="00010F68" w:rsidRDefault="00010F68" w:rsidP="00625C45">
      <w:pPr>
        <w:pStyle w:val="Maintext"/>
        <w:numPr>
          <w:ilvl w:val="0"/>
          <w:numId w:val="0"/>
        </w:numPr>
        <w:ind w:firstLine="709"/>
        <w:rPr>
          <w:sz w:val="20"/>
          <w:szCs w:val="20"/>
        </w:rPr>
      </w:pPr>
      <w:r w:rsidRPr="00010F68">
        <w:rPr>
          <w:sz w:val="20"/>
          <w:szCs w:val="20"/>
        </w:rPr>
        <w:t>Source: 2012</w:t>
      </w:r>
      <w:r w:rsidR="00A35A9F" w:rsidRPr="00010F68">
        <w:rPr>
          <w:sz w:val="20"/>
          <w:szCs w:val="20"/>
        </w:rPr>
        <w:t xml:space="preserve"> household survey</w:t>
      </w:r>
      <w:r w:rsidR="006C2CDD">
        <w:rPr>
          <w:sz w:val="20"/>
          <w:szCs w:val="20"/>
        </w:rPr>
        <w:t>, rebased to 2011 Census</w:t>
      </w:r>
    </w:p>
    <w:p w:rsidR="00DC1B92" w:rsidRPr="009651D1" w:rsidRDefault="00DC1B92" w:rsidP="00BC7162">
      <w:pPr>
        <w:pStyle w:val="Heading2"/>
      </w:pPr>
      <w:bookmarkStart w:id="108" w:name="_Toc301536726"/>
      <w:bookmarkStart w:id="109" w:name="_Toc301963348"/>
    </w:p>
    <w:p w:rsidR="00BC7162" w:rsidRDefault="00BC7162" w:rsidP="00BC7162">
      <w:pPr>
        <w:pStyle w:val="Heading2"/>
      </w:pPr>
      <w:bookmarkStart w:id="110" w:name="_Toc326091221"/>
      <w:bookmarkStart w:id="111" w:name="_Toc333507766"/>
      <w:r>
        <w:t>The new delivery model for affordable housing</w:t>
      </w:r>
      <w:bookmarkEnd w:id="108"/>
      <w:bookmarkEnd w:id="109"/>
      <w:bookmarkEnd w:id="110"/>
      <w:bookmarkEnd w:id="111"/>
    </w:p>
    <w:p w:rsidR="00BC7162" w:rsidRDefault="00BC7162" w:rsidP="00BC7162">
      <w:pPr>
        <w:pStyle w:val="Heading4"/>
        <w:rPr>
          <w:i w:val="0"/>
        </w:rPr>
      </w:pPr>
    </w:p>
    <w:p w:rsidR="00BC7162" w:rsidRPr="00226B8C" w:rsidRDefault="00BC7162" w:rsidP="00BC7162">
      <w:pPr>
        <w:pStyle w:val="Heading4"/>
        <w:rPr>
          <w:i w:val="0"/>
        </w:rPr>
      </w:pPr>
      <w:r>
        <w:rPr>
          <w:i w:val="0"/>
        </w:rPr>
        <w:t>Overview</w:t>
      </w:r>
    </w:p>
    <w:p w:rsidR="00BC7162" w:rsidRPr="00AE7DB7" w:rsidRDefault="00BC7162" w:rsidP="00BC7162">
      <w:pPr>
        <w:pStyle w:val="Maintext"/>
        <w:rPr>
          <w:rFonts w:cs="Arial"/>
        </w:rPr>
      </w:pPr>
      <w:r w:rsidRPr="00AE7DB7">
        <w:rPr>
          <w:rFonts w:cs="Arial"/>
        </w:rPr>
        <w:t>The Coalition Government has announced a new delivery model for affordable housing.  Affordable rent will be the main type of new affordable supply and in addition Registered Providers will be encouraged to convert a proportion of social rented properties at Affordable Rent at re-let. The principal aim of the new model is to use the new Affordable Rent product, together with new flexibilities on the use of existing assets, to generate additional financial capacity to support new supply.</w:t>
      </w:r>
    </w:p>
    <w:p w:rsidR="00DA0513" w:rsidRPr="00DA0513" w:rsidRDefault="00BC7162" w:rsidP="00DA0513">
      <w:pPr>
        <w:pStyle w:val="Maintext"/>
        <w:rPr>
          <w:rFonts w:eastAsia="Calibri" w:cs="Arial"/>
        </w:rPr>
      </w:pPr>
      <w:r w:rsidRPr="00AE7DB7">
        <w:rPr>
          <w:rFonts w:cs="Arial"/>
        </w:rPr>
        <w:t>Affordable Rented homes will be made available to tenants at up to a maximum of 80% of market rents and allocated in the same way as social housing is at present.</w:t>
      </w:r>
      <w:r w:rsidRPr="00AE7DB7">
        <w:rPr>
          <w:rFonts w:cs="Arial"/>
          <w:color w:val="3E3E3E"/>
          <w:lang w:eastAsia="en-GB"/>
        </w:rPr>
        <w:t xml:space="preserve"> </w:t>
      </w:r>
      <w:r w:rsidRPr="008057AC">
        <w:rPr>
          <w:rFonts w:cs="Arial"/>
          <w:lang w:eastAsia="en-GB"/>
        </w:rPr>
        <w:t>Landlords will have the freedom to offer Affordable Rent properties on flexible tenancies tailored to the housing needs of individual households.  The government has introduced a series of other measures such as changes to tenure (no longer a requirement to offer lifetime tenancies, flexibility to offer shorter terms with a minimum of two years); greater flexibility for local authorities in their strategic housing role and options to increase mobility for social tenants</w:t>
      </w:r>
      <w:r w:rsidRPr="008057AC">
        <w:rPr>
          <w:rStyle w:val="FootnoteReference"/>
          <w:rFonts w:cs="Arial"/>
          <w:lang w:eastAsia="en-GB"/>
        </w:rPr>
        <w:footnoteReference w:id="23"/>
      </w:r>
      <w:r w:rsidRPr="008057AC">
        <w:rPr>
          <w:rFonts w:cs="Arial"/>
          <w:lang w:eastAsia="en-GB"/>
        </w:rPr>
        <w:t>.</w:t>
      </w:r>
      <w:r w:rsidR="00DA0513">
        <w:rPr>
          <w:rFonts w:cs="Arial"/>
          <w:lang w:eastAsia="en-GB"/>
        </w:rPr>
        <w:t xml:space="preserve"> However, delivering affordable rent may prove to be a particular challenge in County Durham given the limited differential between market and social rents.  </w:t>
      </w:r>
    </w:p>
    <w:p w:rsidR="00F25D4D" w:rsidRPr="00625FCE" w:rsidRDefault="00F25D4D" w:rsidP="00F25D4D">
      <w:pPr>
        <w:pStyle w:val="Maintext"/>
        <w:rPr>
          <w:rFonts w:eastAsia="Calibri" w:cs="Arial"/>
        </w:rPr>
      </w:pPr>
      <w:r w:rsidRPr="004F6372">
        <w:rPr>
          <w:rFonts w:eastAsia="Calibri" w:cs="Arial"/>
        </w:rPr>
        <w:t xml:space="preserve">The potential impact of affordable rent on the relative affordability of rental options is explored </w:t>
      </w:r>
      <w:r>
        <w:rPr>
          <w:rFonts w:eastAsia="Calibri" w:cs="Arial"/>
        </w:rPr>
        <w:t>in Tab</w:t>
      </w:r>
      <w:r w:rsidR="00561DB6">
        <w:rPr>
          <w:rFonts w:eastAsia="Calibri" w:cs="Arial"/>
        </w:rPr>
        <w:t>le 4.</w:t>
      </w:r>
      <w:r w:rsidR="00D407F3">
        <w:rPr>
          <w:rFonts w:eastAsia="Calibri" w:cs="Arial"/>
        </w:rPr>
        <w:t>27</w:t>
      </w:r>
      <w:r w:rsidRPr="004F6372">
        <w:rPr>
          <w:rFonts w:eastAsia="Calibri" w:cs="Arial"/>
        </w:rPr>
        <w:t xml:space="preserve">. </w:t>
      </w:r>
      <w:r>
        <w:rPr>
          <w:rFonts w:eastAsia="Calibri" w:cs="Arial"/>
        </w:rPr>
        <w:t xml:space="preserve">This considers the affordability of different rental prices on the basis of household income and assumes a property is not affordable if the rent is at least 25% of household income. The analysis demonstrates that across </w:t>
      </w:r>
      <w:r w:rsidR="00D5789C">
        <w:rPr>
          <w:rFonts w:eastAsia="Calibri" w:cs="Arial"/>
        </w:rPr>
        <w:t xml:space="preserve">County Durham </w:t>
      </w:r>
      <w:r w:rsidR="00EE2C23">
        <w:rPr>
          <w:rFonts w:eastAsia="Calibri" w:cs="Arial"/>
        </w:rPr>
        <w:t>29.5</w:t>
      </w:r>
      <w:r>
        <w:rPr>
          <w:rFonts w:eastAsia="Calibri" w:cs="Arial"/>
        </w:rPr>
        <w:t xml:space="preserve">% could not afford social rents on the basis of income alone. This increases to </w:t>
      </w:r>
      <w:r w:rsidR="00EE2C23">
        <w:rPr>
          <w:rFonts w:eastAsia="Calibri" w:cs="Arial"/>
        </w:rPr>
        <w:t>45.2</w:t>
      </w:r>
      <w:r>
        <w:rPr>
          <w:rFonts w:eastAsia="Calibri" w:cs="Arial"/>
        </w:rPr>
        <w:t>% for rents charged at 80% of private sector rents</w:t>
      </w:r>
      <w:r w:rsidR="00D5789C">
        <w:rPr>
          <w:rFonts w:eastAsia="Calibri" w:cs="Arial"/>
        </w:rPr>
        <w:t xml:space="preserve"> and </w:t>
      </w:r>
      <w:r w:rsidR="00EE2C23">
        <w:rPr>
          <w:rFonts w:eastAsia="Calibri" w:cs="Arial"/>
        </w:rPr>
        <w:t>45.9</w:t>
      </w:r>
      <w:r w:rsidR="00D5789C">
        <w:rPr>
          <w:rFonts w:eastAsia="Calibri" w:cs="Arial"/>
        </w:rPr>
        <w:t>% could not afford open market private rented prices</w:t>
      </w:r>
      <w:r>
        <w:rPr>
          <w:rFonts w:eastAsia="Calibri" w:cs="Arial"/>
        </w:rPr>
        <w:t xml:space="preserve">. </w:t>
      </w:r>
      <w:r w:rsidR="007B7DE2">
        <w:rPr>
          <w:rFonts w:eastAsia="Calibri" w:cs="Arial"/>
        </w:rPr>
        <w:t>Therefore, an increase in rents coupled with likely changes in welfare benefits will have a detrimental impact on affordability.</w:t>
      </w:r>
      <w:r w:rsidR="00DA0513">
        <w:rPr>
          <w:rFonts w:eastAsia="Calibri" w:cs="Arial"/>
        </w:rPr>
        <w:t xml:space="preserve"> </w:t>
      </w:r>
    </w:p>
    <w:p w:rsidR="00F25D4D" w:rsidRPr="004F6372" w:rsidRDefault="00F25D4D" w:rsidP="00F25D4D">
      <w:pPr>
        <w:pStyle w:val="Maintext"/>
        <w:numPr>
          <w:ilvl w:val="0"/>
          <w:numId w:val="0"/>
        </w:numPr>
        <w:ind w:left="709"/>
        <w:rPr>
          <w:b/>
        </w:rPr>
      </w:pPr>
    </w:p>
    <w:p w:rsidR="00F25D4D" w:rsidRDefault="00F25D4D" w:rsidP="00F25D4D">
      <w:pPr>
        <w:pStyle w:val="Maintext"/>
        <w:numPr>
          <w:ilvl w:val="0"/>
          <w:numId w:val="0"/>
        </w:numPr>
        <w:ind w:firstLine="709"/>
      </w:pPr>
      <w:r w:rsidRPr="004F6372">
        <w:rPr>
          <w:b/>
        </w:rPr>
        <w:t>Table 4.2</w:t>
      </w:r>
      <w:r w:rsidR="00D407F3">
        <w:rPr>
          <w:b/>
        </w:rPr>
        <w:t>7</w:t>
      </w:r>
      <w:r w:rsidRPr="004F6372">
        <w:tab/>
        <w:t>Relative affordability of renting options</w:t>
      </w:r>
    </w:p>
    <w:tbl>
      <w:tblPr>
        <w:tblW w:w="8505" w:type="dxa"/>
        <w:tblInd w:w="817" w:type="dxa"/>
        <w:tblLook w:val="04A0" w:firstRow="1" w:lastRow="0" w:firstColumn="1" w:lastColumn="0" w:noHBand="0" w:noVBand="1"/>
      </w:tblPr>
      <w:tblGrid>
        <w:gridCol w:w="2977"/>
        <w:gridCol w:w="1843"/>
        <w:gridCol w:w="1842"/>
        <w:gridCol w:w="1843"/>
      </w:tblGrid>
      <w:tr w:rsidR="00EE2C23" w:rsidRPr="00EE2C23" w:rsidTr="00EE2C23">
        <w:trPr>
          <w:trHeight w:val="255"/>
        </w:trPr>
        <w:tc>
          <w:tcPr>
            <w:tcW w:w="2977"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EE2C23" w:rsidRPr="00EE2C23" w:rsidRDefault="00EE2C23" w:rsidP="00EE2C23">
            <w:pPr>
              <w:spacing w:before="0" w:after="0"/>
              <w:rPr>
                <w:rFonts w:cs="Arial"/>
                <w:b/>
                <w:bCs/>
                <w:color w:val="FFFFFF"/>
                <w:sz w:val="20"/>
                <w:szCs w:val="20"/>
                <w:lang w:eastAsia="en-GB"/>
              </w:rPr>
            </w:pPr>
            <w:r w:rsidRPr="00EE2C23">
              <w:rPr>
                <w:rFonts w:cs="Arial"/>
                <w:b/>
                <w:bCs/>
                <w:color w:val="FFFFFF"/>
                <w:sz w:val="20"/>
                <w:szCs w:val="20"/>
                <w:lang w:eastAsia="en-GB"/>
              </w:rPr>
              <w:t>Affordability by tenure</w:t>
            </w:r>
          </w:p>
        </w:tc>
        <w:tc>
          <w:tcPr>
            <w:tcW w:w="1843" w:type="dxa"/>
            <w:tcBorders>
              <w:top w:val="single" w:sz="4" w:space="0" w:color="auto"/>
              <w:left w:val="nil"/>
              <w:bottom w:val="single" w:sz="4" w:space="0" w:color="auto"/>
              <w:right w:val="single" w:sz="4" w:space="0" w:color="auto"/>
            </w:tcBorders>
            <w:shd w:val="clear" w:color="000000" w:fill="008080"/>
            <w:noWrap/>
            <w:vAlign w:val="bottom"/>
            <w:hideMark/>
          </w:tcPr>
          <w:p w:rsidR="00EE2C23" w:rsidRPr="00EE2C23" w:rsidRDefault="00EE2C23" w:rsidP="00EE2C23">
            <w:pPr>
              <w:spacing w:before="0" w:after="0"/>
              <w:jc w:val="center"/>
              <w:rPr>
                <w:rFonts w:cs="Arial"/>
                <w:b/>
                <w:bCs/>
                <w:color w:val="FFFFFF"/>
                <w:sz w:val="20"/>
                <w:szCs w:val="20"/>
                <w:lang w:eastAsia="en-GB"/>
              </w:rPr>
            </w:pPr>
            <w:r w:rsidRPr="00EE2C23">
              <w:rPr>
                <w:rFonts w:cs="Arial"/>
                <w:b/>
                <w:bCs/>
                <w:color w:val="FFFFFF"/>
                <w:sz w:val="20"/>
                <w:szCs w:val="20"/>
                <w:lang w:eastAsia="en-GB"/>
              </w:rPr>
              <w:t>% can afford</w:t>
            </w:r>
          </w:p>
        </w:tc>
        <w:tc>
          <w:tcPr>
            <w:tcW w:w="1842" w:type="dxa"/>
            <w:tcBorders>
              <w:top w:val="single" w:sz="4" w:space="0" w:color="auto"/>
              <w:left w:val="nil"/>
              <w:bottom w:val="single" w:sz="4" w:space="0" w:color="auto"/>
              <w:right w:val="single" w:sz="4" w:space="0" w:color="auto"/>
            </w:tcBorders>
            <w:shd w:val="clear" w:color="000000" w:fill="008080"/>
            <w:noWrap/>
            <w:vAlign w:val="bottom"/>
            <w:hideMark/>
          </w:tcPr>
          <w:p w:rsidR="00EE2C23" w:rsidRPr="00EE2C23" w:rsidRDefault="00EE2C23" w:rsidP="00EE2C23">
            <w:pPr>
              <w:spacing w:before="0" w:after="0"/>
              <w:jc w:val="center"/>
              <w:rPr>
                <w:rFonts w:cs="Arial"/>
                <w:b/>
                <w:bCs/>
                <w:color w:val="FFFFFF"/>
                <w:sz w:val="20"/>
                <w:szCs w:val="20"/>
                <w:lang w:eastAsia="en-GB"/>
              </w:rPr>
            </w:pPr>
            <w:r w:rsidRPr="00EE2C23">
              <w:rPr>
                <w:rFonts w:cs="Arial"/>
                <w:b/>
                <w:bCs/>
                <w:color w:val="FFFFFF"/>
                <w:sz w:val="20"/>
                <w:szCs w:val="20"/>
                <w:lang w:eastAsia="en-GB"/>
              </w:rPr>
              <w:t>% cannot afford</w:t>
            </w:r>
          </w:p>
        </w:tc>
        <w:tc>
          <w:tcPr>
            <w:tcW w:w="1843" w:type="dxa"/>
            <w:tcBorders>
              <w:top w:val="single" w:sz="4" w:space="0" w:color="auto"/>
              <w:left w:val="nil"/>
              <w:bottom w:val="single" w:sz="4" w:space="0" w:color="auto"/>
              <w:right w:val="single" w:sz="4" w:space="0" w:color="auto"/>
            </w:tcBorders>
            <w:shd w:val="clear" w:color="000000" w:fill="008080"/>
            <w:noWrap/>
            <w:vAlign w:val="bottom"/>
            <w:hideMark/>
          </w:tcPr>
          <w:p w:rsidR="00EE2C23" w:rsidRPr="00EE2C23" w:rsidRDefault="00EE2C23" w:rsidP="00EE2C23">
            <w:pPr>
              <w:spacing w:before="0" w:after="0"/>
              <w:jc w:val="center"/>
              <w:rPr>
                <w:rFonts w:cs="Arial"/>
                <w:b/>
                <w:bCs/>
                <w:color w:val="FFFFFF"/>
                <w:sz w:val="20"/>
                <w:szCs w:val="20"/>
                <w:lang w:eastAsia="en-GB"/>
              </w:rPr>
            </w:pPr>
            <w:r w:rsidRPr="00EE2C23">
              <w:rPr>
                <w:rFonts w:cs="Arial"/>
                <w:b/>
                <w:bCs/>
                <w:color w:val="FFFFFF"/>
                <w:sz w:val="20"/>
                <w:szCs w:val="20"/>
                <w:lang w:eastAsia="en-GB"/>
              </w:rPr>
              <w:t>Total</w:t>
            </w:r>
          </w:p>
        </w:tc>
      </w:tr>
      <w:tr w:rsidR="00EE2C23" w:rsidRPr="00EE2C23" w:rsidTr="00EE2C23">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rPr>
                <w:rFonts w:cs="Arial"/>
                <w:sz w:val="20"/>
                <w:szCs w:val="20"/>
                <w:lang w:eastAsia="en-GB"/>
              </w:rPr>
            </w:pPr>
            <w:r w:rsidRPr="00EE2C23">
              <w:rPr>
                <w:rFonts w:cs="Arial"/>
                <w:sz w:val="20"/>
                <w:szCs w:val="20"/>
                <w:lang w:eastAsia="en-GB"/>
              </w:rPr>
              <w:t>Affordability of Private Rent</w:t>
            </w:r>
          </w:p>
        </w:tc>
        <w:tc>
          <w:tcPr>
            <w:tcW w:w="1843"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54.1</w:t>
            </w:r>
          </w:p>
        </w:tc>
        <w:tc>
          <w:tcPr>
            <w:tcW w:w="1842"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45.9</w:t>
            </w:r>
          </w:p>
        </w:tc>
        <w:tc>
          <w:tcPr>
            <w:tcW w:w="1843"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100</w:t>
            </w:r>
          </w:p>
        </w:tc>
      </w:tr>
      <w:tr w:rsidR="00EE2C23" w:rsidRPr="00EE2C23" w:rsidTr="00EE2C23">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rPr>
                <w:rFonts w:cs="Arial"/>
                <w:sz w:val="20"/>
                <w:szCs w:val="20"/>
                <w:lang w:eastAsia="en-GB"/>
              </w:rPr>
            </w:pPr>
            <w:r w:rsidRPr="00EE2C23">
              <w:rPr>
                <w:rFonts w:cs="Arial"/>
                <w:sz w:val="20"/>
                <w:szCs w:val="20"/>
                <w:lang w:eastAsia="en-GB"/>
              </w:rPr>
              <w:t>Affordability of 80% Private Rent</w:t>
            </w:r>
          </w:p>
        </w:tc>
        <w:tc>
          <w:tcPr>
            <w:tcW w:w="1843"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54.8</w:t>
            </w:r>
          </w:p>
        </w:tc>
        <w:tc>
          <w:tcPr>
            <w:tcW w:w="1842"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45.2</w:t>
            </w:r>
          </w:p>
        </w:tc>
        <w:tc>
          <w:tcPr>
            <w:tcW w:w="1843"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100</w:t>
            </w:r>
          </w:p>
        </w:tc>
      </w:tr>
      <w:tr w:rsidR="00EE2C23" w:rsidRPr="00EE2C23" w:rsidTr="00EE2C23">
        <w:trPr>
          <w:trHeight w:val="25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rPr>
                <w:rFonts w:cs="Arial"/>
                <w:sz w:val="20"/>
                <w:szCs w:val="20"/>
                <w:lang w:eastAsia="en-GB"/>
              </w:rPr>
            </w:pPr>
            <w:r w:rsidRPr="00EE2C23">
              <w:rPr>
                <w:rFonts w:cs="Arial"/>
                <w:sz w:val="20"/>
                <w:szCs w:val="20"/>
                <w:lang w:eastAsia="en-GB"/>
              </w:rPr>
              <w:t>Affordability of Social Rent</w:t>
            </w:r>
          </w:p>
        </w:tc>
        <w:tc>
          <w:tcPr>
            <w:tcW w:w="1843"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70.5</w:t>
            </w:r>
          </w:p>
        </w:tc>
        <w:tc>
          <w:tcPr>
            <w:tcW w:w="1842"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29.5</w:t>
            </w:r>
          </w:p>
        </w:tc>
        <w:tc>
          <w:tcPr>
            <w:tcW w:w="1843" w:type="dxa"/>
            <w:tcBorders>
              <w:top w:val="nil"/>
              <w:left w:val="nil"/>
              <w:bottom w:val="single" w:sz="4" w:space="0" w:color="auto"/>
              <w:right w:val="single" w:sz="4" w:space="0" w:color="auto"/>
            </w:tcBorders>
            <w:shd w:val="clear" w:color="auto" w:fill="auto"/>
            <w:noWrap/>
            <w:vAlign w:val="bottom"/>
            <w:hideMark/>
          </w:tcPr>
          <w:p w:rsidR="00EE2C23" w:rsidRPr="00EE2C23" w:rsidRDefault="00EE2C23" w:rsidP="00EE2C23">
            <w:pPr>
              <w:spacing w:before="0" w:after="0"/>
              <w:jc w:val="center"/>
              <w:rPr>
                <w:rFonts w:cs="Arial"/>
                <w:sz w:val="20"/>
                <w:szCs w:val="20"/>
                <w:lang w:eastAsia="en-GB"/>
              </w:rPr>
            </w:pPr>
            <w:r w:rsidRPr="00EE2C23">
              <w:rPr>
                <w:rFonts w:cs="Arial"/>
                <w:sz w:val="20"/>
                <w:szCs w:val="20"/>
                <w:lang w:eastAsia="en-GB"/>
              </w:rPr>
              <w:t>100</w:t>
            </w:r>
          </w:p>
        </w:tc>
      </w:tr>
      <w:tr w:rsidR="00EE2C23" w:rsidRPr="00EE2C23" w:rsidTr="00EE2C23">
        <w:trPr>
          <w:trHeight w:val="255"/>
        </w:trPr>
        <w:tc>
          <w:tcPr>
            <w:tcW w:w="6662" w:type="dxa"/>
            <w:gridSpan w:val="3"/>
            <w:tcBorders>
              <w:top w:val="nil"/>
              <w:left w:val="nil"/>
              <w:bottom w:val="nil"/>
              <w:right w:val="nil"/>
            </w:tcBorders>
            <w:shd w:val="clear" w:color="auto" w:fill="auto"/>
            <w:noWrap/>
            <w:vAlign w:val="bottom"/>
            <w:hideMark/>
          </w:tcPr>
          <w:p w:rsidR="00EE2C23" w:rsidRPr="00EE2C23" w:rsidRDefault="00EE2C23" w:rsidP="00EE2C23">
            <w:pPr>
              <w:spacing w:before="0" w:after="0"/>
              <w:rPr>
                <w:rFonts w:cs="Arial"/>
                <w:sz w:val="20"/>
                <w:szCs w:val="20"/>
                <w:lang w:eastAsia="en-GB"/>
              </w:rPr>
            </w:pPr>
            <w:r w:rsidRPr="00EE2C23">
              <w:rPr>
                <w:rFonts w:cs="Arial"/>
                <w:sz w:val="20"/>
                <w:szCs w:val="20"/>
                <w:lang w:eastAsia="en-GB"/>
              </w:rPr>
              <w:t>Base: 13,548 Existing Households in Need</w:t>
            </w:r>
          </w:p>
        </w:tc>
        <w:tc>
          <w:tcPr>
            <w:tcW w:w="1843" w:type="dxa"/>
            <w:tcBorders>
              <w:top w:val="nil"/>
              <w:left w:val="nil"/>
              <w:bottom w:val="nil"/>
              <w:right w:val="nil"/>
            </w:tcBorders>
            <w:shd w:val="clear" w:color="auto" w:fill="auto"/>
            <w:noWrap/>
            <w:vAlign w:val="bottom"/>
            <w:hideMark/>
          </w:tcPr>
          <w:p w:rsidR="00EE2C23" w:rsidRPr="00EE2C23" w:rsidRDefault="00EE2C23" w:rsidP="00EE2C23">
            <w:pPr>
              <w:spacing w:before="0" w:after="0"/>
              <w:rPr>
                <w:rFonts w:cs="Arial"/>
                <w:sz w:val="20"/>
                <w:szCs w:val="20"/>
                <w:lang w:eastAsia="en-GB"/>
              </w:rPr>
            </w:pPr>
          </w:p>
        </w:tc>
      </w:tr>
    </w:tbl>
    <w:p w:rsidR="003A6F13" w:rsidRDefault="00EE2C23" w:rsidP="00EE2C23">
      <w:pPr>
        <w:pStyle w:val="Maintext"/>
        <w:numPr>
          <w:ilvl w:val="0"/>
          <w:numId w:val="0"/>
        </w:numPr>
        <w:ind w:left="709" w:hanging="709"/>
      </w:pPr>
      <w:r>
        <w:tab/>
      </w:r>
      <w:r>
        <w:rPr>
          <w:sz w:val="20"/>
          <w:szCs w:val="20"/>
        </w:rPr>
        <w:t>Source: 2011 RSL rents from Regulatory Statistical Return; 2012 Private sector rents</w:t>
      </w:r>
    </w:p>
    <w:p w:rsidR="00D407F3" w:rsidRDefault="00D407F3">
      <w:pPr>
        <w:spacing w:before="0" w:after="0"/>
        <w:rPr>
          <w:rFonts w:cs="Arial"/>
          <w:b/>
          <w:bCs/>
          <w:iCs/>
          <w:color w:val="008080"/>
          <w:sz w:val="28"/>
          <w:szCs w:val="28"/>
        </w:rPr>
      </w:pPr>
      <w:bookmarkStart w:id="112" w:name="_Toc214433429"/>
      <w:bookmarkStart w:id="113" w:name="_Toc225941544"/>
      <w:bookmarkStart w:id="114" w:name="_Toc333507767"/>
    </w:p>
    <w:p w:rsidR="003A6F13" w:rsidRDefault="003A6F13">
      <w:pPr>
        <w:pStyle w:val="Heading2"/>
        <w:ind w:left="2880" w:hanging="2171"/>
      </w:pPr>
      <w:r>
        <w:t xml:space="preserve">Core Output 8: </w:t>
      </w:r>
      <w:r>
        <w:tab/>
        <w:t>Estimates of household groups who have particular housing requirements</w:t>
      </w:r>
      <w:bookmarkEnd w:id="112"/>
      <w:bookmarkEnd w:id="113"/>
      <w:bookmarkEnd w:id="114"/>
    </w:p>
    <w:p w:rsidR="003A6F13" w:rsidRDefault="003A6F13">
      <w:pPr>
        <w:rPr>
          <w:b/>
          <w:i/>
        </w:rPr>
      </w:pPr>
    </w:p>
    <w:p w:rsidR="003A6F13" w:rsidRDefault="003A6F13">
      <w:pPr>
        <w:ind w:left="709"/>
        <w:rPr>
          <w:b/>
        </w:rPr>
      </w:pPr>
      <w:r>
        <w:rPr>
          <w:b/>
        </w:rPr>
        <w:t>Introduction</w:t>
      </w:r>
    </w:p>
    <w:p w:rsidR="003A6F13" w:rsidRDefault="003A6F13">
      <w:pPr>
        <w:pStyle w:val="Maintext"/>
      </w:pPr>
      <w:r>
        <w:t xml:space="preserve">There is a range of household groups who have particular housing requirements.  The evidence presented at Appendix E focuses on families, older people, homeless households and support issues. </w:t>
      </w:r>
    </w:p>
    <w:p w:rsidR="003A6F13" w:rsidRDefault="003A6F13">
      <w:pPr>
        <w:rPr>
          <w:i/>
        </w:rPr>
      </w:pPr>
    </w:p>
    <w:p w:rsidR="003A6F13" w:rsidRDefault="003A6F13">
      <w:pPr>
        <w:ind w:firstLine="709"/>
        <w:rPr>
          <w:b/>
        </w:rPr>
      </w:pPr>
      <w:r>
        <w:rPr>
          <w:b/>
        </w:rPr>
        <w:t>Families</w:t>
      </w:r>
    </w:p>
    <w:p w:rsidR="00567455" w:rsidRDefault="003A6F13">
      <w:pPr>
        <w:pStyle w:val="Maintext"/>
      </w:pPr>
      <w:r>
        <w:t xml:space="preserve">Families </w:t>
      </w:r>
      <w:r w:rsidR="001B71ED">
        <w:t xml:space="preserve">(that is couples and lone parents with children) </w:t>
      </w:r>
      <w:r>
        <w:t xml:space="preserve">account for around </w:t>
      </w:r>
      <w:r w:rsidR="00F250B3">
        <w:t>19.2</w:t>
      </w:r>
      <w:r>
        <w:t xml:space="preserve">% of households across </w:t>
      </w:r>
      <w:r w:rsidR="00A83D18">
        <w:t>County Durham.</w:t>
      </w:r>
      <w:r w:rsidR="00567455">
        <w:t xml:space="preserve"> </w:t>
      </w:r>
      <w:r w:rsidR="00A83D18">
        <w:t xml:space="preserve">A further </w:t>
      </w:r>
      <w:r w:rsidR="00F250B3">
        <w:t>12.0</w:t>
      </w:r>
      <w:r w:rsidR="001B71ED">
        <w:t>% were couples and lone parents with adult children (aged 18 or over) living with them</w:t>
      </w:r>
      <w:r w:rsidR="00567455">
        <w:t>.</w:t>
      </w:r>
    </w:p>
    <w:p w:rsidR="003A6F13" w:rsidRDefault="003A6F13">
      <w:pPr>
        <w:pStyle w:val="Maintext"/>
      </w:pPr>
      <w:r>
        <w:t>Analysis o</w:t>
      </w:r>
      <w:r w:rsidR="00387A91">
        <w:t>f market preference</w:t>
      </w:r>
      <w:r w:rsidR="00D30019">
        <w:t>s (Table 4.16</w:t>
      </w:r>
      <w:r>
        <w:t>) suggests that:</w:t>
      </w:r>
    </w:p>
    <w:p w:rsidR="003A6F13" w:rsidRDefault="00E0096C" w:rsidP="00C76826">
      <w:pPr>
        <w:pStyle w:val="Maintext"/>
        <w:numPr>
          <w:ilvl w:val="2"/>
          <w:numId w:val="12"/>
        </w:numPr>
      </w:pPr>
      <w:r>
        <w:t>Most</w:t>
      </w:r>
      <w:r w:rsidR="001B71ED">
        <w:t xml:space="preserve"> c</w:t>
      </w:r>
      <w:r w:rsidR="003A6F13">
        <w:t xml:space="preserve">ouples with children </w:t>
      </w:r>
      <w:r w:rsidR="001B71ED">
        <w:t xml:space="preserve">and lone parent families were </w:t>
      </w:r>
      <w:r w:rsidR="00DB372D">
        <w:t>preferring</w:t>
      </w:r>
      <w:r w:rsidR="001B71ED">
        <w:t xml:space="preserve"> to move to a house, particularly detac</w:t>
      </w:r>
      <w:r w:rsidR="002C420F">
        <w:t xml:space="preserve">hed </w:t>
      </w:r>
      <w:r>
        <w:t xml:space="preserve">and </w:t>
      </w:r>
      <w:r w:rsidR="00DB372D">
        <w:t>semi-detached</w:t>
      </w:r>
      <w:r>
        <w:t>)</w:t>
      </w:r>
      <w:r w:rsidR="001B71ED">
        <w:t>.</w:t>
      </w:r>
      <w:r w:rsidR="003A6F13">
        <w:t xml:space="preserve"> </w:t>
      </w:r>
      <w:r>
        <w:t>C</w:t>
      </w:r>
      <w:r w:rsidR="001B71ED">
        <w:t>ouples with</w:t>
      </w:r>
      <w:r w:rsidR="003A6F13">
        <w:t xml:space="preserve"> </w:t>
      </w:r>
      <w:r>
        <w:t xml:space="preserve">children </w:t>
      </w:r>
      <w:r w:rsidR="003A6F13">
        <w:t xml:space="preserve">were most likely to </w:t>
      </w:r>
      <w:r w:rsidR="00A83D18">
        <w:t>expect</w:t>
      </w:r>
      <w:r w:rsidR="003A6F13">
        <w:t xml:space="preserve"> properties with three or four bedrooms</w:t>
      </w:r>
      <w:r w:rsidR="001B71ED">
        <w:t>, with couples with three or more children most likely to expect a four bedroom property</w:t>
      </w:r>
      <w:r w:rsidR="003A6F13">
        <w:t>;</w:t>
      </w:r>
      <w:r>
        <w:t xml:space="preserve"> most </w:t>
      </w:r>
      <w:r w:rsidR="001B71ED">
        <w:t xml:space="preserve">lone parents expect to move to a </w:t>
      </w:r>
      <w:r w:rsidR="00DB372D">
        <w:t>three</w:t>
      </w:r>
      <w:r w:rsidR="002C420F">
        <w:t xml:space="preserve"> </w:t>
      </w:r>
      <w:r w:rsidR="001B71ED">
        <w:t>bedroom property;</w:t>
      </w:r>
    </w:p>
    <w:p w:rsidR="003A6F13" w:rsidRDefault="003A6F13" w:rsidP="00C76826">
      <w:pPr>
        <w:pStyle w:val="Maintext"/>
        <w:numPr>
          <w:ilvl w:val="2"/>
          <w:numId w:val="10"/>
        </w:numPr>
      </w:pPr>
      <w:r>
        <w:t xml:space="preserve">Couples and lone parents with adult children living at home had strong </w:t>
      </w:r>
      <w:r w:rsidR="007040AD">
        <w:t>expectations of moving to houses (</w:t>
      </w:r>
      <w:r w:rsidR="002C420F">
        <w:t xml:space="preserve">detached and </w:t>
      </w:r>
      <w:r w:rsidR="007040AD">
        <w:t xml:space="preserve">particularly </w:t>
      </w:r>
      <w:r w:rsidR="00E0096C">
        <w:t>semi-</w:t>
      </w:r>
      <w:r w:rsidR="007040AD">
        <w:t>detached</w:t>
      </w:r>
      <w:r w:rsidR="002C420F">
        <w:t xml:space="preserve"> houses</w:t>
      </w:r>
      <w:r w:rsidR="007040AD">
        <w:t>)</w:t>
      </w:r>
      <w:r w:rsidR="00E0096C">
        <w:t xml:space="preserve"> and bungalows; </w:t>
      </w:r>
      <w:r w:rsidR="007040AD">
        <w:t>a range of property sizes were expected to be moved to, most notably three and</w:t>
      </w:r>
      <w:r w:rsidR="00A83D18">
        <w:t>, for couples with adult children,</w:t>
      </w:r>
      <w:r w:rsidR="007040AD">
        <w:t xml:space="preserve"> four bedroom properties</w:t>
      </w:r>
      <w:r>
        <w:t>.</w:t>
      </w:r>
    </w:p>
    <w:p w:rsidR="003A6F13" w:rsidRDefault="007D0C26">
      <w:pPr>
        <w:pStyle w:val="Maintext"/>
        <w:rPr>
          <w:i/>
        </w:rPr>
      </w:pPr>
      <w:r>
        <w:t>In terms of housing need</w:t>
      </w:r>
      <w:r w:rsidR="00387A91">
        <w:t xml:space="preserve"> (Table 4.1</w:t>
      </w:r>
      <w:r w:rsidR="00D407F3">
        <w:t>7</w:t>
      </w:r>
      <w:r w:rsidR="00DB372D">
        <w:t>)</w:t>
      </w:r>
      <w:r>
        <w:t xml:space="preserve">, </w:t>
      </w:r>
      <w:r w:rsidR="007040AD">
        <w:t>compared with the overall propo</w:t>
      </w:r>
      <w:r w:rsidR="00DB372D">
        <w:t>rt</w:t>
      </w:r>
      <w:r w:rsidR="002C420F">
        <w:t xml:space="preserve">ion of households in need of </w:t>
      </w:r>
      <w:r w:rsidR="00F250B3">
        <w:t>6</w:t>
      </w:r>
      <w:r w:rsidR="00581AB5">
        <w:t>.</w:t>
      </w:r>
      <w:r w:rsidR="002E624C">
        <w:t>7</w:t>
      </w:r>
      <w:r w:rsidR="00F250B3">
        <w:t>%,</w:t>
      </w:r>
      <w:r w:rsidR="007040AD">
        <w:t xml:space="preserve"> couples with </w:t>
      </w:r>
      <w:r>
        <w:t>three or more children were more li</w:t>
      </w:r>
      <w:r w:rsidR="00A83D18">
        <w:t>kely to be in housing need (</w:t>
      </w:r>
      <w:r w:rsidR="00581AB5">
        <w:t>13</w:t>
      </w:r>
      <w:r w:rsidR="00A83D18">
        <w:t>.9</w:t>
      </w:r>
      <w:r>
        <w:t xml:space="preserve">%) </w:t>
      </w:r>
      <w:r w:rsidR="00A83D18">
        <w:t xml:space="preserve">along with </w:t>
      </w:r>
      <w:r w:rsidR="00581AB5">
        <w:t>26.4</w:t>
      </w:r>
      <w:r w:rsidR="007040AD">
        <w:t xml:space="preserve">% of lone parents </w:t>
      </w:r>
      <w:r>
        <w:t>with three or more children</w:t>
      </w:r>
      <w:r w:rsidR="00581AB5">
        <w:t xml:space="preserve"> and 16.6% of other types of household</w:t>
      </w:r>
      <w:r>
        <w:t xml:space="preserve">. </w:t>
      </w:r>
      <w:r w:rsidR="007040AD">
        <w:t>Modelling of a</w:t>
      </w:r>
      <w:r w:rsidR="003A6F13">
        <w:t>ffordable housing requirements suggests that a range of affordable dwellings are required</w:t>
      </w:r>
      <w:r w:rsidR="008E364F">
        <w:t xml:space="preserve"> which will help to address the needs of families</w:t>
      </w:r>
      <w:r w:rsidR="00023F7B">
        <w:t>.</w:t>
      </w:r>
      <w:r w:rsidR="008E364F">
        <w:t xml:space="preserve"> </w:t>
      </w:r>
      <w:r w:rsidR="003A6F13">
        <w:t xml:space="preserve">It is important that particular care is taken to ensure that properties are built to reflect the demand from families and in the interests of long-term community sustainability. </w:t>
      </w:r>
    </w:p>
    <w:p w:rsidR="003A6F13" w:rsidRDefault="003A6F13">
      <w:pPr>
        <w:rPr>
          <w:i/>
        </w:rPr>
      </w:pPr>
    </w:p>
    <w:p w:rsidR="002D4C3F" w:rsidRDefault="002D4C3F">
      <w:pPr>
        <w:rPr>
          <w:i/>
        </w:rPr>
      </w:pPr>
    </w:p>
    <w:p w:rsidR="003A6F13" w:rsidRDefault="003A6F13">
      <w:pPr>
        <w:ind w:left="709"/>
        <w:rPr>
          <w:b/>
        </w:rPr>
      </w:pPr>
      <w:r>
        <w:rPr>
          <w:b/>
        </w:rPr>
        <w:t>Older people</w:t>
      </w:r>
    </w:p>
    <w:p w:rsidR="003A6F13" w:rsidRDefault="003A6F13">
      <w:pPr>
        <w:pStyle w:val="Maintext"/>
      </w:pPr>
      <w:r>
        <w:t xml:space="preserve">A major strategic challenge for </w:t>
      </w:r>
      <w:r w:rsidR="00F25D4D">
        <w:t xml:space="preserve">the </w:t>
      </w:r>
      <w:r w:rsidR="00A83D18">
        <w:t>Council</w:t>
      </w:r>
      <w:r w:rsidR="00F25D4D">
        <w:t xml:space="preserve"> </w:t>
      </w:r>
      <w:r>
        <w:t>is to ensure a range of appropriate housing provis</w:t>
      </w:r>
      <w:r w:rsidR="00A83D18">
        <w:t xml:space="preserve">ion, adaptation and support County Durham’s </w:t>
      </w:r>
      <w:r>
        <w:t>growing older populatio</w:t>
      </w:r>
      <w:r w:rsidR="002E624C">
        <w:t>n.</w:t>
      </w:r>
      <w:r w:rsidR="004B0606">
        <w:t xml:space="preserve"> </w:t>
      </w:r>
      <w:r w:rsidR="00E374CB">
        <w:t xml:space="preserve">Based on Durham </w:t>
      </w:r>
      <w:r w:rsidR="002E624C">
        <w:t>County Council 2011</w:t>
      </w:r>
      <w:r w:rsidR="00AE4DA1">
        <w:t>-</w:t>
      </w:r>
      <w:r w:rsidR="00E374CB">
        <w:t>based population projections, t</w:t>
      </w:r>
      <w:r w:rsidR="004B0606">
        <w:t xml:space="preserve">he number of people </w:t>
      </w:r>
      <w:r w:rsidR="002C420F">
        <w:t xml:space="preserve">across </w:t>
      </w:r>
      <w:r w:rsidR="00A83D18">
        <w:t>County Durham</w:t>
      </w:r>
      <w:r w:rsidR="002C420F">
        <w:t xml:space="preserve"> </w:t>
      </w:r>
      <w:r w:rsidR="00442816">
        <w:t>aged 65</w:t>
      </w:r>
      <w:r>
        <w:t xml:space="preserve"> or over </w:t>
      </w:r>
      <w:r w:rsidR="008E364F">
        <w:t xml:space="preserve">is projected to increase by </w:t>
      </w:r>
      <w:r w:rsidR="002E624C">
        <w:t>48.8</w:t>
      </w:r>
      <w:r>
        <w:t>% f</w:t>
      </w:r>
      <w:r w:rsidR="004B0606">
        <w:t xml:space="preserve">rom </w:t>
      </w:r>
      <w:r w:rsidR="002E624C">
        <w:t>93,014 in 2011</w:t>
      </w:r>
      <w:r w:rsidR="007D0C26">
        <w:t xml:space="preserve"> to </w:t>
      </w:r>
      <w:r w:rsidR="002E624C">
        <w:t>138,402</w:t>
      </w:r>
      <w:r w:rsidR="00442816">
        <w:t xml:space="preserve"> by 2030</w:t>
      </w:r>
      <w:r>
        <w:t xml:space="preserve">. </w:t>
      </w:r>
    </w:p>
    <w:p w:rsidR="00537291" w:rsidRPr="00E131D4" w:rsidRDefault="00537291" w:rsidP="00537291">
      <w:pPr>
        <w:pStyle w:val="Maintext"/>
        <w:rPr>
          <w:iCs/>
        </w:rPr>
      </w:pPr>
      <w:r>
        <w:t>The aspirations and preferences of older people need to be carefully considered in developing appropriate policy responses.  A range of options and solutions to address the needs of older people are available in addition to traditional sheltered accommodation, for instance apartments specifically marketed at older people and Extra Care housing. The following definitions have been used to describe different types of older persons’ housing:</w:t>
      </w:r>
    </w:p>
    <w:p w:rsidR="00537291" w:rsidRDefault="00537291" w:rsidP="00C76826">
      <w:pPr>
        <w:pStyle w:val="Maintext"/>
        <w:numPr>
          <w:ilvl w:val="2"/>
          <w:numId w:val="10"/>
        </w:numPr>
        <w:rPr>
          <w:rFonts w:cs="Arial"/>
          <w:iCs/>
        </w:rPr>
      </w:pPr>
      <w:r w:rsidRPr="00E131D4">
        <w:rPr>
          <w:rFonts w:cs="Arial"/>
          <w:b/>
          <w:iCs/>
        </w:rPr>
        <w:t xml:space="preserve">Sheltered accommodation </w:t>
      </w:r>
      <w:r>
        <w:rPr>
          <w:rFonts w:cs="Arial"/>
          <w:iCs/>
        </w:rPr>
        <w:t>is usually a group of bungalows or flats and you have your own front door. Schemes usually have a manager/warden to arrange services and linked to a careline/alarm service;</w:t>
      </w:r>
    </w:p>
    <w:p w:rsidR="00537291" w:rsidRDefault="00537291" w:rsidP="00C76826">
      <w:pPr>
        <w:pStyle w:val="Maintext"/>
        <w:numPr>
          <w:ilvl w:val="2"/>
          <w:numId w:val="10"/>
        </w:numPr>
        <w:rPr>
          <w:rFonts w:cs="Arial"/>
          <w:iCs/>
        </w:rPr>
      </w:pPr>
      <w:r w:rsidRPr="00E131D4">
        <w:rPr>
          <w:rFonts w:cs="Arial"/>
          <w:b/>
          <w:iCs/>
        </w:rPr>
        <w:t xml:space="preserve">Extra Care Housing </w:t>
      </w:r>
      <w:r>
        <w:rPr>
          <w:rFonts w:cs="Arial"/>
          <w:iCs/>
        </w:rPr>
        <w:t>is designed with the needs of frailer older people in mind. It includes flats, bungalows and retirement villages. You have your own front door. Domestic support and personal care are available;</w:t>
      </w:r>
    </w:p>
    <w:p w:rsidR="00537291" w:rsidRPr="00E86F62" w:rsidRDefault="00537291" w:rsidP="00C76826">
      <w:pPr>
        <w:pStyle w:val="Maintext"/>
        <w:numPr>
          <w:ilvl w:val="2"/>
          <w:numId w:val="10"/>
        </w:numPr>
        <w:rPr>
          <w:rFonts w:cs="Arial"/>
          <w:b/>
          <w:iCs/>
        </w:rPr>
      </w:pPr>
      <w:r w:rsidRPr="00E131D4">
        <w:rPr>
          <w:rFonts w:cs="Arial"/>
          <w:b/>
          <w:iCs/>
        </w:rPr>
        <w:t>Residential Care Home</w:t>
      </w:r>
      <w:r>
        <w:rPr>
          <w:rFonts w:cs="Arial"/>
          <w:b/>
          <w:iCs/>
        </w:rPr>
        <w:t xml:space="preserve">s </w:t>
      </w:r>
      <w:r>
        <w:rPr>
          <w:rFonts w:cs="Arial"/>
          <w:iCs/>
        </w:rPr>
        <w:t>provide a bedroom and the use of a shared lounge with other residents. Personal care is provided – bathing, help dressing, meals etc.;</w:t>
      </w:r>
    </w:p>
    <w:p w:rsidR="00537291" w:rsidRPr="00537291" w:rsidRDefault="00537291" w:rsidP="00C76826">
      <w:pPr>
        <w:pStyle w:val="Maintext"/>
        <w:numPr>
          <w:ilvl w:val="2"/>
          <w:numId w:val="10"/>
        </w:numPr>
        <w:rPr>
          <w:rFonts w:cs="Arial"/>
          <w:b/>
          <w:iCs/>
        </w:rPr>
      </w:pPr>
      <w:r>
        <w:rPr>
          <w:rFonts w:cs="Arial"/>
          <w:b/>
          <w:iCs/>
        </w:rPr>
        <w:t xml:space="preserve">Co-housing </w:t>
      </w:r>
      <w:r w:rsidRPr="00E86F62">
        <w:rPr>
          <w:rFonts w:cs="Arial"/>
          <w:iCs/>
        </w:rPr>
        <w:t>is a home in a small community which shares facilities (e.g. laundry) and activi</w:t>
      </w:r>
      <w:r>
        <w:rPr>
          <w:rFonts w:cs="Arial"/>
          <w:iCs/>
        </w:rPr>
        <w:t>ties.</w:t>
      </w:r>
    </w:p>
    <w:p w:rsidR="00152E8A" w:rsidRDefault="00DC1481" w:rsidP="00DC1481">
      <w:pPr>
        <w:pStyle w:val="Maintext"/>
      </w:pPr>
      <w:r>
        <w:t>Th</w:t>
      </w:r>
      <w:r w:rsidR="00994400">
        <w:t>e majority of older people (</w:t>
      </w:r>
      <w:r w:rsidR="00C77314">
        <w:t>61.8</w:t>
      </w:r>
      <w:r>
        <w:t xml:space="preserve">%) want to stay in their own homes with help and support when needed and the vast majority are owner occupiers. </w:t>
      </w:r>
      <w:r w:rsidR="00152E8A">
        <w:t>There is a degree of interest in a variety of older persons’ accommodation</w:t>
      </w:r>
      <w:r>
        <w:t xml:space="preserve"> </w:t>
      </w:r>
      <w:r w:rsidR="00152E8A">
        <w:t xml:space="preserve">(Table </w:t>
      </w:r>
      <w:r w:rsidR="00D407F3">
        <w:t>4.28</w:t>
      </w:r>
      <w:r>
        <w:t>)</w:t>
      </w:r>
      <w:r w:rsidR="00152E8A">
        <w:t xml:space="preserve">, with </w:t>
      </w:r>
      <w:r w:rsidR="00C77314">
        <w:t>27.4</w:t>
      </w:r>
      <w:r w:rsidR="00994400">
        <w:t xml:space="preserve">% considering renting from the Council/Housing Association, </w:t>
      </w:r>
      <w:r w:rsidR="00C77314">
        <w:t>23.7</w:t>
      </w:r>
      <w:r w:rsidR="00994400">
        <w:t xml:space="preserve">% renting sheltered accommodation and </w:t>
      </w:r>
      <w:r w:rsidR="00C77314">
        <w:t>17.9</w:t>
      </w:r>
      <w:r w:rsidR="00994400">
        <w:t xml:space="preserve">% renting extra care </w:t>
      </w:r>
      <w:r w:rsidR="000B0F10">
        <w:t xml:space="preserve">housing. </w:t>
      </w:r>
      <w:r w:rsidR="00994400">
        <w:t xml:space="preserve">Additionally </w:t>
      </w:r>
      <w:r w:rsidR="00C77314">
        <w:t>19.1</w:t>
      </w:r>
      <w:r w:rsidR="00994400">
        <w:t xml:space="preserve">% are considering buying on the open market. </w:t>
      </w:r>
      <w:r w:rsidR="00152E8A">
        <w:t xml:space="preserve">This evidence suggests a need to continue to diversify the range of older persons’ housing provision. Additionally, providing a wider range of older persons’ accommodation has the potential to free-up larger family accommodation. </w:t>
      </w:r>
    </w:p>
    <w:p w:rsidR="00152E8A" w:rsidRDefault="00152E8A" w:rsidP="00DC1481">
      <w:pPr>
        <w:pStyle w:val="Maintext"/>
        <w:numPr>
          <w:ilvl w:val="0"/>
          <w:numId w:val="0"/>
        </w:numPr>
        <w:ind w:left="709"/>
        <w:rPr>
          <w:iCs/>
        </w:rPr>
      </w:pPr>
    </w:p>
    <w:p w:rsidR="00DC1481" w:rsidRPr="00096915" w:rsidRDefault="00DC1481" w:rsidP="00096915">
      <w:pPr>
        <w:spacing w:before="0" w:after="0"/>
        <w:ind w:firstLine="709"/>
        <w:rPr>
          <w:b/>
          <w:iCs/>
        </w:rPr>
      </w:pPr>
      <w:r w:rsidRPr="00DC1481">
        <w:rPr>
          <w:b/>
          <w:iCs/>
        </w:rPr>
        <w:t>Table 4.2</w:t>
      </w:r>
      <w:r w:rsidR="00D407F3">
        <w:rPr>
          <w:b/>
          <w:iCs/>
        </w:rPr>
        <w:t>8</w:t>
      </w:r>
      <w:r>
        <w:rPr>
          <w:iCs/>
        </w:rPr>
        <w:tab/>
        <w:t xml:space="preserve">Older persons’ housing options </w:t>
      </w:r>
    </w:p>
    <w:tbl>
      <w:tblPr>
        <w:tblW w:w="6995" w:type="dxa"/>
        <w:tblInd w:w="720" w:type="dxa"/>
        <w:tblLook w:val="04A0" w:firstRow="1" w:lastRow="0" w:firstColumn="1" w:lastColumn="0" w:noHBand="0" w:noVBand="1"/>
      </w:tblPr>
      <w:tblGrid>
        <w:gridCol w:w="4795"/>
        <w:gridCol w:w="2200"/>
      </w:tblGrid>
      <w:tr w:rsidR="00D407F3" w:rsidRPr="00D407F3" w:rsidTr="00D407F3">
        <w:trPr>
          <w:trHeight w:val="300"/>
        </w:trPr>
        <w:tc>
          <w:tcPr>
            <w:tcW w:w="4795"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D407F3" w:rsidRPr="00D407F3" w:rsidRDefault="00D407F3" w:rsidP="00D407F3">
            <w:pPr>
              <w:spacing w:before="0" w:after="0"/>
              <w:rPr>
                <w:rFonts w:cs="Arial"/>
                <w:b/>
                <w:bCs/>
                <w:color w:val="FFFFFF"/>
                <w:sz w:val="22"/>
                <w:szCs w:val="22"/>
                <w:lang w:eastAsia="en-GB"/>
              </w:rPr>
            </w:pPr>
            <w:r w:rsidRPr="00D407F3">
              <w:rPr>
                <w:rFonts w:cs="Arial"/>
                <w:b/>
                <w:bCs/>
                <w:color w:val="FFFFFF"/>
                <w:sz w:val="22"/>
                <w:szCs w:val="22"/>
                <w:lang w:eastAsia="en-GB"/>
              </w:rPr>
              <w:t>Housing option</w:t>
            </w:r>
          </w:p>
        </w:tc>
        <w:tc>
          <w:tcPr>
            <w:tcW w:w="2200" w:type="dxa"/>
            <w:tcBorders>
              <w:top w:val="single" w:sz="4" w:space="0" w:color="auto"/>
              <w:left w:val="nil"/>
              <w:bottom w:val="single" w:sz="4" w:space="0" w:color="auto"/>
              <w:right w:val="single" w:sz="4" w:space="0" w:color="auto"/>
            </w:tcBorders>
            <w:shd w:val="clear" w:color="000000" w:fill="008080"/>
            <w:noWrap/>
            <w:vAlign w:val="bottom"/>
            <w:hideMark/>
          </w:tcPr>
          <w:p w:rsidR="00D407F3" w:rsidRPr="00D407F3" w:rsidRDefault="00D407F3" w:rsidP="00D407F3">
            <w:pPr>
              <w:spacing w:before="0" w:after="0"/>
              <w:jc w:val="center"/>
              <w:rPr>
                <w:rFonts w:cs="Arial"/>
                <w:b/>
                <w:bCs/>
                <w:color w:val="FFFFFF"/>
                <w:sz w:val="22"/>
                <w:szCs w:val="22"/>
                <w:lang w:eastAsia="en-GB"/>
              </w:rPr>
            </w:pPr>
            <w:r w:rsidRPr="00D407F3">
              <w:rPr>
                <w:rFonts w:cs="Arial"/>
                <w:b/>
                <w:bCs/>
                <w:color w:val="FFFFFF"/>
                <w:sz w:val="22"/>
                <w:szCs w:val="22"/>
                <w:lang w:eastAsia="en-GB"/>
              </w:rPr>
              <w:t>% would consider*</w:t>
            </w:r>
          </w:p>
        </w:tc>
      </w:tr>
      <w:tr w:rsidR="00D407F3" w:rsidRPr="00D407F3" w:rsidTr="00D407F3">
        <w:trPr>
          <w:trHeight w:val="570"/>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Continue to live in current home with support when needed</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61.8</w:t>
            </w:r>
          </w:p>
        </w:tc>
      </w:tr>
      <w:tr w:rsidR="00D407F3" w:rsidRPr="00D407F3" w:rsidTr="00D407F3">
        <w:trPr>
          <w:trHeight w:val="360"/>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Buying a property on the open market</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19.1</w:t>
            </w:r>
          </w:p>
        </w:tc>
      </w:tr>
      <w:tr w:rsidR="00D407F3" w:rsidRPr="00D407F3" w:rsidTr="00096915">
        <w:trPr>
          <w:trHeight w:val="267"/>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Rent a property from a private landlord</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5.8</w:t>
            </w:r>
          </w:p>
        </w:tc>
      </w:tr>
      <w:tr w:rsidR="00D407F3" w:rsidRPr="00D407F3" w:rsidTr="00096915">
        <w:trPr>
          <w:trHeight w:val="285"/>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Rent from Council / Housing Association</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27.4</w:t>
            </w:r>
          </w:p>
        </w:tc>
      </w:tr>
      <w:tr w:rsidR="00D407F3" w:rsidRPr="00D407F3" w:rsidTr="00096915">
        <w:trPr>
          <w:trHeight w:val="276"/>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Rent Sheltered accommodation</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23.7</w:t>
            </w:r>
          </w:p>
        </w:tc>
      </w:tr>
      <w:tr w:rsidR="00D407F3" w:rsidRPr="00D407F3" w:rsidTr="00D407F3">
        <w:trPr>
          <w:trHeight w:val="360"/>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Buy Sheltered accommodation</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8.9</w:t>
            </w:r>
          </w:p>
        </w:tc>
      </w:tr>
      <w:tr w:rsidR="00D407F3" w:rsidRPr="00D407F3" w:rsidTr="00096915">
        <w:trPr>
          <w:trHeight w:val="343"/>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Part rent &amp; buy Sheltered accommodation</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4.2</w:t>
            </w:r>
          </w:p>
        </w:tc>
      </w:tr>
      <w:tr w:rsidR="00D407F3" w:rsidRPr="00D407F3" w:rsidTr="00D407F3">
        <w:trPr>
          <w:trHeight w:val="285"/>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Rent Extra Care Housing</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17.9</w:t>
            </w:r>
          </w:p>
        </w:tc>
      </w:tr>
      <w:tr w:rsidR="00D407F3" w:rsidRPr="00D407F3" w:rsidTr="00D407F3">
        <w:trPr>
          <w:trHeight w:val="285"/>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Buy Extra Care Housing</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6.1</w:t>
            </w:r>
          </w:p>
        </w:tc>
      </w:tr>
      <w:tr w:rsidR="00D407F3" w:rsidRPr="00D407F3" w:rsidTr="00D407F3">
        <w:trPr>
          <w:trHeight w:val="345"/>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Part rent &amp; buy Extra Care Housing</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3.4</w:t>
            </w:r>
          </w:p>
        </w:tc>
      </w:tr>
      <w:tr w:rsidR="00D407F3" w:rsidRPr="00D407F3" w:rsidTr="00D407F3">
        <w:trPr>
          <w:trHeight w:val="285"/>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Residential care home</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4.4</w:t>
            </w:r>
          </w:p>
        </w:tc>
      </w:tr>
      <w:tr w:rsidR="00D407F3" w:rsidRPr="00D407F3" w:rsidTr="00D407F3">
        <w:trPr>
          <w:trHeight w:val="285"/>
        </w:trPr>
        <w:tc>
          <w:tcPr>
            <w:tcW w:w="4795" w:type="dxa"/>
            <w:tcBorders>
              <w:top w:val="nil"/>
              <w:left w:val="single" w:sz="4" w:space="0" w:color="auto"/>
              <w:bottom w:val="single" w:sz="4" w:space="0" w:color="auto"/>
              <w:right w:val="single" w:sz="4" w:space="0" w:color="auto"/>
            </w:tcBorders>
            <w:shd w:val="clear" w:color="auto" w:fill="auto"/>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Co-housing</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9.2</w:t>
            </w:r>
          </w:p>
        </w:tc>
      </w:tr>
      <w:tr w:rsidR="00D407F3" w:rsidRPr="00D407F3" w:rsidTr="00D407F3">
        <w:trPr>
          <w:trHeight w:val="285"/>
        </w:trPr>
        <w:tc>
          <w:tcPr>
            <w:tcW w:w="4795" w:type="dxa"/>
            <w:tcBorders>
              <w:top w:val="nil"/>
              <w:left w:val="single" w:sz="4" w:space="0" w:color="auto"/>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rPr>
                <w:rFonts w:cs="Arial"/>
                <w:color w:val="000000"/>
                <w:sz w:val="22"/>
                <w:szCs w:val="22"/>
                <w:lang w:eastAsia="en-GB"/>
              </w:rPr>
            </w:pPr>
            <w:r w:rsidRPr="00D407F3">
              <w:rPr>
                <w:rFonts w:cs="Arial"/>
                <w:color w:val="000000"/>
                <w:sz w:val="22"/>
                <w:szCs w:val="22"/>
                <w:lang w:eastAsia="en-GB"/>
              </w:rPr>
              <w:t>Base: 68,106 households responding to question</w:t>
            </w:r>
          </w:p>
        </w:tc>
        <w:tc>
          <w:tcPr>
            <w:tcW w:w="2200" w:type="dxa"/>
            <w:tcBorders>
              <w:top w:val="nil"/>
              <w:left w:val="nil"/>
              <w:bottom w:val="single" w:sz="4" w:space="0" w:color="auto"/>
              <w:right w:val="single" w:sz="4" w:space="0" w:color="auto"/>
            </w:tcBorders>
            <w:shd w:val="clear" w:color="auto" w:fill="auto"/>
            <w:noWrap/>
            <w:vAlign w:val="bottom"/>
            <w:hideMark/>
          </w:tcPr>
          <w:p w:rsidR="00D407F3" w:rsidRPr="00D407F3" w:rsidRDefault="00D407F3" w:rsidP="00D407F3">
            <w:pPr>
              <w:spacing w:before="0" w:after="0"/>
              <w:jc w:val="center"/>
              <w:rPr>
                <w:rFonts w:cs="Arial"/>
                <w:sz w:val="20"/>
                <w:szCs w:val="20"/>
                <w:lang w:eastAsia="en-GB"/>
              </w:rPr>
            </w:pPr>
            <w:r w:rsidRPr="00D407F3">
              <w:rPr>
                <w:rFonts w:cs="Arial"/>
                <w:sz w:val="20"/>
                <w:szCs w:val="20"/>
                <w:lang w:eastAsia="en-GB"/>
              </w:rPr>
              <w:t> </w:t>
            </w:r>
          </w:p>
        </w:tc>
      </w:tr>
    </w:tbl>
    <w:p w:rsidR="00994400" w:rsidRDefault="00994400" w:rsidP="00C77314">
      <w:pPr>
        <w:pStyle w:val="BodyTextIndent"/>
        <w:numPr>
          <w:ilvl w:val="0"/>
          <w:numId w:val="0"/>
        </w:numPr>
        <w:ind w:firstLine="709"/>
        <w:rPr>
          <w:rFonts w:cs="Arial"/>
          <w:sz w:val="20"/>
          <w:szCs w:val="20"/>
        </w:rPr>
      </w:pPr>
      <w:r w:rsidRPr="008D4CBD">
        <w:rPr>
          <w:rFonts w:cs="Arial"/>
          <w:sz w:val="20"/>
          <w:szCs w:val="20"/>
        </w:rPr>
        <w:t>*Percentages don't add up to 100 as respondents could select more than one option</w:t>
      </w:r>
      <w:r w:rsidRPr="008D4CBD">
        <w:rPr>
          <w:rFonts w:cs="Arial"/>
          <w:sz w:val="20"/>
          <w:szCs w:val="20"/>
        </w:rPr>
        <w:tab/>
      </w:r>
    </w:p>
    <w:p w:rsidR="00994400" w:rsidRPr="008D4CBD" w:rsidRDefault="00994400" w:rsidP="00C77314">
      <w:pPr>
        <w:pStyle w:val="BodyTextIndent"/>
        <w:numPr>
          <w:ilvl w:val="0"/>
          <w:numId w:val="0"/>
        </w:numPr>
        <w:ind w:firstLine="709"/>
        <w:rPr>
          <w:rFonts w:cs="Arial"/>
          <w:sz w:val="20"/>
          <w:szCs w:val="20"/>
        </w:rPr>
      </w:pPr>
      <w:r>
        <w:rPr>
          <w:rFonts w:cs="Arial"/>
          <w:sz w:val="20"/>
          <w:szCs w:val="20"/>
        </w:rPr>
        <w:t>Source: 2012</w:t>
      </w:r>
      <w:r w:rsidRPr="008D4CBD">
        <w:rPr>
          <w:rFonts w:cs="Arial"/>
          <w:sz w:val="20"/>
          <w:szCs w:val="20"/>
        </w:rPr>
        <w:t xml:space="preserve"> Household Survey</w:t>
      </w:r>
      <w:r w:rsidR="002E624C">
        <w:rPr>
          <w:rFonts w:cs="Arial"/>
          <w:sz w:val="20"/>
          <w:szCs w:val="20"/>
        </w:rPr>
        <w:t>, rebased to 2011 Census</w:t>
      </w:r>
    </w:p>
    <w:p w:rsidR="00994400" w:rsidRDefault="00994400" w:rsidP="00994400">
      <w:pPr>
        <w:pStyle w:val="Maintext"/>
        <w:numPr>
          <w:ilvl w:val="0"/>
          <w:numId w:val="0"/>
        </w:numPr>
        <w:ind w:left="992"/>
        <w:rPr>
          <w:iCs/>
        </w:rPr>
      </w:pPr>
    </w:p>
    <w:p w:rsidR="00096915" w:rsidRDefault="00096915" w:rsidP="00994400">
      <w:pPr>
        <w:pStyle w:val="Maintext"/>
        <w:numPr>
          <w:ilvl w:val="0"/>
          <w:numId w:val="0"/>
        </w:numPr>
        <w:ind w:left="992"/>
        <w:rPr>
          <w:iCs/>
        </w:rPr>
      </w:pPr>
    </w:p>
    <w:p w:rsidR="00F25D4D" w:rsidRDefault="00F25D4D" w:rsidP="00F25D4D">
      <w:pPr>
        <w:ind w:left="709"/>
        <w:rPr>
          <w:b/>
        </w:rPr>
      </w:pPr>
      <w:r>
        <w:rPr>
          <w:b/>
        </w:rPr>
        <w:t>Specialist support requirements</w:t>
      </w:r>
    </w:p>
    <w:p w:rsidR="00BE4B05" w:rsidRDefault="00BE4B05" w:rsidP="00BE4B05">
      <w:pPr>
        <w:pStyle w:val="Maintext"/>
        <w:rPr>
          <w:lang w:val="en-US"/>
        </w:rPr>
      </w:pPr>
      <w:r>
        <w:rPr>
          <w:lang w:val="en-US"/>
        </w:rPr>
        <w:t xml:space="preserve">Stakeholders working with vulnerable groups raised concerns about the impact of funding changes, in particular cuts to levels of revenue support, which were a significant cause for concern, with funding cuts leading directly to cuts in support. </w:t>
      </w:r>
    </w:p>
    <w:p w:rsidR="00BE4B05" w:rsidRDefault="00BE4B05" w:rsidP="00BE4B05">
      <w:pPr>
        <w:pStyle w:val="Maintext"/>
        <w:rPr>
          <w:lang w:val="en-US"/>
        </w:rPr>
      </w:pPr>
      <w:r>
        <w:rPr>
          <w:lang w:val="en-US"/>
        </w:rPr>
        <w:t xml:space="preserve">Concerns were also raised that by pooling resources to enable delivery of new provision, providers were reverting to ‘old style’ large scale provision, reducing independent living. </w:t>
      </w:r>
    </w:p>
    <w:p w:rsidR="00BE4B05" w:rsidRDefault="00BE4B05" w:rsidP="00BE4B05">
      <w:pPr>
        <w:pStyle w:val="Maintext"/>
        <w:rPr>
          <w:lang w:val="en-US"/>
        </w:rPr>
      </w:pPr>
      <w:r>
        <w:rPr>
          <w:lang w:val="en-US"/>
        </w:rPr>
        <w:t xml:space="preserve">Increased incidences of domestic violence were reported, as were increased use of support service by young people and a rise in the number of people presenting with complex needs. </w:t>
      </w:r>
    </w:p>
    <w:p w:rsidR="00BE4B05" w:rsidRDefault="00BE4B05" w:rsidP="00BE4B05">
      <w:pPr>
        <w:pStyle w:val="Maintext"/>
        <w:rPr>
          <w:lang w:val="en-US"/>
        </w:rPr>
      </w:pPr>
      <w:r>
        <w:rPr>
          <w:lang w:val="en-US"/>
        </w:rPr>
        <w:t>Stakeholders working in supported housing identified the following challenges:</w:t>
      </w:r>
    </w:p>
    <w:p w:rsidR="00BE4B05" w:rsidRDefault="00BE4B05" w:rsidP="00BE4B05">
      <w:pPr>
        <w:pStyle w:val="Maintext"/>
        <w:numPr>
          <w:ilvl w:val="2"/>
          <w:numId w:val="10"/>
        </w:numPr>
        <w:rPr>
          <w:lang w:val="en-US"/>
        </w:rPr>
      </w:pPr>
      <w:r>
        <w:rPr>
          <w:lang w:val="en-US"/>
        </w:rPr>
        <w:t>Uncertainty over funding;</w:t>
      </w:r>
    </w:p>
    <w:p w:rsidR="00BE4B05" w:rsidRDefault="00BE4B05" w:rsidP="00BE4B05">
      <w:pPr>
        <w:pStyle w:val="Maintext"/>
        <w:numPr>
          <w:ilvl w:val="2"/>
          <w:numId w:val="10"/>
        </w:numPr>
        <w:rPr>
          <w:lang w:val="en-US"/>
        </w:rPr>
      </w:pPr>
      <w:r>
        <w:rPr>
          <w:lang w:val="en-US"/>
        </w:rPr>
        <w:t>Impact of the affordable rent programme;</w:t>
      </w:r>
    </w:p>
    <w:p w:rsidR="00BE4B05" w:rsidRDefault="00BE4B05" w:rsidP="00BE4B05">
      <w:pPr>
        <w:pStyle w:val="Maintext"/>
        <w:numPr>
          <w:ilvl w:val="2"/>
          <w:numId w:val="10"/>
        </w:numPr>
        <w:rPr>
          <w:lang w:val="en-US"/>
        </w:rPr>
      </w:pPr>
      <w:r>
        <w:rPr>
          <w:lang w:val="en-US"/>
        </w:rPr>
        <w:t>Lack of move on accommodation for single households;</w:t>
      </w:r>
    </w:p>
    <w:p w:rsidR="00BE4B05" w:rsidRDefault="00BE4B05" w:rsidP="00BE4B05">
      <w:pPr>
        <w:pStyle w:val="Maintext"/>
        <w:numPr>
          <w:ilvl w:val="2"/>
          <w:numId w:val="10"/>
        </w:numPr>
        <w:rPr>
          <w:lang w:val="en-US"/>
        </w:rPr>
      </w:pPr>
      <w:r>
        <w:rPr>
          <w:lang w:val="en-US"/>
        </w:rPr>
        <w:t>Lack of funding for support and adaptations;</w:t>
      </w:r>
    </w:p>
    <w:p w:rsidR="00BE4B05" w:rsidRDefault="00BE4B05" w:rsidP="00BE4B05">
      <w:pPr>
        <w:pStyle w:val="Maintext"/>
        <w:numPr>
          <w:ilvl w:val="2"/>
          <w:numId w:val="10"/>
        </w:numPr>
        <w:rPr>
          <w:lang w:val="en-US"/>
        </w:rPr>
      </w:pPr>
      <w:r>
        <w:rPr>
          <w:lang w:val="en-US"/>
        </w:rPr>
        <w:t xml:space="preserve">Lack of specialist provision for older people with additional complex needs; </w:t>
      </w:r>
    </w:p>
    <w:p w:rsidR="00BE4B05" w:rsidRDefault="00BE4B05" w:rsidP="00BE4B05">
      <w:pPr>
        <w:pStyle w:val="Maintext"/>
        <w:numPr>
          <w:ilvl w:val="2"/>
          <w:numId w:val="10"/>
        </w:numPr>
        <w:rPr>
          <w:lang w:val="en-US"/>
        </w:rPr>
      </w:pPr>
      <w:r>
        <w:rPr>
          <w:lang w:val="en-US"/>
        </w:rPr>
        <w:t xml:space="preserve">Extra care; and </w:t>
      </w:r>
    </w:p>
    <w:p w:rsidR="00BE4B05" w:rsidRDefault="00BE4B05" w:rsidP="00BE4B05">
      <w:pPr>
        <w:pStyle w:val="Maintext"/>
        <w:numPr>
          <w:ilvl w:val="2"/>
          <w:numId w:val="10"/>
        </w:numPr>
        <w:rPr>
          <w:lang w:val="en-US"/>
        </w:rPr>
      </w:pPr>
      <w:r>
        <w:rPr>
          <w:lang w:val="en-US"/>
        </w:rPr>
        <w:t xml:space="preserve">Independent living. </w:t>
      </w:r>
    </w:p>
    <w:p w:rsidR="00BE4B05" w:rsidRDefault="00BE4B05" w:rsidP="00BE4B05">
      <w:pPr>
        <w:pStyle w:val="Maintext"/>
        <w:rPr>
          <w:lang w:val="en-US"/>
        </w:rPr>
      </w:pPr>
      <w:r>
        <w:rPr>
          <w:lang w:val="en-US"/>
        </w:rPr>
        <w:t>Key messages from stakeholders in this area include:</w:t>
      </w:r>
    </w:p>
    <w:p w:rsidR="00BE4B05" w:rsidRDefault="00BE4B05" w:rsidP="00BE4B05">
      <w:pPr>
        <w:pStyle w:val="Maintext"/>
        <w:numPr>
          <w:ilvl w:val="2"/>
          <w:numId w:val="10"/>
        </w:numPr>
        <w:rPr>
          <w:lang w:val="en-US"/>
        </w:rPr>
      </w:pPr>
      <w:r>
        <w:rPr>
          <w:lang w:val="en-US"/>
        </w:rPr>
        <w:t>The need for some certainty around funding and support for innovation around new provision;</w:t>
      </w:r>
    </w:p>
    <w:p w:rsidR="00BE4B05" w:rsidRDefault="00BE4B05" w:rsidP="00BE4B05">
      <w:pPr>
        <w:pStyle w:val="Maintext"/>
        <w:numPr>
          <w:ilvl w:val="2"/>
          <w:numId w:val="10"/>
        </w:numPr>
        <w:rPr>
          <w:lang w:val="en-US"/>
        </w:rPr>
      </w:pPr>
      <w:r>
        <w:rPr>
          <w:lang w:val="en-US"/>
        </w:rPr>
        <w:t xml:space="preserve">Better planning for the needs of older people, and better joint working between social services, the NHS and providers; </w:t>
      </w:r>
    </w:p>
    <w:p w:rsidR="00BE4B05" w:rsidRDefault="00BE4B05" w:rsidP="00BE4B05">
      <w:pPr>
        <w:pStyle w:val="Maintext"/>
        <w:numPr>
          <w:ilvl w:val="2"/>
          <w:numId w:val="10"/>
        </w:numPr>
        <w:rPr>
          <w:lang w:val="en-US"/>
        </w:rPr>
      </w:pPr>
      <w:r>
        <w:rPr>
          <w:lang w:val="en-US"/>
        </w:rPr>
        <w:t xml:space="preserve">More provision for single people and couples; and </w:t>
      </w:r>
    </w:p>
    <w:p w:rsidR="00BE4B05" w:rsidRPr="00BE4B05" w:rsidRDefault="00BE4B05" w:rsidP="00BE4B05">
      <w:pPr>
        <w:pStyle w:val="Maintext"/>
        <w:numPr>
          <w:ilvl w:val="2"/>
          <w:numId w:val="10"/>
        </w:numPr>
        <w:rPr>
          <w:lang w:val="en-US"/>
        </w:rPr>
      </w:pPr>
      <w:r>
        <w:rPr>
          <w:lang w:val="en-US"/>
        </w:rPr>
        <w:t xml:space="preserve">Specialist provision that is integrated into mainstream development. </w:t>
      </w:r>
    </w:p>
    <w:p w:rsidR="00F25D4D" w:rsidRDefault="00DA0513" w:rsidP="00F25D4D">
      <w:pPr>
        <w:pStyle w:val="Maintext"/>
      </w:pPr>
      <w:r>
        <w:t>The Council has</w:t>
      </w:r>
      <w:r w:rsidR="00F25D4D">
        <w:t xml:space="preserve"> a particular responsibility to ensure that there is adequate accommodation and support provision for a range of specialist client requirements e.g. domestic violence, HIV/Aids, Offending/Ex-Offending and Teenage Pregnancy.</w:t>
      </w:r>
    </w:p>
    <w:p w:rsidR="00994400" w:rsidRPr="00587C16" w:rsidRDefault="00D407F3" w:rsidP="00587C16">
      <w:pPr>
        <w:pStyle w:val="Maintext"/>
      </w:pPr>
      <w:r>
        <w:t>Table 4.29</w:t>
      </w:r>
      <w:r w:rsidR="00F25D4D">
        <w:t xml:space="preserve"> summarises the type of client groups accommodated in social rented housing across </w:t>
      </w:r>
      <w:r w:rsidR="00587C16">
        <w:t>County Durham</w:t>
      </w:r>
      <w:r w:rsidR="00F25D4D">
        <w:t xml:space="preserve"> over the </w:t>
      </w:r>
      <w:r w:rsidR="00530CCD">
        <w:t>four</w:t>
      </w:r>
      <w:r w:rsidR="00F25D4D">
        <w:t xml:space="preserve"> year period 2008/</w:t>
      </w:r>
      <w:r w:rsidR="00530CCD">
        <w:t>0</w:t>
      </w:r>
      <w:r w:rsidR="00F25D4D">
        <w:t xml:space="preserve">9 to </w:t>
      </w:r>
      <w:r w:rsidR="00530CCD">
        <w:t>2011/12</w:t>
      </w:r>
      <w:r w:rsidR="00F25D4D">
        <w:t>. Data indicates that a range of groups are accommodated in R</w:t>
      </w:r>
      <w:r w:rsidR="00F25D4D" w:rsidRPr="003C4138">
        <w:t>SL specialist provision</w:t>
      </w:r>
      <w:r w:rsidR="00F25D4D">
        <w:t xml:space="preserve">, most notably older people with support needs, </w:t>
      </w:r>
      <w:r w:rsidR="00587C16">
        <w:t xml:space="preserve">people with physical or sensory disabilities and young people leaving care. </w:t>
      </w:r>
    </w:p>
    <w:p w:rsidR="00994400" w:rsidRDefault="00994400" w:rsidP="00F25D4D">
      <w:pPr>
        <w:pStyle w:val="Maintext"/>
        <w:numPr>
          <w:ilvl w:val="0"/>
          <w:numId w:val="0"/>
        </w:numPr>
        <w:ind w:left="709"/>
        <w:rPr>
          <w:i/>
        </w:rPr>
      </w:pPr>
    </w:p>
    <w:p w:rsidR="00096915" w:rsidRDefault="00096915" w:rsidP="00F25D4D">
      <w:pPr>
        <w:pStyle w:val="Maintext"/>
        <w:numPr>
          <w:ilvl w:val="0"/>
          <w:numId w:val="0"/>
        </w:numPr>
        <w:ind w:left="709"/>
        <w:rPr>
          <w:i/>
        </w:rPr>
      </w:pPr>
    </w:p>
    <w:p w:rsidR="00096915" w:rsidRDefault="00096915" w:rsidP="00F25D4D">
      <w:pPr>
        <w:pStyle w:val="Maintext"/>
        <w:numPr>
          <w:ilvl w:val="0"/>
          <w:numId w:val="0"/>
        </w:numPr>
        <w:ind w:left="709"/>
        <w:rPr>
          <w:i/>
        </w:rPr>
      </w:pPr>
    </w:p>
    <w:p w:rsidR="00096915" w:rsidRDefault="00096915" w:rsidP="00F25D4D">
      <w:pPr>
        <w:pStyle w:val="Maintext"/>
        <w:numPr>
          <w:ilvl w:val="0"/>
          <w:numId w:val="0"/>
        </w:numPr>
        <w:ind w:left="709"/>
        <w:rPr>
          <w:i/>
        </w:rPr>
      </w:pPr>
    </w:p>
    <w:p w:rsidR="00096915" w:rsidRDefault="00096915" w:rsidP="00F25D4D">
      <w:pPr>
        <w:pStyle w:val="Maintext"/>
        <w:numPr>
          <w:ilvl w:val="0"/>
          <w:numId w:val="0"/>
        </w:numPr>
        <w:ind w:left="709"/>
        <w:rPr>
          <w:i/>
        </w:rPr>
      </w:pPr>
    </w:p>
    <w:p w:rsidR="00CD1ECC" w:rsidRDefault="005C602E" w:rsidP="00C77314">
      <w:pPr>
        <w:pStyle w:val="Maintext"/>
        <w:numPr>
          <w:ilvl w:val="0"/>
          <w:numId w:val="0"/>
        </w:numPr>
        <w:spacing w:before="0" w:after="0"/>
        <w:ind w:left="720"/>
      </w:pPr>
      <w:r>
        <w:rPr>
          <w:b/>
        </w:rPr>
        <w:t>Tabl</w:t>
      </w:r>
      <w:r w:rsidR="00D407F3">
        <w:rPr>
          <w:b/>
        </w:rPr>
        <w:t>e 4.29</w:t>
      </w:r>
      <w:r w:rsidR="00F25D4D">
        <w:rPr>
          <w:b/>
        </w:rPr>
        <w:tab/>
      </w:r>
      <w:r w:rsidR="00F25D4D">
        <w:t xml:space="preserve">Client groups accommodated in </w:t>
      </w:r>
      <w:r w:rsidR="00587C16">
        <w:t xml:space="preserve">social rented sector in County </w:t>
      </w:r>
    </w:p>
    <w:p w:rsidR="00F25D4D" w:rsidRDefault="00587C16" w:rsidP="00C77314">
      <w:pPr>
        <w:pStyle w:val="Maintext"/>
        <w:numPr>
          <w:ilvl w:val="0"/>
          <w:numId w:val="0"/>
        </w:numPr>
        <w:spacing w:before="0" w:after="0"/>
        <w:ind w:left="1440" w:firstLine="720"/>
      </w:pPr>
      <w:r>
        <w:t xml:space="preserve">Durham </w:t>
      </w:r>
      <w:r w:rsidR="00F25D4D">
        <w:t>2008/</w:t>
      </w:r>
      <w:r w:rsidR="00C77314">
        <w:t>0</w:t>
      </w:r>
      <w:r w:rsidR="00F25D4D">
        <w:t xml:space="preserve">9 to </w:t>
      </w:r>
      <w:r w:rsidR="00C77314">
        <w:t>2011/12</w:t>
      </w:r>
    </w:p>
    <w:tbl>
      <w:tblPr>
        <w:tblW w:w="5625" w:type="dxa"/>
        <w:tblInd w:w="720" w:type="dxa"/>
        <w:tblLook w:val="04A0" w:firstRow="1" w:lastRow="0" w:firstColumn="1" w:lastColumn="0" w:noHBand="0" w:noVBand="1"/>
      </w:tblPr>
      <w:tblGrid>
        <w:gridCol w:w="4350"/>
        <w:gridCol w:w="1275"/>
      </w:tblGrid>
      <w:tr w:rsidR="00587C16" w:rsidRPr="00587C16" w:rsidTr="00C77314">
        <w:trPr>
          <w:trHeight w:val="525"/>
        </w:trPr>
        <w:tc>
          <w:tcPr>
            <w:tcW w:w="4350" w:type="dxa"/>
            <w:tcBorders>
              <w:top w:val="single" w:sz="4" w:space="0" w:color="auto"/>
              <w:left w:val="single" w:sz="4" w:space="0" w:color="auto"/>
              <w:bottom w:val="single" w:sz="4" w:space="0" w:color="auto"/>
              <w:right w:val="single" w:sz="4" w:space="0" w:color="auto"/>
            </w:tcBorders>
            <w:shd w:val="clear" w:color="000000" w:fill="008080"/>
            <w:noWrap/>
            <w:vAlign w:val="center"/>
            <w:hideMark/>
          </w:tcPr>
          <w:p w:rsidR="00587C16" w:rsidRPr="00587C16" w:rsidRDefault="00587C16" w:rsidP="00587C16">
            <w:pPr>
              <w:spacing w:before="0" w:after="0"/>
              <w:rPr>
                <w:rFonts w:cs="Arial"/>
                <w:b/>
                <w:bCs/>
                <w:color w:val="FFFFFF"/>
                <w:sz w:val="20"/>
                <w:szCs w:val="20"/>
                <w:lang w:eastAsia="en-GB"/>
              </w:rPr>
            </w:pPr>
            <w:r w:rsidRPr="00587C16">
              <w:rPr>
                <w:rFonts w:cs="Arial"/>
                <w:b/>
                <w:bCs/>
                <w:color w:val="FFFFFF"/>
                <w:sz w:val="20"/>
                <w:szCs w:val="20"/>
                <w:lang w:eastAsia="en-GB"/>
              </w:rPr>
              <w:t>Client group</w:t>
            </w:r>
          </w:p>
        </w:tc>
        <w:tc>
          <w:tcPr>
            <w:tcW w:w="1275" w:type="dxa"/>
            <w:tcBorders>
              <w:top w:val="single" w:sz="4" w:space="0" w:color="auto"/>
              <w:left w:val="nil"/>
              <w:bottom w:val="single" w:sz="4" w:space="0" w:color="auto"/>
              <w:right w:val="single" w:sz="4" w:space="0" w:color="auto"/>
            </w:tcBorders>
            <w:shd w:val="clear" w:color="000000" w:fill="008080"/>
            <w:noWrap/>
            <w:vAlign w:val="center"/>
            <w:hideMark/>
          </w:tcPr>
          <w:p w:rsidR="00587C16" w:rsidRPr="00587C16" w:rsidRDefault="00587C16" w:rsidP="00587C16">
            <w:pPr>
              <w:spacing w:before="0" w:after="0"/>
              <w:jc w:val="center"/>
              <w:rPr>
                <w:rFonts w:cs="Arial"/>
                <w:b/>
                <w:bCs/>
                <w:color w:val="FFFFFF"/>
                <w:sz w:val="20"/>
                <w:szCs w:val="20"/>
                <w:lang w:eastAsia="en-GB"/>
              </w:rPr>
            </w:pPr>
            <w:r w:rsidRPr="00587C16">
              <w:rPr>
                <w:rFonts w:cs="Arial"/>
                <w:b/>
                <w:bCs/>
                <w:color w:val="FFFFFF"/>
                <w:sz w:val="20"/>
                <w:szCs w:val="20"/>
                <w:lang w:eastAsia="en-GB"/>
              </w:rPr>
              <w:t>Number</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People with physical or sensory disabilities</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305</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People with learning disabilities</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140</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People with mental health problems</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134</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Offenders and people at risk of offending</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121</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Women at risk of domestic violence</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118</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Older people with support needs</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2336</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Young people leaving care</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340</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Young people at risk</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108</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Teenage parents</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45</w:t>
            </w:r>
          </w:p>
        </w:tc>
      </w:tr>
      <w:tr w:rsidR="00C77314" w:rsidRPr="00587C16" w:rsidTr="00C77314">
        <w:trPr>
          <w:trHeight w:val="255"/>
        </w:trPr>
        <w:tc>
          <w:tcPr>
            <w:tcW w:w="4350" w:type="dxa"/>
            <w:tcBorders>
              <w:top w:val="nil"/>
              <w:left w:val="single" w:sz="4" w:space="0" w:color="auto"/>
              <w:bottom w:val="single" w:sz="4" w:space="0" w:color="auto"/>
              <w:right w:val="single" w:sz="4" w:space="0" w:color="auto"/>
            </w:tcBorders>
            <w:shd w:val="clear" w:color="auto" w:fill="auto"/>
            <w:noWrap/>
            <w:vAlign w:val="bottom"/>
            <w:hideMark/>
          </w:tcPr>
          <w:p w:rsidR="00C77314" w:rsidRPr="00587C16" w:rsidRDefault="00C77314" w:rsidP="00587C16">
            <w:pPr>
              <w:spacing w:before="0" w:after="0"/>
              <w:rPr>
                <w:rFonts w:cs="Arial"/>
                <w:sz w:val="20"/>
                <w:szCs w:val="20"/>
                <w:lang w:eastAsia="en-GB"/>
              </w:rPr>
            </w:pPr>
            <w:r w:rsidRPr="00587C16">
              <w:rPr>
                <w:rFonts w:cs="Arial"/>
                <w:sz w:val="20"/>
                <w:szCs w:val="20"/>
                <w:lang w:eastAsia="en-GB"/>
              </w:rPr>
              <w:t>Total</w:t>
            </w:r>
          </w:p>
        </w:tc>
        <w:tc>
          <w:tcPr>
            <w:tcW w:w="1275" w:type="dxa"/>
            <w:tcBorders>
              <w:top w:val="nil"/>
              <w:left w:val="nil"/>
              <w:bottom w:val="single" w:sz="4" w:space="0" w:color="auto"/>
              <w:right w:val="single" w:sz="4" w:space="0" w:color="auto"/>
            </w:tcBorders>
            <w:shd w:val="clear" w:color="auto" w:fill="auto"/>
            <w:noWrap/>
            <w:vAlign w:val="bottom"/>
            <w:hideMark/>
          </w:tcPr>
          <w:p w:rsidR="00C77314" w:rsidRDefault="00C77314" w:rsidP="00C77314">
            <w:pPr>
              <w:spacing w:before="0" w:after="0"/>
              <w:jc w:val="center"/>
              <w:rPr>
                <w:rFonts w:cs="Arial"/>
                <w:sz w:val="20"/>
                <w:szCs w:val="20"/>
              </w:rPr>
            </w:pPr>
            <w:r>
              <w:rPr>
                <w:rFonts w:cs="Arial"/>
                <w:sz w:val="20"/>
                <w:szCs w:val="20"/>
              </w:rPr>
              <w:t>3647</w:t>
            </w:r>
          </w:p>
        </w:tc>
      </w:tr>
    </w:tbl>
    <w:p w:rsidR="00F25D4D" w:rsidRPr="003C4138" w:rsidRDefault="00F25D4D" w:rsidP="00587C16">
      <w:pPr>
        <w:pStyle w:val="Maintext"/>
        <w:numPr>
          <w:ilvl w:val="0"/>
          <w:numId w:val="0"/>
        </w:numPr>
        <w:ind w:firstLine="709"/>
        <w:rPr>
          <w:sz w:val="20"/>
          <w:szCs w:val="20"/>
        </w:rPr>
      </w:pPr>
      <w:r>
        <w:rPr>
          <w:sz w:val="20"/>
          <w:szCs w:val="20"/>
        </w:rPr>
        <w:t>Source: S</w:t>
      </w:r>
      <w:r w:rsidRPr="003C4138">
        <w:rPr>
          <w:sz w:val="20"/>
          <w:szCs w:val="20"/>
        </w:rPr>
        <w:t>upported CORE lettings data</w:t>
      </w:r>
    </w:p>
    <w:p w:rsidR="00CD1ECC" w:rsidRDefault="00CD1ECC" w:rsidP="00C77314">
      <w:pPr>
        <w:pStyle w:val="Maintext"/>
        <w:numPr>
          <w:ilvl w:val="0"/>
          <w:numId w:val="0"/>
        </w:numPr>
        <w:jc w:val="left"/>
      </w:pPr>
    </w:p>
    <w:p w:rsidR="00F25D4D" w:rsidRDefault="00F25D4D" w:rsidP="00F25D4D">
      <w:pPr>
        <w:ind w:left="709"/>
        <w:rPr>
          <w:b/>
        </w:rPr>
      </w:pPr>
      <w:r>
        <w:rPr>
          <w:b/>
        </w:rPr>
        <w:t>Homeless households</w:t>
      </w:r>
    </w:p>
    <w:p w:rsidR="00F25D4D" w:rsidRDefault="00F25D4D" w:rsidP="00F25D4D">
      <w:pPr>
        <w:pStyle w:val="Maintext"/>
      </w:pPr>
      <w:r>
        <w:t xml:space="preserve">Homelessness </w:t>
      </w:r>
      <w:r>
        <w:rPr>
          <w:iCs/>
        </w:rPr>
        <w:t>statistics</w:t>
      </w:r>
      <w:r>
        <w:t xml:space="preserve"> for 201</w:t>
      </w:r>
      <w:r w:rsidR="00C77314">
        <w:t>1/12</w:t>
      </w:r>
      <w:r>
        <w:rPr>
          <w:rStyle w:val="FootnoteReference"/>
        </w:rPr>
        <w:footnoteReference w:id="24"/>
      </w:r>
      <w:r w:rsidR="00C77314">
        <w:t xml:space="preserve"> </w:t>
      </w:r>
      <w:r>
        <w:t>indicate that a total of</w:t>
      </w:r>
      <w:r w:rsidR="00587C16">
        <w:t xml:space="preserve"> 8</w:t>
      </w:r>
      <w:r w:rsidR="00C77314">
        <w:t>50</w:t>
      </w:r>
      <w:r>
        <w:t xml:space="preserve"> decisions were made on households declaring themselves as homeless</w:t>
      </w:r>
      <w:r w:rsidR="005C602E">
        <w:t xml:space="preserve"> across </w:t>
      </w:r>
      <w:r w:rsidR="00587C16">
        <w:t>County Durham (</w:t>
      </w:r>
      <w:r w:rsidR="005C602E">
        <w:t>Table</w:t>
      </w:r>
      <w:r w:rsidR="00D407F3">
        <w:t xml:space="preserve"> 4.30</w:t>
      </w:r>
      <w:r>
        <w:t xml:space="preserve">). Of these households, </w:t>
      </w:r>
      <w:r w:rsidR="00C77314">
        <w:t>425</w:t>
      </w:r>
      <w:r>
        <w:t xml:space="preserve"> were </w:t>
      </w:r>
      <w:r w:rsidR="00587C16">
        <w:t xml:space="preserve">accepted as homeless. </w:t>
      </w:r>
      <w:r>
        <w:t xml:space="preserve">Over the </w:t>
      </w:r>
      <w:r w:rsidR="00530CCD">
        <w:t>four</w:t>
      </w:r>
      <w:r>
        <w:t xml:space="preserve"> years 2008/</w:t>
      </w:r>
      <w:r w:rsidR="00530CCD">
        <w:t>0</w:t>
      </w:r>
      <w:r>
        <w:t>9</w:t>
      </w:r>
      <w:r w:rsidR="00530CCD">
        <w:t xml:space="preserve"> to 2011/12</w:t>
      </w:r>
      <w:r>
        <w:t xml:space="preserve">, an </w:t>
      </w:r>
      <w:r w:rsidR="00587C16">
        <w:t xml:space="preserve">annual </w:t>
      </w:r>
      <w:r>
        <w:t xml:space="preserve">average of </w:t>
      </w:r>
      <w:r w:rsidR="00530CCD">
        <w:t>803</w:t>
      </w:r>
      <w:r>
        <w:t xml:space="preserve"> decisions have been made across </w:t>
      </w:r>
      <w:r w:rsidR="00587C16">
        <w:t xml:space="preserve">County Durham and </w:t>
      </w:r>
      <w:r w:rsidR="00530CCD">
        <w:t>372</w:t>
      </w:r>
      <w:r>
        <w:t xml:space="preserve"> households have been declared as homeless and in priority need. </w:t>
      </w:r>
    </w:p>
    <w:p w:rsidR="00994400" w:rsidRDefault="00994400" w:rsidP="00994400">
      <w:pPr>
        <w:pStyle w:val="Maintext"/>
        <w:numPr>
          <w:ilvl w:val="0"/>
          <w:numId w:val="0"/>
        </w:numPr>
        <w:rPr>
          <w:b/>
        </w:rPr>
      </w:pPr>
    </w:p>
    <w:p w:rsidR="00F25D4D" w:rsidRDefault="00FA5DA6" w:rsidP="00DA0513">
      <w:pPr>
        <w:pStyle w:val="Maintext"/>
        <w:numPr>
          <w:ilvl w:val="0"/>
          <w:numId w:val="0"/>
        </w:numPr>
        <w:ind w:firstLine="709"/>
      </w:pPr>
      <w:r>
        <w:rPr>
          <w:b/>
        </w:rPr>
        <w:t xml:space="preserve">Table </w:t>
      </w:r>
      <w:r w:rsidR="00D407F3">
        <w:rPr>
          <w:b/>
        </w:rPr>
        <w:t>4.30</w:t>
      </w:r>
      <w:r w:rsidR="00F25D4D" w:rsidRPr="007E3D8E">
        <w:rPr>
          <w:b/>
        </w:rPr>
        <w:tab/>
      </w:r>
      <w:r w:rsidR="00F25D4D">
        <w:t>Homeless decisions and acc</w:t>
      </w:r>
      <w:r w:rsidR="00530CCD">
        <w:t>eptances 2008/09 to 2011/12</w:t>
      </w:r>
    </w:p>
    <w:tbl>
      <w:tblPr>
        <w:tblW w:w="7655" w:type="dxa"/>
        <w:tblInd w:w="817" w:type="dxa"/>
        <w:tblLook w:val="04A0" w:firstRow="1" w:lastRow="0" w:firstColumn="1" w:lastColumn="0" w:noHBand="0" w:noVBand="1"/>
      </w:tblPr>
      <w:tblGrid>
        <w:gridCol w:w="2059"/>
        <w:gridCol w:w="2761"/>
        <w:gridCol w:w="2835"/>
      </w:tblGrid>
      <w:tr w:rsidR="00530CCD" w:rsidRPr="00530CCD" w:rsidTr="00530CCD">
        <w:trPr>
          <w:trHeight w:val="255"/>
        </w:trPr>
        <w:tc>
          <w:tcPr>
            <w:tcW w:w="2059"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530CCD" w:rsidRPr="00530CCD" w:rsidRDefault="00530CCD" w:rsidP="00530CCD">
            <w:pPr>
              <w:spacing w:before="0" w:after="0"/>
              <w:jc w:val="center"/>
              <w:rPr>
                <w:rFonts w:cs="Arial"/>
                <w:color w:val="FFFFFF"/>
                <w:sz w:val="20"/>
                <w:szCs w:val="20"/>
                <w:lang w:eastAsia="en-GB"/>
              </w:rPr>
            </w:pPr>
            <w:r w:rsidRPr="00530CCD">
              <w:rPr>
                <w:rFonts w:cs="Arial"/>
                <w:color w:val="FFFFFF"/>
                <w:sz w:val="20"/>
                <w:szCs w:val="20"/>
                <w:lang w:eastAsia="en-GB"/>
              </w:rPr>
              <w:t>Year</w:t>
            </w:r>
          </w:p>
        </w:tc>
        <w:tc>
          <w:tcPr>
            <w:tcW w:w="2761" w:type="dxa"/>
            <w:tcBorders>
              <w:top w:val="single" w:sz="4" w:space="0" w:color="auto"/>
              <w:left w:val="nil"/>
              <w:bottom w:val="single" w:sz="4" w:space="0" w:color="auto"/>
              <w:right w:val="single" w:sz="4" w:space="0" w:color="auto"/>
            </w:tcBorders>
            <w:shd w:val="clear" w:color="000000" w:fill="008080"/>
            <w:vAlign w:val="bottom"/>
            <w:hideMark/>
          </w:tcPr>
          <w:p w:rsidR="00530CCD" w:rsidRPr="00530CCD" w:rsidRDefault="00530CCD" w:rsidP="00530CCD">
            <w:pPr>
              <w:spacing w:before="0" w:after="0"/>
              <w:jc w:val="center"/>
              <w:rPr>
                <w:rFonts w:cs="Arial"/>
                <w:color w:val="FFFFFF"/>
                <w:sz w:val="20"/>
                <w:szCs w:val="20"/>
                <w:lang w:eastAsia="en-GB"/>
              </w:rPr>
            </w:pPr>
            <w:r w:rsidRPr="00530CCD">
              <w:rPr>
                <w:rFonts w:cs="Arial"/>
                <w:color w:val="FFFFFF"/>
                <w:sz w:val="20"/>
                <w:szCs w:val="20"/>
                <w:lang w:eastAsia="en-GB"/>
              </w:rPr>
              <w:t>Decisions made</w:t>
            </w:r>
          </w:p>
        </w:tc>
        <w:tc>
          <w:tcPr>
            <w:tcW w:w="2835" w:type="dxa"/>
            <w:tcBorders>
              <w:top w:val="single" w:sz="4" w:space="0" w:color="auto"/>
              <w:left w:val="nil"/>
              <w:bottom w:val="single" w:sz="4" w:space="0" w:color="auto"/>
              <w:right w:val="single" w:sz="4" w:space="0" w:color="auto"/>
            </w:tcBorders>
            <w:shd w:val="clear" w:color="000000" w:fill="008080"/>
            <w:vAlign w:val="bottom"/>
            <w:hideMark/>
          </w:tcPr>
          <w:p w:rsidR="00530CCD" w:rsidRPr="00530CCD" w:rsidRDefault="00530CCD" w:rsidP="00530CCD">
            <w:pPr>
              <w:spacing w:before="0" w:after="0"/>
              <w:jc w:val="center"/>
              <w:rPr>
                <w:rFonts w:cs="Arial"/>
                <w:color w:val="FFFFFF"/>
                <w:sz w:val="20"/>
                <w:szCs w:val="20"/>
                <w:lang w:eastAsia="en-GB"/>
              </w:rPr>
            </w:pPr>
            <w:r w:rsidRPr="00530CCD">
              <w:rPr>
                <w:rFonts w:cs="Arial"/>
                <w:color w:val="FFFFFF"/>
                <w:sz w:val="20"/>
                <w:szCs w:val="20"/>
                <w:lang w:eastAsia="en-GB"/>
              </w:rPr>
              <w:t>Accepted as homeless</w:t>
            </w:r>
          </w:p>
        </w:tc>
      </w:tr>
      <w:tr w:rsidR="00530CCD" w:rsidRPr="00530CCD" w:rsidTr="00530CCD">
        <w:trPr>
          <w:trHeight w:val="25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rPr>
                <w:rFonts w:cs="Arial"/>
                <w:sz w:val="20"/>
                <w:szCs w:val="20"/>
                <w:lang w:eastAsia="en-GB"/>
              </w:rPr>
            </w:pPr>
            <w:r w:rsidRPr="00530CCD">
              <w:rPr>
                <w:rFonts w:cs="Arial"/>
                <w:sz w:val="20"/>
                <w:szCs w:val="20"/>
                <w:lang w:eastAsia="en-GB"/>
              </w:rPr>
              <w:t>2008/09</w:t>
            </w:r>
          </w:p>
        </w:tc>
        <w:tc>
          <w:tcPr>
            <w:tcW w:w="2761"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911</w:t>
            </w:r>
          </w:p>
        </w:tc>
        <w:tc>
          <w:tcPr>
            <w:tcW w:w="2835"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381</w:t>
            </w:r>
          </w:p>
        </w:tc>
      </w:tr>
      <w:tr w:rsidR="00530CCD" w:rsidRPr="00530CCD" w:rsidTr="00530CCD">
        <w:trPr>
          <w:trHeight w:val="25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rPr>
                <w:rFonts w:cs="Arial"/>
                <w:sz w:val="20"/>
                <w:szCs w:val="20"/>
                <w:lang w:eastAsia="en-GB"/>
              </w:rPr>
            </w:pPr>
            <w:r w:rsidRPr="00530CCD">
              <w:rPr>
                <w:rFonts w:cs="Arial"/>
                <w:sz w:val="20"/>
                <w:szCs w:val="20"/>
                <w:lang w:eastAsia="en-GB"/>
              </w:rPr>
              <w:t>2009/10</w:t>
            </w:r>
          </w:p>
        </w:tc>
        <w:tc>
          <w:tcPr>
            <w:tcW w:w="2761"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577</w:t>
            </w:r>
          </w:p>
        </w:tc>
        <w:tc>
          <w:tcPr>
            <w:tcW w:w="2835"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264</w:t>
            </w:r>
          </w:p>
        </w:tc>
      </w:tr>
      <w:tr w:rsidR="00530CCD" w:rsidRPr="00530CCD" w:rsidTr="00530CCD">
        <w:trPr>
          <w:trHeight w:val="25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rPr>
                <w:rFonts w:cs="Arial"/>
                <w:sz w:val="20"/>
                <w:szCs w:val="20"/>
                <w:lang w:eastAsia="en-GB"/>
              </w:rPr>
            </w:pPr>
            <w:r w:rsidRPr="00530CCD">
              <w:rPr>
                <w:rFonts w:cs="Arial"/>
                <w:sz w:val="20"/>
                <w:szCs w:val="20"/>
                <w:lang w:eastAsia="en-GB"/>
              </w:rPr>
              <w:t>2010/11</w:t>
            </w:r>
          </w:p>
        </w:tc>
        <w:tc>
          <w:tcPr>
            <w:tcW w:w="2761"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873</w:t>
            </w:r>
          </w:p>
        </w:tc>
        <w:tc>
          <w:tcPr>
            <w:tcW w:w="2835"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416</w:t>
            </w:r>
          </w:p>
        </w:tc>
      </w:tr>
      <w:tr w:rsidR="00530CCD" w:rsidRPr="00530CCD" w:rsidTr="00530CCD">
        <w:trPr>
          <w:trHeight w:val="25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rPr>
                <w:rFonts w:cs="Arial"/>
                <w:sz w:val="20"/>
                <w:szCs w:val="20"/>
                <w:lang w:eastAsia="en-GB"/>
              </w:rPr>
            </w:pPr>
            <w:r w:rsidRPr="00530CCD">
              <w:rPr>
                <w:rFonts w:cs="Arial"/>
                <w:sz w:val="20"/>
                <w:szCs w:val="20"/>
                <w:lang w:eastAsia="en-GB"/>
              </w:rPr>
              <w:t>2011/12</w:t>
            </w:r>
          </w:p>
        </w:tc>
        <w:tc>
          <w:tcPr>
            <w:tcW w:w="2761"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850</w:t>
            </w:r>
          </w:p>
        </w:tc>
        <w:tc>
          <w:tcPr>
            <w:tcW w:w="2835"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425</w:t>
            </w:r>
          </w:p>
        </w:tc>
      </w:tr>
      <w:tr w:rsidR="00530CCD" w:rsidRPr="00530CCD" w:rsidTr="00530CCD">
        <w:trPr>
          <w:trHeight w:val="25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rPr>
                <w:rFonts w:cs="Arial"/>
                <w:sz w:val="20"/>
                <w:szCs w:val="20"/>
                <w:lang w:eastAsia="en-GB"/>
              </w:rPr>
            </w:pPr>
            <w:r w:rsidRPr="00530CCD">
              <w:rPr>
                <w:rFonts w:cs="Arial"/>
                <w:sz w:val="20"/>
                <w:szCs w:val="20"/>
                <w:lang w:eastAsia="en-GB"/>
              </w:rPr>
              <w:t>Total</w:t>
            </w:r>
          </w:p>
        </w:tc>
        <w:tc>
          <w:tcPr>
            <w:tcW w:w="2761"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3211</w:t>
            </w:r>
          </w:p>
        </w:tc>
        <w:tc>
          <w:tcPr>
            <w:tcW w:w="2835"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1486</w:t>
            </w:r>
          </w:p>
        </w:tc>
      </w:tr>
      <w:tr w:rsidR="00530CCD" w:rsidRPr="00530CCD" w:rsidTr="00530CCD">
        <w:trPr>
          <w:trHeight w:val="25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rPr>
                <w:rFonts w:cs="Arial"/>
                <w:sz w:val="20"/>
                <w:szCs w:val="20"/>
                <w:lang w:eastAsia="en-GB"/>
              </w:rPr>
            </w:pPr>
            <w:r w:rsidRPr="00530CCD">
              <w:rPr>
                <w:rFonts w:cs="Arial"/>
                <w:sz w:val="20"/>
                <w:szCs w:val="20"/>
                <w:lang w:eastAsia="en-GB"/>
              </w:rPr>
              <w:t>Annual Average</w:t>
            </w:r>
          </w:p>
        </w:tc>
        <w:tc>
          <w:tcPr>
            <w:tcW w:w="2761"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803</w:t>
            </w:r>
          </w:p>
        </w:tc>
        <w:tc>
          <w:tcPr>
            <w:tcW w:w="2835" w:type="dxa"/>
            <w:tcBorders>
              <w:top w:val="nil"/>
              <w:left w:val="nil"/>
              <w:bottom w:val="single" w:sz="4" w:space="0" w:color="auto"/>
              <w:right w:val="single" w:sz="4" w:space="0" w:color="auto"/>
            </w:tcBorders>
            <w:shd w:val="clear" w:color="auto" w:fill="auto"/>
            <w:noWrap/>
            <w:vAlign w:val="bottom"/>
            <w:hideMark/>
          </w:tcPr>
          <w:p w:rsidR="00530CCD" w:rsidRPr="00530CCD" w:rsidRDefault="00530CCD" w:rsidP="00530CCD">
            <w:pPr>
              <w:spacing w:before="0" w:after="0"/>
              <w:jc w:val="center"/>
              <w:rPr>
                <w:rFonts w:cs="Arial"/>
                <w:sz w:val="20"/>
                <w:szCs w:val="20"/>
                <w:lang w:eastAsia="en-GB"/>
              </w:rPr>
            </w:pPr>
            <w:r w:rsidRPr="00530CCD">
              <w:rPr>
                <w:rFonts w:cs="Arial"/>
                <w:sz w:val="20"/>
                <w:szCs w:val="20"/>
                <w:lang w:eastAsia="en-GB"/>
              </w:rPr>
              <w:t>372</w:t>
            </w:r>
          </w:p>
        </w:tc>
      </w:tr>
    </w:tbl>
    <w:p w:rsidR="00F25D4D" w:rsidRPr="00D9069F" w:rsidRDefault="00F25D4D" w:rsidP="00587C16">
      <w:pPr>
        <w:ind w:firstLine="709"/>
        <w:rPr>
          <w:sz w:val="20"/>
          <w:szCs w:val="20"/>
        </w:rPr>
      </w:pPr>
      <w:r w:rsidRPr="00D9069F">
        <w:rPr>
          <w:sz w:val="20"/>
          <w:szCs w:val="20"/>
        </w:rPr>
        <w:t>Source: CLG Homelessness Statistics</w:t>
      </w:r>
    </w:p>
    <w:p w:rsidR="00537291" w:rsidRDefault="00537291" w:rsidP="00537291">
      <w:pPr>
        <w:pStyle w:val="Heading3"/>
      </w:pPr>
    </w:p>
    <w:p w:rsidR="00096915" w:rsidRPr="00096915" w:rsidRDefault="00096915" w:rsidP="00096915"/>
    <w:p w:rsidR="00537291" w:rsidRDefault="00537291" w:rsidP="00537291">
      <w:pPr>
        <w:pStyle w:val="Heading3"/>
      </w:pPr>
      <w:r>
        <w:t>Households previously homeless</w:t>
      </w:r>
    </w:p>
    <w:p w:rsidR="00412F63" w:rsidRDefault="00537291" w:rsidP="00412F63">
      <w:pPr>
        <w:pStyle w:val="Maintext"/>
      </w:pPr>
      <w:r w:rsidRPr="00B70217">
        <w:t>The household survey identified 2,</w:t>
      </w:r>
      <w:r w:rsidR="00EE3B54">
        <w:t>113</w:t>
      </w:r>
      <w:r w:rsidRPr="00B70217">
        <w:t xml:space="preserve"> households who had been previously homeless or living in temporary accommodation and had moved to their present accommodation in the past 5 years. </w:t>
      </w:r>
    </w:p>
    <w:p w:rsidR="00412F63" w:rsidRPr="00412F63" w:rsidRDefault="00D407F3" w:rsidP="00412F63">
      <w:pPr>
        <w:pStyle w:val="Maintext"/>
      </w:pPr>
      <w:r>
        <w:t>Table 4.31</w:t>
      </w:r>
      <w:r w:rsidR="00537291" w:rsidRPr="00B70217">
        <w:t xml:space="preserve"> presents a range of information relating to the characteristics of previously homeless households and the dwelling choices that they have made.  </w:t>
      </w:r>
      <w:r w:rsidR="00FC3952">
        <w:t>90.5</w:t>
      </w:r>
      <w:r w:rsidR="00537291" w:rsidRPr="00B70217">
        <w:t xml:space="preserve">% of households previously homeless have moved into social or private rented accommodation. They have moved in to a range of property sizes, most notably </w:t>
      </w:r>
      <w:r w:rsidR="00412F63">
        <w:t>two bedroom (</w:t>
      </w:r>
      <w:r w:rsidR="00FC3952">
        <w:t>57.8</w:t>
      </w:r>
      <w:r w:rsidR="00412F63">
        <w:t>%).</w:t>
      </w:r>
      <w:r w:rsidR="00EE3B54">
        <w:t xml:space="preserve"> </w:t>
      </w:r>
      <w:r w:rsidR="00537291" w:rsidRPr="00B70217">
        <w:t xml:space="preserve">The incomes of previously homeless households are generally low with </w:t>
      </w:r>
      <w:r w:rsidR="00FC3952">
        <w:t>78.3</w:t>
      </w:r>
      <w:r w:rsidR="00537291" w:rsidRPr="00B70217">
        <w:t>% recei</w:t>
      </w:r>
      <w:r w:rsidR="00FC3952">
        <w:t>ving less than £300 each week. 54.1</w:t>
      </w:r>
      <w:r w:rsidR="00537291" w:rsidRPr="00B70217">
        <w:t>% are single pers</w:t>
      </w:r>
      <w:r w:rsidR="00FC3952">
        <w:t>on households and a further 17.8</w:t>
      </w:r>
      <w:r w:rsidR="00537291" w:rsidRPr="00B70217">
        <w:t>% are lone parent families.</w:t>
      </w:r>
    </w:p>
    <w:p w:rsidR="00EE3B54" w:rsidRDefault="00EE3B54">
      <w:pPr>
        <w:spacing w:before="0" w:after="0"/>
        <w:rPr>
          <w:rFonts w:cs="Arial"/>
          <w:b/>
        </w:rPr>
      </w:pPr>
    </w:p>
    <w:p w:rsidR="00537291" w:rsidRPr="00096915" w:rsidRDefault="00537291" w:rsidP="00096915">
      <w:pPr>
        <w:spacing w:before="0" w:after="0"/>
        <w:ind w:firstLine="709"/>
        <w:rPr>
          <w:rFonts w:cs="Arial"/>
          <w:b/>
        </w:rPr>
      </w:pPr>
      <w:r w:rsidRPr="00412F63">
        <w:rPr>
          <w:rFonts w:cs="Arial"/>
          <w:b/>
        </w:rPr>
        <w:t xml:space="preserve">Table </w:t>
      </w:r>
      <w:r w:rsidR="00412F63" w:rsidRPr="00412F63">
        <w:rPr>
          <w:rFonts w:cs="Arial"/>
          <w:b/>
        </w:rPr>
        <w:t>4.</w:t>
      </w:r>
      <w:r w:rsidR="00D407F3">
        <w:rPr>
          <w:rFonts w:cs="Arial"/>
          <w:b/>
        </w:rPr>
        <w:t>31</w:t>
      </w:r>
      <w:r w:rsidRPr="00412F63">
        <w:rPr>
          <w:rFonts w:cs="Arial"/>
        </w:rPr>
        <w:tab/>
        <w:t xml:space="preserve">Characteristics of households previously homeless </w:t>
      </w:r>
    </w:p>
    <w:tbl>
      <w:tblPr>
        <w:tblW w:w="8450" w:type="dxa"/>
        <w:tblInd w:w="817" w:type="dxa"/>
        <w:tblLook w:val="04A0" w:firstRow="1" w:lastRow="0" w:firstColumn="1" w:lastColumn="0" w:noHBand="0" w:noVBand="1"/>
      </w:tblPr>
      <w:tblGrid>
        <w:gridCol w:w="3686"/>
        <w:gridCol w:w="1134"/>
        <w:gridCol w:w="2670"/>
        <w:gridCol w:w="960"/>
      </w:tblGrid>
      <w:tr w:rsidR="00EE3B54" w:rsidRPr="00EE3B54" w:rsidTr="00EE3B54">
        <w:trPr>
          <w:trHeight w:val="255"/>
        </w:trPr>
        <w:tc>
          <w:tcPr>
            <w:tcW w:w="3686"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rPr>
                <w:rFonts w:cs="Arial"/>
                <w:b/>
                <w:bCs/>
                <w:color w:val="FFFFFF"/>
                <w:sz w:val="20"/>
                <w:szCs w:val="20"/>
                <w:lang w:eastAsia="en-GB"/>
              </w:rPr>
            </w:pPr>
            <w:r w:rsidRPr="00EE3B54">
              <w:rPr>
                <w:rFonts w:cs="Arial"/>
                <w:b/>
                <w:bCs/>
                <w:color w:val="FFFFFF"/>
                <w:sz w:val="20"/>
                <w:szCs w:val="20"/>
                <w:lang w:eastAsia="en-GB"/>
              </w:rPr>
              <w:t>Household type</w:t>
            </w:r>
          </w:p>
        </w:tc>
        <w:tc>
          <w:tcPr>
            <w:tcW w:w="1134" w:type="dxa"/>
            <w:tcBorders>
              <w:top w:val="single" w:sz="4" w:space="0" w:color="auto"/>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jc w:val="center"/>
              <w:rPr>
                <w:rFonts w:cs="Arial"/>
                <w:b/>
                <w:bCs/>
                <w:color w:val="FFFFFF"/>
                <w:sz w:val="20"/>
                <w:szCs w:val="20"/>
                <w:lang w:eastAsia="en-GB"/>
              </w:rPr>
            </w:pPr>
            <w:r w:rsidRPr="00EE3B54">
              <w:rPr>
                <w:rFonts w:cs="Arial"/>
                <w:b/>
                <w:bCs/>
                <w:color w:val="FFFFFF"/>
                <w:sz w:val="20"/>
                <w:szCs w:val="20"/>
                <w:lang w:eastAsia="en-GB"/>
              </w:rPr>
              <w:t>%</w:t>
            </w:r>
          </w:p>
        </w:tc>
        <w:tc>
          <w:tcPr>
            <w:tcW w:w="2670" w:type="dxa"/>
            <w:tcBorders>
              <w:top w:val="single" w:sz="4" w:space="0" w:color="auto"/>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rPr>
                <w:rFonts w:cs="Arial"/>
                <w:b/>
                <w:bCs/>
                <w:color w:val="FFFFFF"/>
                <w:sz w:val="20"/>
                <w:szCs w:val="20"/>
                <w:lang w:eastAsia="en-GB"/>
              </w:rPr>
            </w:pPr>
            <w:r w:rsidRPr="00EE3B54">
              <w:rPr>
                <w:rFonts w:cs="Arial"/>
                <w:b/>
                <w:bCs/>
                <w:color w:val="FFFFFF"/>
                <w:sz w:val="20"/>
                <w:szCs w:val="20"/>
                <w:lang w:eastAsia="en-GB"/>
              </w:rPr>
              <w:t>Property Type</w:t>
            </w:r>
          </w:p>
        </w:tc>
        <w:tc>
          <w:tcPr>
            <w:tcW w:w="960" w:type="dxa"/>
            <w:tcBorders>
              <w:top w:val="single" w:sz="4" w:space="0" w:color="auto"/>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jc w:val="center"/>
              <w:rPr>
                <w:rFonts w:cs="Arial"/>
                <w:b/>
                <w:bCs/>
                <w:color w:val="FFFFFF"/>
                <w:sz w:val="20"/>
                <w:szCs w:val="20"/>
                <w:lang w:eastAsia="en-GB"/>
              </w:rPr>
            </w:pPr>
            <w:r w:rsidRPr="00EE3B54">
              <w:rPr>
                <w:rFonts w:cs="Arial"/>
                <w:b/>
                <w:bCs/>
                <w:color w:val="FFFFFF"/>
                <w:sz w:val="20"/>
                <w:szCs w:val="20"/>
                <w:lang w:eastAsia="en-GB"/>
              </w:rPr>
              <w:t>%</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Single adult (under 60)</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46.0</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House</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74.3</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Single adult (60 or over)</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8.1</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Flat</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16.5</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Couple only (both under 60)</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5.2</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Bungalow</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9.2</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Couple only (one or both over 60)</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2.3</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100.0</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Couple 1/2 child(ren) under 18</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15.7</w:t>
            </w:r>
          </w:p>
        </w:tc>
        <w:tc>
          <w:tcPr>
            <w:tcW w:w="2670" w:type="dxa"/>
            <w:tcBorders>
              <w:top w:val="nil"/>
              <w:left w:val="nil"/>
              <w:bottom w:val="nil"/>
              <w:right w:val="nil"/>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 </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Lone parent with 1/2 child(ren) under 18</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13.0</w:t>
            </w:r>
          </w:p>
        </w:tc>
        <w:tc>
          <w:tcPr>
            <w:tcW w:w="2670" w:type="dxa"/>
            <w:tcBorders>
              <w:top w:val="nil"/>
              <w:left w:val="nil"/>
              <w:bottom w:val="nil"/>
              <w:right w:val="nil"/>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 </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Friends sharing</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4.8</w:t>
            </w:r>
          </w:p>
        </w:tc>
        <w:tc>
          <w:tcPr>
            <w:tcW w:w="2670" w:type="dxa"/>
            <w:tcBorders>
              <w:top w:val="nil"/>
              <w:left w:val="nil"/>
              <w:bottom w:val="nil"/>
              <w:right w:val="nil"/>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 </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Lone parent with adult child(ren)</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4.8</w:t>
            </w:r>
          </w:p>
        </w:tc>
        <w:tc>
          <w:tcPr>
            <w:tcW w:w="2670" w:type="dxa"/>
            <w:tcBorders>
              <w:top w:val="nil"/>
              <w:left w:val="nil"/>
              <w:bottom w:val="nil"/>
              <w:right w:val="nil"/>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 </w:t>
            </w:r>
          </w:p>
        </w:tc>
        <w:tc>
          <w:tcPr>
            <w:tcW w:w="960" w:type="dxa"/>
            <w:tcBorders>
              <w:top w:val="nil"/>
              <w:left w:val="nil"/>
              <w:bottom w:val="nil"/>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 </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100.0</w:t>
            </w:r>
          </w:p>
        </w:tc>
        <w:tc>
          <w:tcPr>
            <w:tcW w:w="2670" w:type="dxa"/>
            <w:tcBorders>
              <w:top w:val="nil"/>
              <w:left w:val="nil"/>
              <w:bottom w:val="single" w:sz="4" w:space="0" w:color="auto"/>
              <w:right w:val="nil"/>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 </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rPr>
                <w:rFonts w:cs="Arial"/>
                <w:b/>
                <w:bCs/>
                <w:color w:val="FFFFFF"/>
                <w:sz w:val="20"/>
                <w:szCs w:val="20"/>
                <w:lang w:eastAsia="en-GB"/>
              </w:rPr>
            </w:pPr>
            <w:r w:rsidRPr="00EE3B54">
              <w:rPr>
                <w:rFonts w:cs="Arial"/>
                <w:b/>
                <w:bCs/>
                <w:color w:val="FFFFFF"/>
                <w:sz w:val="20"/>
                <w:szCs w:val="20"/>
                <w:lang w:eastAsia="en-GB"/>
              </w:rPr>
              <w:t>Current tenure</w:t>
            </w:r>
          </w:p>
        </w:tc>
        <w:tc>
          <w:tcPr>
            <w:tcW w:w="1134" w:type="dxa"/>
            <w:tcBorders>
              <w:top w:val="nil"/>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jc w:val="center"/>
              <w:rPr>
                <w:rFonts w:cs="Arial"/>
                <w:b/>
                <w:bCs/>
                <w:color w:val="FFFFFF"/>
                <w:sz w:val="20"/>
                <w:szCs w:val="20"/>
                <w:lang w:eastAsia="en-GB"/>
              </w:rPr>
            </w:pPr>
            <w:r w:rsidRPr="00EE3B54">
              <w:rPr>
                <w:rFonts w:cs="Arial"/>
                <w:b/>
                <w:bCs/>
                <w:color w:val="FFFFFF"/>
                <w:sz w:val="20"/>
                <w:szCs w:val="20"/>
                <w:lang w:eastAsia="en-GB"/>
              </w:rPr>
              <w:t>%</w:t>
            </w:r>
          </w:p>
        </w:tc>
        <w:tc>
          <w:tcPr>
            <w:tcW w:w="2670" w:type="dxa"/>
            <w:tcBorders>
              <w:top w:val="nil"/>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rPr>
                <w:rFonts w:cs="Arial"/>
                <w:b/>
                <w:bCs/>
                <w:color w:val="FFFFFF"/>
                <w:sz w:val="20"/>
                <w:szCs w:val="20"/>
                <w:lang w:eastAsia="en-GB"/>
              </w:rPr>
            </w:pPr>
            <w:r w:rsidRPr="00EE3B54">
              <w:rPr>
                <w:rFonts w:cs="Arial"/>
                <w:b/>
                <w:bCs/>
                <w:color w:val="FFFFFF"/>
                <w:sz w:val="20"/>
                <w:szCs w:val="20"/>
                <w:lang w:eastAsia="en-GB"/>
              </w:rPr>
              <w:t>Origin</w:t>
            </w:r>
          </w:p>
        </w:tc>
        <w:tc>
          <w:tcPr>
            <w:tcW w:w="960" w:type="dxa"/>
            <w:tcBorders>
              <w:top w:val="nil"/>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jc w:val="center"/>
              <w:rPr>
                <w:rFonts w:cs="Arial"/>
                <w:b/>
                <w:bCs/>
                <w:color w:val="FFFFFF"/>
                <w:sz w:val="20"/>
                <w:szCs w:val="20"/>
                <w:lang w:eastAsia="en-GB"/>
              </w:rPr>
            </w:pPr>
            <w:r w:rsidRPr="00EE3B54">
              <w:rPr>
                <w:rFonts w:cs="Arial"/>
                <w:b/>
                <w:bCs/>
                <w:color w:val="FFFFFF"/>
                <w:sz w:val="20"/>
                <w:szCs w:val="20"/>
                <w:lang w:eastAsia="en-GB"/>
              </w:rPr>
              <w:t>%</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Owner Occupied</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9.5</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Within Co. Durham</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78.4</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Private Rented</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38.0</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From outside Co. Durham</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21.6</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Social/Affordable Rented/Intermediate</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52.5</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100.0</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100.0</w:t>
            </w:r>
          </w:p>
        </w:tc>
        <w:tc>
          <w:tcPr>
            <w:tcW w:w="3630" w:type="dxa"/>
            <w:gridSpan w:val="2"/>
            <w:tcBorders>
              <w:top w:val="single" w:sz="4" w:space="0" w:color="auto"/>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 </w:t>
            </w:r>
          </w:p>
        </w:tc>
      </w:tr>
      <w:tr w:rsidR="00EE3B54" w:rsidRPr="00EE3B54" w:rsidTr="00EE3B54">
        <w:trPr>
          <w:trHeight w:val="510"/>
        </w:trPr>
        <w:tc>
          <w:tcPr>
            <w:tcW w:w="3686" w:type="dxa"/>
            <w:tcBorders>
              <w:top w:val="nil"/>
              <w:left w:val="single" w:sz="4" w:space="0" w:color="auto"/>
              <w:bottom w:val="single" w:sz="4" w:space="0" w:color="auto"/>
              <w:right w:val="single" w:sz="4" w:space="0" w:color="auto"/>
            </w:tcBorders>
            <w:shd w:val="clear" w:color="000000" w:fill="008080"/>
            <w:vAlign w:val="bottom"/>
            <w:hideMark/>
          </w:tcPr>
          <w:p w:rsidR="00EE3B54" w:rsidRPr="00EE3B54" w:rsidRDefault="00EE3B54" w:rsidP="00EE3B54">
            <w:pPr>
              <w:spacing w:before="0" w:after="0"/>
              <w:rPr>
                <w:rFonts w:cs="Arial"/>
                <w:b/>
                <w:bCs/>
                <w:color w:val="FFFFFF"/>
                <w:sz w:val="20"/>
                <w:szCs w:val="20"/>
                <w:lang w:eastAsia="en-GB"/>
              </w:rPr>
            </w:pPr>
            <w:r w:rsidRPr="00EE3B54">
              <w:rPr>
                <w:rFonts w:cs="Arial"/>
                <w:b/>
                <w:bCs/>
                <w:color w:val="FFFFFF"/>
                <w:sz w:val="20"/>
                <w:szCs w:val="20"/>
                <w:lang w:eastAsia="en-GB"/>
              </w:rPr>
              <w:t>Current Income (gross weekly)</w:t>
            </w:r>
          </w:p>
        </w:tc>
        <w:tc>
          <w:tcPr>
            <w:tcW w:w="1134" w:type="dxa"/>
            <w:tcBorders>
              <w:top w:val="nil"/>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jc w:val="center"/>
              <w:rPr>
                <w:rFonts w:cs="Arial"/>
                <w:b/>
                <w:bCs/>
                <w:color w:val="FFFFFF"/>
                <w:sz w:val="20"/>
                <w:szCs w:val="20"/>
                <w:lang w:eastAsia="en-GB"/>
              </w:rPr>
            </w:pPr>
            <w:r w:rsidRPr="00EE3B54">
              <w:rPr>
                <w:rFonts w:cs="Arial"/>
                <w:b/>
                <w:bCs/>
                <w:color w:val="FFFFFF"/>
                <w:sz w:val="20"/>
                <w:szCs w:val="20"/>
                <w:lang w:eastAsia="en-GB"/>
              </w:rPr>
              <w:t>%</w:t>
            </w:r>
          </w:p>
        </w:tc>
        <w:tc>
          <w:tcPr>
            <w:tcW w:w="2670" w:type="dxa"/>
            <w:tcBorders>
              <w:top w:val="nil"/>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rPr>
                <w:rFonts w:cs="Arial"/>
                <w:b/>
                <w:bCs/>
                <w:color w:val="FFFFFF"/>
                <w:sz w:val="20"/>
                <w:szCs w:val="20"/>
                <w:lang w:eastAsia="en-GB"/>
              </w:rPr>
            </w:pPr>
            <w:r w:rsidRPr="00EE3B54">
              <w:rPr>
                <w:rFonts w:cs="Arial"/>
                <w:b/>
                <w:bCs/>
                <w:color w:val="FFFFFF"/>
                <w:sz w:val="20"/>
                <w:szCs w:val="20"/>
                <w:lang w:eastAsia="en-GB"/>
              </w:rPr>
              <w:t>Property size</w:t>
            </w:r>
          </w:p>
        </w:tc>
        <w:tc>
          <w:tcPr>
            <w:tcW w:w="960" w:type="dxa"/>
            <w:tcBorders>
              <w:top w:val="nil"/>
              <w:left w:val="nil"/>
              <w:bottom w:val="single" w:sz="4" w:space="0" w:color="auto"/>
              <w:right w:val="single" w:sz="4" w:space="0" w:color="auto"/>
            </w:tcBorders>
            <w:shd w:val="clear" w:color="000000" w:fill="008080"/>
            <w:noWrap/>
            <w:vAlign w:val="bottom"/>
            <w:hideMark/>
          </w:tcPr>
          <w:p w:rsidR="00EE3B54" w:rsidRPr="00EE3B54" w:rsidRDefault="00EE3B54" w:rsidP="00EE3B54">
            <w:pPr>
              <w:spacing w:before="0" w:after="0"/>
              <w:jc w:val="center"/>
              <w:rPr>
                <w:rFonts w:cs="Arial"/>
                <w:b/>
                <w:bCs/>
                <w:color w:val="FFFFFF"/>
                <w:sz w:val="20"/>
                <w:szCs w:val="20"/>
                <w:lang w:eastAsia="en-GB"/>
              </w:rPr>
            </w:pPr>
            <w:r w:rsidRPr="00EE3B54">
              <w:rPr>
                <w:rFonts w:cs="Arial"/>
                <w:b/>
                <w:bCs/>
                <w:color w:val="FFFFFF"/>
                <w:sz w:val="20"/>
                <w:szCs w:val="20"/>
                <w:lang w:eastAsia="en-GB"/>
              </w:rPr>
              <w:t>%</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Under £300</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78.3</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0/1 Bed</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18.6</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£300 to &lt;£500</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8.4</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2 Bed</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57.8</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£500+</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13.3</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3 or more Beds</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23.6</w:t>
            </w:r>
          </w:p>
        </w:tc>
      </w:tr>
      <w:tr w:rsidR="00EE3B54" w:rsidRPr="00EE3B54" w:rsidTr="00EE3B54">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100.0</w:t>
            </w:r>
          </w:p>
        </w:tc>
        <w:tc>
          <w:tcPr>
            <w:tcW w:w="267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rPr>
                <w:rFonts w:cs="Arial"/>
                <w:sz w:val="20"/>
                <w:szCs w:val="20"/>
                <w:lang w:eastAsia="en-GB"/>
              </w:rPr>
            </w:pPr>
            <w:r w:rsidRPr="00EE3B54">
              <w:rPr>
                <w:rFonts w:cs="Arial"/>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EE3B54" w:rsidRPr="00EE3B54" w:rsidRDefault="00EE3B54" w:rsidP="00EE3B54">
            <w:pPr>
              <w:spacing w:before="0" w:after="0"/>
              <w:jc w:val="center"/>
              <w:rPr>
                <w:rFonts w:cs="Arial"/>
                <w:sz w:val="20"/>
                <w:szCs w:val="20"/>
                <w:lang w:eastAsia="en-GB"/>
              </w:rPr>
            </w:pPr>
            <w:r w:rsidRPr="00EE3B54">
              <w:rPr>
                <w:rFonts w:cs="Arial"/>
                <w:sz w:val="20"/>
                <w:szCs w:val="20"/>
                <w:lang w:eastAsia="en-GB"/>
              </w:rPr>
              <w:t>100.0</w:t>
            </w:r>
          </w:p>
        </w:tc>
      </w:tr>
    </w:tbl>
    <w:p w:rsidR="00FC3952" w:rsidRDefault="00FC3952" w:rsidP="008D1755">
      <w:pPr>
        <w:ind w:firstLine="709"/>
        <w:rPr>
          <w:rFonts w:cs="Arial"/>
          <w:sz w:val="20"/>
          <w:szCs w:val="20"/>
        </w:rPr>
      </w:pPr>
      <w:r>
        <w:rPr>
          <w:rFonts w:cs="Arial"/>
          <w:sz w:val="20"/>
          <w:szCs w:val="20"/>
        </w:rPr>
        <w:t>Base: 2,113</w:t>
      </w:r>
    </w:p>
    <w:p w:rsidR="00537291" w:rsidRPr="008D1755" w:rsidRDefault="00412F63" w:rsidP="008D1755">
      <w:pPr>
        <w:ind w:firstLine="709"/>
        <w:rPr>
          <w:rFonts w:cs="Arial"/>
          <w:sz w:val="20"/>
          <w:szCs w:val="20"/>
        </w:rPr>
      </w:pPr>
      <w:r>
        <w:rPr>
          <w:rFonts w:cs="Arial"/>
          <w:sz w:val="20"/>
          <w:szCs w:val="20"/>
        </w:rPr>
        <w:t>Source: 2012</w:t>
      </w:r>
      <w:r w:rsidR="00537291" w:rsidRPr="002B4D9F">
        <w:rPr>
          <w:rFonts w:cs="Arial"/>
          <w:sz w:val="20"/>
          <w:szCs w:val="20"/>
        </w:rPr>
        <w:t xml:space="preserve"> Household Survey</w:t>
      </w:r>
      <w:r w:rsidR="008D1755">
        <w:rPr>
          <w:rFonts w:cs="Arial"/>
          <w:sz w:val="20"/>
          <w:szCs w:val="20"/>
        </w:rPr>
        <w:t>, rebased to 2011 Census</w:t>
      </w:r>
    </w:p>
    <w:p w:rsidR="00F25D4D" w:rsidRPr="007E3D8E" w:rsidRDefault="00F25D4D" w:rsidP="00F25D4D"/>
    <w:p w:rsidR="00F25D4D" w:rsidRDefault="00F25D4D" w:rsidP="00412F63">
      <w:pPr>
        <w:ind w:firstLine="709"/>
        <w:rPr>
          <w:b/>
        </w:rPr>
      </w:pPr>
      <w:r>
        <w:rPr>
          <w:b/>
        </w:rPr>
        <w:t>Black, Asian and Minority Ethnic households</w:t>
      </w:r>
    </w:p>
    <w:p w:rsidR="00F25D4D" w:rsidRPr="00814204" w:rsidRDefault="00814204" w:rsidP="00F25D4D">
      <w:pPr>
        <w:pStyle w:val="Maintext"/>
        <w:rPr>
          <w:b/>
        </w:rPr>
      </w:pPr>
      <w:r>
        <w:t>The 2012</w:t>
      </w:r>
      <w:r w:rsidR="00F25D4D">
        <w:t xml:space="preserve"> household survey</w:t>
      </w:r>
      <w:r w:rsidR="00CF24C6">
        <w:t>, rebased to the 2011 Census,</w:t>
      </w:r>
      <w:r w:rsidR="00F25D4D">
        <w:t xml:space="preserve"> indicates that </w:t>
      </w:r>
      <w:r w:rsidR="00CF24C6">
        <w:t>98.3</w:t>
      </w:r>
      <w:r w:rsidR="00F25D4D">
        <w:t>% of Household Reference People describe thems</w:t>
      </w:r>
      <w:r>
        <w:t xml:space="preserve">elves as ‘White British’ and </w:t>
      </w:r>
      <w:r w:rsidR="00CF24C6">
        <w:t>1.7</w:t>
      </w:r>
      <w:r w:rsidR="00F25D4D">
        <w:t>% describe themselves as having other ethnicities.</w:t>
      </w:r>
      <w:r w:rsidR="00CF24C6">
        <w:t xml:space="preserve"> Of these, 1.1</w:t>
      </w:r>
      <w:r>
        <w:t>% are ot</w:t>
      </w:r>
      <w:r w:rsidR="00CF24C6">
        <w:t>her white, 0.2% Asian/Asian British, 0.1</w:t>
      </w:r>
      <w:r>
        <w:t>% Black/Black British, and 0.3% were other groups.</w:t>
      </w:r>
    </w:p>
    <w:p w:rsidR="00814204" w:rsidRPr="00297FF0" w:rsidRDefault="00CF24C6" w:rsidP="00F25D4D">
      <w:pPr>
        <w:pStyle w:val="Maintext"/>
        <w:rPr>
          <w:b/>
        </w:rPr>
      </w:pPr>
      <w:r>
        <w:t xml:space="preserve">Central </w:t>
      </w:r>
      <w:r w:rsidR="00814204">
        <w:t xml:space="preserve">Durham was the most ethnically diverse </w:t>
      </w:r>
      <w:r>
        <w:t xml:space="preserve">delivery </w:t>
      </w:r>
      <w:r w:rsidR="00814204">
        <w:t xml:space="preserve">area, with </w:t>
      </w:r>
      <w:r>
        <w:t>4.0</w:t>
      </w:r>
      <w:r w:rsidR="00814204">
        <w:t>% of Household Reference People describing themselves as having an ethnicity other than White British</w:t>
      </w:r>
      <w:r>
        <w:t>.</w:t>
      </w:r>
    </w:p>
    <w:p w:rsidR="00814204" w:rsidRDefault="00F25D4D" w:rsidP="00F25D4D">
      <w:pPr>
        <w:pStyle w:val="Maintext"/>
      </w:pPr>
      <w:r>
        <w:t xml:space="preserve">The needs of Gypsies and Travellers have been assessed in a </w:t>
      </w:r>
      <w:r w:rsidR="00814204">
        <w:t>County Durham</w:t>
      </w:r>
      <w:r>
        <w:t xml:space="preserve">-wide study carried out by </w:t>
      </w:r>
      <w:r w:rsidR="00AC12A7">
        <w:t xml:space="preserve">arc4 in 2006. This recommended an additional 3 to 5 additional sites with up to six pitches each to address current and emerging needs over the period 2007-2015. </w:t>
      </w:r>
    </w:p>
    <w:p w:rsidR="00F25D4D" w:rsidRDefault="00F25D4D" w:rsidP="00AC12A7">
      <w:pPr>
        <w:pStyle w:val="Maintext"/>
        <w:numPr>
          <w:ilvl w:val="0"/>
          <w:numId w:val="0"/>
        </w:numPr>
        <w:ind w:left="709"/>
      </w:pPr>
      <w:bookmarkStart w:id="115" w:name="_Toc214433430"/>
      <w:bookmarkStart w:id="116" w:name="_Toc230065918"/>
    </w:p>
    <w:p w:rsidR="00F87D14" w:rsidRDefault="00994400" w:rsidP="00F87D14">
      <w:pPr>
        <w:pStyle w:val="Heading1"/>
      </w:pPr>
      <w:r>
        <w:br w:type="page"/>
      </w:r>
      <w:bookmarkStart w:id="117" w:name="_Toc333507768"/>
      <w:r w:rsidR="00F87D14">
        <w:t>Review of general market demand</w:t>
      </w:r>
      <w:bookmarkEnd w:id="117"/>
    </w:p>
    <w:p w:rsidR="00F87D14" w:rsidRDefault="00F87D14" w:rsidP="00F87D14">
      <w:pPr>
        <w:rPr>
          <w:i/>
        </w:rPr>
      </w:pPr>
    </w:p>
    <w:p w:rsidR="00F87D14" w:rsidRDefault="00F87D14" w:rsidP="00F87D14">
      <w:pPr>
        <w:pStyle w:val="Maintext"/>
      </w:pPr>
      <w:r>
        <w:t xml:space="preserve">Core outputs presented in Chapter 4 provided a range of information on the requirements for both market and affordable housing.  The purpose of this chapter is to consolidate the key messages relating to market housing demand, show how the SHMA evidence base satisfies </w:t>
      </w:r>
      <w:r w:rsidR="00D42FF8">
        <w:t>NPPF</w:t>
      </w:r>
      <w:r>
        <w:t xml:space="preserve"> requirements and provides evidence to help the Council in deciding the scale of new build it should be planning for. </w:t>
      </w:r>
    </w:p>
    <w:p w:rsidR="00F87D14" w:rsidRDefault="00F87D14" w:rsidP="00F87D14"/>
    <w:p w:rsidR="00F87D14" w:rsidRPr="004F6372" w:rsidRDefault="00F87D14" w:rsidP="00F87D14">
      <w:pPr>
        <w:pStyle w:val="Heading2"/>
      </w:pPr>
      <w:bookmarkStart w:id="118" w:name="_Toc333507769"/>
      <w:r w:rsidRPr="004F6372">
        <w:t>Overall dwelling requirements</w:t>
      </w:r>
      <w:bookmarkEnd w:id="118"/>
    </w:p>
    <w:p w:rsidR="004F2A42" w:rsidRDefault="00BE054F" w:rsidP="004F2A42">
      <w:pPr>
        <w:pStyle w:val="Maintext"/>
        <w:rPr>
          <w:rFonts w:cs="Arial"/>
        </w:rPr>
      </w:pPr>
      <w:r w:rsidRPr="000E2B74">
        <w:t xml:space="preserve">There are a range of different methodologies which can be used to project the rate of household growth. </w:t>
      </w:r>
      <w:r w:rsidR="00E146CF">
        <w:t xml:space="preserve">These include the analysis of population and household projections but other factors such as </w:t>
      </w:r>
      <w:r w:rsidR="00473E31" w:rsidRPr="000E2B74">
        <w:rPr>
          <w:rFonts w:cs="Arial"/>
        </w:rPr>
        <w:t>deliverability constraints</w:t>
      </w:r>
      <w:r w:rsidR="00E146CF">
        <w:rPr>
          <w:rFonts w:cs="Arial"/>
        </w:rPr>
        <w:t>, economic growth aspirations</w:t>
      </w:r>
      <w:r w:rsidR="00473E31" w:rsidRPr="000E2B74">
        <w:rPr>
          <w:rFonts w:cs="Arial"/>
        </w:rPr>
        <w:t xml:space="preserve"> and strategic policies also need to be taken into account. </w:t>
      </w:r>
      <w:r w:rsidR="00473E31">
        <w:rPr>
          <w:rFonts w:cs="Arial"/>
        </w:rPr>
        <w:t>On balance, targets need to be set with the strategic vision of the Councils in mind, coupled with a realistic assessment of what is deliverable and over what timeframe.</w:t>
      </w:r>
    </w:p>
    <w:p w:rsidR="00F87D14" w:rsidRDefault="00F87D14" w:rsidP="00473E31">
      <w:pPr>
        <w:pStyle w:val="Maintext"/>
        <w:numPr>
          <w:ilvl w:val="0"/>
          <w:numId w:val="0"/>
        </w:numPr>
        <w:ind w:left="709" w:hanging="709"/>
      </w:pPr>
    </w:p>
    <w:p w:rsidR="00F87D14" w:rsidRDefault="00AC12A7" w:rsidP="00AC12A7">
      <w:pPr>
        <w:pStyle w:val="Heading2"/>
        <w:ind w:left="0"/>
      </w:pPr>
      <w:r>
        <w:tab/>
      </w:r>
      <w:bookmarkStart w:id="119" w:name="_Toc333507770"/>
      <w:r w:rsidR="00F87D14">
        <w:t>Market housing: key issues</w:t>
      </w:r>
      <w:bookmarkEnd w:id="119"/>
    </w:p>
    <w:p w:rsidR="00F87D14" w:rsidRDefault="00F87D14" w:rsidP="00F87D14">
      <w:pPr>
        <w:pStyle w:val="Maintext"/>
      </w:pPr>
      <w:r>
        <w:t>A range of material was presented in Chapter 4 relating to market housing.  Key issues relating to market housing supply and demand are:</w:t>
      </w:r>
    </w:p>
    <w:p w:rsidR="00F87D14" w:rsidRDefault="00F87D14" w:rsidP="00C76826">
      <w:pPr>
        <w:pStyle w:val="Maintext"/>
        <w:numPr>
          <w:ilvl w:val="2"/>
          <w:numId w:val="10"/>
        </w:numPr>
      </w:pPr>
      <w:r>
        <w:t xml:space="preserve">There is an annual supply of around </w:t>
      </w:r>
      <w:r w:rsidR="008F6597">
        <w:t>9,080</w:t>
      </w:r>
      <w:r w:rsidR="00561DB6">
        <w:t xml:space="preserve"> market dwellings of which </w:t>
      </w:r>
      <w:r w:rsidR="008F6597">
        <w:t xml:space="preserve">4,260 </w:t>
      </w:r>
      <w:r w:rsidR="00561DB6">
        <w:t xml:space="preserve">are owner occupied and </w:t>
      </w:r>
      <w:r w:rsidR="008F6597">
        <w:t>4,820</w:t>
      </w:r>
      <w:r>
        <w:t xml:space="preserve"> are private rented;</w:t>
      </w:r>
    </w:p>
    <w:p w:rsidR="008F6597" w:rsidRDefault="008F6597" w:rsidP="008F6597">
      <w:pPr>
        <w:pStyle w:val="Maintext"/>
      </w:pPr>
      <w:r>
        <w:t xml:space="preserve">Across County Durham </w:t>
      </w:r>
      <w:r w:rsidRPr="0021643B">
        <w:t>the overall demand for open market dwellings exceeds supply. Only in South and Central Durham is supply sufficient for overall demand, but in these areas there remain imbalances in some property types and sizes. Data suggests</w:t>
      </w:r>
      <w:r>
        <w:t>:</w:t>
      </w:r>
    </w:p>
    <w:p w:rsidR="008F6597" w:rsidRDefault="008F6597" w:rsidP="008F6597">
      <w:pPr>
        <w:pStyle w:val="Maintext"/>
        <w:numPr>
          <w:ilvl w:val="2"/>
          <w:numId w:val="10"/>
        </w:numPr>
      </w:pPr>
      <w:r>
        <w:t>Strongest market shortfalls in North Durham, East Durham and The Dales; and</w:t>
      </w:r>
    </w:p>
    <w:p w:rsidR="008F6597" w:rsidRDefault="008F6597" w:rsidP="008F6597">
      <w:pPr>
        <w:pStyle w:val="Maintext"/>
        <w:numPr>
          <w:ilvl w:val="2"/>
          <w:numId w:val="10"/>
        </w:numPr>
      </w:pPr>
      <w:r>
        <w:t>A general balance in property sizes, with specific shortfalls of smaller dwellings evidenced.</w:t>
      </w:r>
    </w:p>
    <w:p w:rsidR="008F6597" w:rsidRDefault="00F87D14" w:rsidP="008F6597">
      <w:pPr>
        <w:pStyle w:val="Maintext"/>
      </w:pPr>
      <w:r>
        <w:t>The aspirations and expectations of existing households planning to move in the next five y</w:t>
      </w:r>
      <w:r w:rsidR="00561DB6">
        <w:t>ears are presented in Table 4.1</w:t>
      </w:r>
      <w:r w:rsidR="008F6597">
        <w:t>8</w:t>
      </w:r>
      <w:r>
        <w:t>.</w:t>
      </w:r>
      <w:r w:rsidRPr="00C41EE2">
        <w:t xml:space="preserve"> </w:t>
      </w:r>
      <w:r>
        <w:t xml:space="preserve"> </w:t>
      </w:r>
      <w:r w:rsidR="008F6597">
        <w:t xml:space="preserve">Of households moving, most would like to move to a house (77.8%), 16.7% would like to move to a bungalow and 5.4% to a flat. This compares with 79.8% who expect to move to a house, 14.2% to a bungalow and 5.5% to a flat. Although households are expecting to broadly achieve their aspirations, a higher proportion would like to move to a detached house (55.4%) but only 28.6% expect to. In contrast, higher proportions expect to move to a semi-detached house (34.6%) than would prefer to (16.9%).  </w:t>
      </w:r>
    </w:p>
    <w:p w:rsidR="008F6597" w:rsidRDefault="008F6597" w:rsidP="008F6597">
      <w:pPr>
        <w:pStyle w:val="Maintext"/>
      </w:pPr>
      <w:r>
        <w:t>In terms of property size, the majority of respondents expect to move to a property with two (26.1%), three (50.3%) or four or more (23.1%) bedrooms. A higher proportion of households would like a property with four or more bedrooms (39.2%).</w:t>
      </w:r>
    </w:p>
    <w:p w:rsidR="00F87D14" w:rsidRDefault="00561DB6" w:rsidP="00F87D14">
      <w:pPr>
        <w:pStyle w:val="Maintext"/>
      </w:pPr>
      <w:r>
        <w:t>Table 4.1</w:t>
      </w:r>
      <w:r w:rsidR="008F6597">
        <w:t>9</w:t>
      </w:r>
      <w:r w:rsidR="00F87D14">
        <w:t xml:space="preserve"> considers how expectations vary by household type and indicates that:</w:t>
      </w:r>
    </w:p>
    <w:p w:rsidR="008F6597" w:rsidRDefault="008F6597" w:rsidP="008F6597">
      <w:pPr>
        <w:pStyle w:val="Maintext"/>
        <w:numPr>
          <w:ilvl w:val="2"/>
          <w:numId w:val="10"/>
        </w:numPr>
      </w:pPr>
      <w:r>
        <w:t>Houses remain the most popular choice of most households (except for older singles and couples), particularly detached and semi-detached properties with two, three and four bedrooms;</w:t>
      </w:r>
    </w:p>
    <w:p w:rsidR="008F6597" w:rsidRDefault="008F6597" w:rsidP="008F6597">
      <w:pPr>
        <w:pStyle w:val="Maintext"/>
        <w:numPr>
          <w:ilvl w:val="2"/>
          <w:numId w:val="10"/>
        </w:numPr>
      </w:pPr>
      <w:r>
        <w:t xml:space="preserve">A reasonable proportion of older single people (28.1%) expect to move into flats; </w:t>
      </w:r>
    </w:p>
    <w:p w:rsidR="008F6597" w:rsidRDefault="008F6597" w:rsidP="008F6597">
      <w:pPr>
        <w:pStyle w:val="Maintext"/>
        <w:numPr>
          <w:ilvl w:val="2"/>
          <w:numId w:val="10"/>
        </w:numPr>
      </w:pPr>
      <w:r>
        <w:t xml:space="preserve">There is a strong expectation of moving to bungalows amongst older person households (mentioned by 66.0% of older couples and 37.5% of couples with adult children); </w:t>
      </w:r>
    </w:p>
    <w:p w:rsidR="008F6597" w:rsidRDefault="008F6597" w:rsidP="008F6597">
      <w:pPr>
        <w:pStyle w:val="Maintext"/>
        <w:numPr>
          <w:ilvl w:val="2"/>
          <w:numId w:val="10"/>
        </w:numPr>
      </w:pPr>
      <w:r>
        <w:t>The number of bedrooms expected does not necessarily relate to household size, with 67.3% of singles under 60 and 74.0% of couples (no children) expecting to move to a property with three or more bedrooms. Overall:</w:t>
      </w:r>
    </w:p>
    <w:p w:rsidR="008F6597" w:rsidRDefault="008F6597" w:rsidP="008F6597">
      <w:pPr>
        <w:pStyle w:val="Maintext"/>
        <w:numPr>
          <w:ilvl w:val="3"/>
          <w:numId w:val="10"/>
        </w:numPr>
      </w:pPr>
      <w:r>
        <w:t xml:space="preserve"> Very few households expected to move to a one bedroom property;</w:t>
      </w:r>
    </w:p>
    <w:p w:rsidR="008F6597" w:rsidRDefault="008F6597" w:rsidP="008F6597">
      <w:pPr>
        <w:pStyle w:val="Maintext"/>
        <w:numPr>
          <w:ilvl w:val="3"/>
          <w:numId w:val="10"/>
        </w:numPr>
      </w:pPr>
      <w:r>
        <w:t xml:space="preserve">two bedroom properties were mainly expected to be moved to by singles aged 60 or over and couples over 60; </w:t>
      </w:r>
    </w:p>
    <w:p w:rsidR="008F6597" w:rsidRDefault="008F6597" w:rsidP="008F6597">
      <w:pPr>
        <w:pStyle w:val="Maintext"/>
        <w:numPr>
          <w:ilvl w:val="3"/>
          <w:numId w:val="10"/>
        </w:numPr>
      </w:pPr>
      <w:r>
        <w:t>three bedrooms were mainly expected to be moved to by lone parents with 1 or 2 children, couples only (both under 60), other types of household and lone parents with adult children;</w:t>
      </w:r>
    </w:p>
    <w:p w:rsidR="00561DB6" w:rsidRDefault="008F6597" w:rsidP="00C66F41">
      <w:pPr>
        <w:pStyle w:val="Maintext"/>
        <w:numPr>
          <w:ilvl w:val="3"/>
          <w:numId w:val="10"/>
        </w:numPr>
      </w:pPr>
      <w:r>
        <w:t xml:space="preserve">four or more bedrooms were mainly expected to be moved to by couples with children. </w:t>
      </w:r>
    </w:p>
    <w:p w:rsidR="00F87D14" w:rsidRDefault="00F87D14" w:rsidP="00F87D14">
      <w:pPr>
        <w:pStyle w:val="Maintext"/>
      </w:pPr>
      <w:r>
        <w:t xml:space="preserve">This evidence helps the </w:t>
      </w:r>
      <w:r w:rsidR="00561DB6">
        <w:t xml:space="preserve">Council </w:t>
      </w:r>
      <w:r>
        <w:t>to ascertain the range of dwell</w:t>
      </w:r>
      <w:r w:rsidR="00561DB6">
        <w:t>ings which should be developed</w:t>
      </w:r>
      <w:r>
        <w:t xml:space="preserve"> to help address shortfalls in market requirements. If the broad expectations of households were translated into how future development should proceed, the following split between property types would be suggested:</w:t>
      </w:r>
    </w:p>
    <w:p w:rsidR="00F87D14" w:rsidRDefault="000C004C" w:rsidP="00C76826">
      <w:pPr>
        <w:pStyle w:val="Maintext"/>
        <w:numPr>
          <w:ilvl w:val="2"/>
          <w:numId w:val="10"/>
        </w:numPr>
      </w:pPr>
      <w:r>
        <w:t>Houses 80</w:t>
      </w:r>
      <w:r w:rsidR="00F87D14">
        <w:t>%</w:t>
      </w:r>
    </w:p>
    <w:p w:rsidR="00F87D14" w:rsidRDefault="000C004C" w:rsidP="00C76826">
      <w:pPr>
        <w:pStyle w:val="Maintext"/>
        <w:numPr>
          <w:ilvl w:val="2"/>
          <w:numId w:val="10"/>
        </w:numPr>
      </w:pPr>
      <w:r>
        <w:t>Bungalows 14.1</w:t>
      </w:r>
      <w:r w:rsidR="00F87D14">
        <w:t>%</w:t>
      </w:r>
    </w:p>
    <w:p w:rsidR="00F87D14" w:rsidRDefault="000C004C" w:rsidP="00C76826">
      <w:pPr>
        <w:pStyle w:val="Maintext"/>
        <w:numPr>
          <w:ilvl w:val="2"/>
          <w:numId w:val="10"/>
        </w:numPr>
      </w:pPr>
      <w:r>
        <w:t>Flats and other 5.9</w:t>
      </w:r>
      <w:r w:rsidR="00F87D14">
        <w:t>%</w:t>
      </w:r>
    </w:p>
    <w:p w:rsidR="00F87D14" w:rsidRDefault="00F87D14" w:rsidP="00F87D14">
      <w:pPr>
        <w:pStyle w:val="Maintext"/>
      </w:pPr>
      <w:r>
        <w:t>Councils should pay p</w:t>
      </w:r>
      <w:r w:rsidR="000C004C">
        <w:t>articular attention to Table 4.11</w:t>
      </w:r>
      <w:r>
        <w:t xml:space="preserve">, which reviewed general market supply and demand, to help in discussions with developers regarding the type and size of market housing to be delivered </w:t>
      </w:r>
      <w:r w:rsidR="00561DB6">
        <w:t>within the County.</w:t>
      </w:r>
    </w:p>
    <w:p w:rsidR="00743AEC" w:rsidRDefault="00F87D14" w:rsidP="0069089A">
      <w:pPr>
        <w:pStyle w:val="Maintext"/>
      </w:pPr>
      <w:r>
        <w:t xml:space="preserve">Decisions regarding the nature of future open market development should be informed by this evidence but also informed by the market intelligence </w:t>
      </w:r>
      <w:r w:rsidR="00561DB6">
        <w:t xml:space="preserve">prepared by </w:t>
      </w:r>
      <w:r>
        <w:t xml:space="preserve">developers. </w:t>
      </w:r>
      <w:r w:rsidR="00743AEC">
        <w:t xml:space="preserve"> </w:t>
      </w:r>
    </w:p>
    <w:p w:rsidR="0069089A" w:rsidRDefault="0069089A" w:rsidP="00F87D14">
      <w:pPr>
        <w:pStyle w:val="Heading4"/>
        <w:rPr>
          <w:i w:val="0"/>
        </w:rPr>
      </w:pPr>
    </w:p>
    <w:p w:rsidR="00F87D14" w:rsidRDefault="00F87D14" w:rsidP="00F87D14">
      <w:pPr>
        <w:pStyle w:val="Heading4"/>
        <w:rPr>
          <w:i w:val="0"/>
        </w:rPr>
      </w:pPr>
      <w:r>
        <w:rPr>
          <w:i w:val="0"/>
        </w:rPr>
        <w:t>The likely overall proportions of households that require market or affordable housing</w:t>
      </w:r>
    </w:p>
    <w:p w:rsidR="00A579C2" w:rsidRDefault="00A579C2" w:rsidP="00A579C2">
      <w:pPr>
        <w:pStyle w:val="Maintext"/>
      </w:pPr>
      <w:r>
        <w:t xml:space="preserve">Having established a robust view on the annual imbalance between the supply and requirement for affordable housing, similar analysis has been carried out which considers open market demand relative to supply. </w:t>
      </w:r>
    </w:p>
    <w:p w:rsidR="00A579C2" w:rsidRDefault="00A579C2" w:rsidP="00A579C2">
      <w:pPr>
        <w:pStyle w:val="Maintext"/>
      </w:pPr>
      <w:r>
        <w:t>The scale of market demand has been estimated by considering demand:</w:t>
      </w:r>
    </w:p>
    <w:p w:rsidR="00A579C2" w:rsidRDefault="00A579C2" w:rsidP="00C76826">
      <w:pPr>
        <w:pStyle w:val="Maintext"/>
        <w:numPr>
          <w:ilvl w:val="0"/>
          <w:numId w:val="14"/>
        </w:numPr>
      </w:pPr>
      <w:r>
        <w:t xml:space="preserve">From existing households who are planning to move in the open market within </w:t>
      </w:r>
      <w:r w:rsidR="00561DB6">
        <w:t xml:space="preserve">County Durham </w:t>
      </w:r>
      <w:r>
        <w:t xml:space="preserve">on an annual basis (based on households planning to move in the next five years); </w:t>
      </w:r>
    </w:p>
    <w:p w:rsidR="00A579C2" w:rsidRDefault="00A579C2" w:rsidP="00C76826">
      <w:pPr>
        <w:pStyle w:val="Maintext"/>
        <w:numPr>
          <w:ilvl w:val="0"/>
          <w:numId w:val="14"/>
        </w:numPr>
      </w:pPr>
      <w:r>
        <w:t>From newly-forming households who can meet their needs in the market, based on the same affordability criterion as used for affordable hous</w:t>
      </w:r>
      <w:r w:rsidR="00473E31">
        <w:t>ing requirements</w:t>
      </w:r>
      <w:r>
        <w:t>; and</w:t>
      </w:r>
    </w:p>
    <w:p w:rsidR="00A579C2" w:rsidRDefault="00A579C2" w:rsidP="00C76826">
      <w:pPr>
        <w:pStyle w:val="Maintext"/>
        <w:numPr>
          <w:ilvl w:val="0"/>
          <w:numId w:val="14"/>
        </w:numPr>
        <w:jc w:val="left"/>
      </w:pPr>
      <w:r>
        <w:t>From in-migrant households; the estimate is based on the actual numbers of such households over the previous five years, based on the</w:t>
      </w:r>
      <w:r w:rsidR="00473E31">
        <w:t xml:space="preserve"> survey evidence</w:t>
      </w:r>
      <w:r>
        <w:t>.</w:t>
      </w:r>
    </w:p>
    <w:p w:rsidR="00A579C2" w:rsidRDefault="00A579C2" w:rsidP="00A579C2">
      <w:pPr>
        <w:pStyle w:val="Maintext"/>
      </w:pPr>
      <w:r>
        <w:t xml:space="preserve">The supply of open market dwellings can be derived from the household survey (imputed from length of residence information). </w:t>
      </w:r>
    </w:p>
    <w:p w:rsidR="005A5E9F" w:rsidRDefault="00A579C2" w:rsidP="00A579C2">
      <w:pPr>
        <w:pStyle w:val="Maintext"/>
      </w:pPr>
      <w:r>
        <w:t xml:space="preserve">Modelling of open market demand would suggest that there is a general balance between demand and supply. A challenge for the Council and developers is to address identified shortfalls in provision. </w:t>
      </w:r>
    </w:p>
    <w:p w:rsidR="004F2A42" w:rsidRDefault="004F2A42" w:rsidP="004F2A42">
      <w:pPr>
        <w:pStyle w:val="Maintext"/>
      </w:pPr>
      <w:r>
        <w:t xml:space="preserve">Analysis of household projections can help to inform the proportion of households who require particular tenures. </w:t>
      </w:r>
      <w:r w:rsidR="00582920">
        <w:t>Table  5.2 summarises predicted household change bas</w:t>
      </w:r>
      <w:r w:rsidR="000C004C">
        <w:t>ed on Durham County Council 2011</w:t>
      </w:r>
      <w:r w:rsidR="00582920">
        <w:t xml:space="preserve">-based household projections and assumes the tenure profile of households by age group of Household Reference Person remains constant over this period. </w:t>
      </w:r>
      <w:r>
        <w:t>Overall, analysis suggests a</w:t>
      </w:r>
      <w:r w:rsidR="000C004C">
        <w:t>round 75.3</w:t>
      </w:r>
      <w:r>
        <w:t>% of household growth should be accommodated in o</w:t>
      </w:r>
      <w:r w:rsidR="00561DB6">
        <w:t>pe</w:t>
      </w:r>
      <w:r w:rsidR="000C004C">
        <w:t>n market dwelling stock and 24.7</w:t>
      </w:r>
      <w:r>
        <w:t>% in affordable/intermediate tenure dwelling stock.</w:t>
      </w:r>
    </w:p>
    <w:p w:rsidR="004F2A42" w:rsidRDefault="004F2A42" w:rsidP="004F2A42">
      <w:pPr>
        <w:pStyle w:val="Maintext"/>
        <w:numPr>
          <w:ilvl w:val="0"/>
          <w:numId w:val="0"/>
        </w:numPr>
        <w:ind w:left="709"/>
        <w:rPr>
          <w:b/>
        </w:rPr>
      </w:pPr>
    </w:p>
    <w:p w:rsidR="00561DB6" w:rsidRDefault="00561DB6" w:rsidP="00561DB6">
      <w:pPr>
        <w:pStyle w:val="Maintext"/>
        <w:numPr>
          <w:ilvl w:val="0"/>
          <w:numId w:val="0"/>
        </w:numPr>
        <w:ind w:left="709"/>
      </w:pPr>
      <w:r w:rsidRPr="003230F9">
        <w:rPr>
          <w:b/>
        </w:rPr>
        <w:t xml:space="preserve">Table </w:t>
      </w:r>
      <w:r>
        <w:rPr>
          <w:b/>
        </w:rPr>
        <w:t>5.2</w:t>
      </w:r>
      <w:r>
        <w:tab/>
        <w:t>Househ</w:t>
      </w:r>
      <w:r w:rsidR="004051AD">
        <w:t xml:space="preserve">old </w:t>
      </w:r>
      <w:r w:rsidR="000C004C">
        <w:t>and dwelling change in County Durham 2011</w:t>
      </w:r>
      <w:r w:rsidR="004051AD">
        <w:t>-2030</w:t>
      </w:r>
    </w:p>
    <w:tbl>
      <w:tblPr>
        <w:tblW w:w="5673" w:type="dxa"/>
        <w:tblInd w:w="720" w:type="dxa"/>
        <w:tblLook w:val="04A0" w:firstRow="1" w:lastRow="0" w:firstColumn="1" w:lastColumn="0" w:noHBand="0" w:noVBand="1"/>
      </w:tblPr>
      <w:tblGrid>
        <w:gridCol w:w="2040"/>
        <w:gridCol w:w="1357"/>
        <w:gridCol w:w="1316"/>
        <w:gridCol w:w="960"/>
      </w:tblGrid>
      <w:tr w:rsidR="000C004C" w:rsidRPr="000C004C" w:rsidTr="000C004C">
        <w:trPr>
          <w:trHeight w:val="300"/>
        </w:trPr>
        <w:tc>
          <w:tcPr>
            <w:tcW w:w="2040" w:type="dxa"/>
            <w:tcBorders>
              <w:top w:val="single" w:sz="4" w:space="0" w:color="auto"/>
              <w:left w:val="single" w:sz="4" w:space="0" w:color="auto"/>
              <w:bottom w:val="nil"/>
              <w:right w:val="single" w:sz="4" w:space="0" w:color="auto"/>
            </w:tcBorders>
            <w:shd w:val="clear" w:color="000000" w:fill="008080"/>
            <w:noWrap/>
            <w:vAlign w:val="bottom"/>
            <w:hideMark/>
          </w:tcPr>
          <w:p w:rsidR="000C004C" w:rsidRPr="000C004C" w:rsidRDefault="000C004C" w:rsidP="000C004C">
            <w:pPr>
              <w:spacing w:before="0" w:after="0"/>
              <w:rPr>
                <w:rFonts w:cs="Arial"/>
                <w:b/>
                <w:bCs/>
                <w:color w:val="FFFFFF"/>
                <w:sz w:val="22"/>
                <w:szCs w:val="22"/>
                <w:lang w:eastAsia="en-GB"/>
              </w:rPr>
            </w:pPr>
            <w:r w:rsidRPr="000C004C">
              <w:rPr>
                <w:rFonts w:cs="Arial"/>
                <w:b/>
                <w:bCs/>
                <w:color w:val="FFFFFF"/>
                <w:sz w:val="22"/>
                <w:szCs w:val="22"/>
                <w:lang w:eastAsia="en-GB"/>
              </w:rPr>
              <w:t> </w:t>
            </w:r>
          </w:p>
        </w:tc>
        <w:tc>
          <w:tcPr>
            <w:tcW w:w="1357" w:type="dxa"/>
            <w:tcBorders>
              <w:top w:val="single" w:sz="4" w:space="0" w:color="auto"/>
              <w:left w:val="nil"/>
              <w:bottom w:val="single" w:sz="4" w:space="0" w:color="auto"/>
              <w:right w:val="nil"/>
            </w:tcBorders>
            <w:shd w:val="clear" w:color="000000" w:fill="008080"/>
            <w:noWrap/>
            <w:vAlign w:val="bottom"/>
            <w:hideMark/>
          </w:tcPr>
          <w:p w:rsidR="000C004C" w:rsidRPr="000C004C" w:rsidRDefault="000C004C" w:rsidP="000C004C">
            <w:pPr>
              <w:spacing w:before="0" w:after="0"/>
              <w:rPr>
                <w:rFonts w:cs="Arial"/>
                <w:b/>
                <w:bCs/>
                <w:color w:val="FFFFFF"/>
                <w:sz w:val="22"/>
                <w:szCs w:val="22"/>
                <w:lang w:eastAsia="en-GB"/>
              </w:rPr>
            </w:pPr>
            <w:r w:rsidRPr="000C004C">
              <w:rPr>
                <w:rFonts w:cs="Arial"/>
                <w:b/>
                <w:bCs/>
                <w:color w:val="FFFFFF"/>
                <w:sz w:val="22"/>
                <w:szCs w:val="22"/>
                <w:lang w:eastAsia="en-GB"/>
              </w:rPr>
              <w:t>Tenure</w:t>
            </w:r>
          </w:p>
        </w:tc>
        <w:tc>
          <w:tcPr>
            <w:tcW w:w="1316" w:type="dxa"/>
            <w:tcBorders>
              <w:top w:val="single" w:sz="4" w:space="0" w:color="auto"/>
              <w:left w:val="nil"/>
              <w:bottom w:val="single" w:sz="4" w:space="0" w:color="auto"/>
              <w:right w:val="nil"/>
            </w:tcBorders>
            <w:shd w:val="clear" w:color="000000" w:fill="008080"/>
            <w:noWrap/>
            <w:vAlign w:val="bottom"/>
            <w:hideMark/>
          </w:tcPr>
          <w:p w:rsidR="000C004C" w:rsidRPr="000C004C" w:rsidRDefault="000C004C" w:rsidP="000C004C">
            <w:pPr>
              <w:spacing w:before="0" w:after="0"/>
              <w:rPr>
                <w:rFonts w:cs="Arial"/>
                <w:color w:val="FFFFFF"/>
                <w:sz w:val="22"/>
                <w:szCs w:val="22"/>
                <w:lang w:eastAsia="en-GB"/>
              </w:rPr>
            </w:pPr>
            <w:r w:rsidRPr="000C004C">
              <w:rPr>
                <w:rFonts w:cs="Arial"/>
                <w:color w:val="FFFFFF"/>
                <w:sz w:val="22"/>
                <w:szCs w:val="22"/>
                <w:lang w:eastAsia="en-GB"/>
              </w:rPr>
              <w:t> </w:t>
            </w:r>
          </w:p>
        </w:tc>
        <w:tc>
          <w:tcPr>
            <w:tcW w:w="960" w:type="dxa"/>
            <w:tcBorders>
              <w:top w:val="single" w:sz="4" w:space="0" w:color="auto"/>
              <w:left w:val="nil"/>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rPr>
                <w:rFonts w:cs="Arial"/>
                <w:color w:val="FFFFFF"/>
                <w:sz w:val="22"/>
                <w:szCs w:val="22"/>
                <w:lang w:eastAsia="en-GB"/>
              </w:rPr>
            </w:pPr>
            <w:r w:rsidRPr="000C004C">
              <w:rPr>
                <w:rFonts w:cs="Arial"/>
                <w:color w:val="FFFFFF"/>
                <w:sz w:val="22"/>
                <w:szCs w:val="22"/>
                <w:lang w:eastAsia="en-GB"/>
              </w:rPr>
              <w:t> </w:t>
            </w:r>
          </w:p>
        </w:tc>
      </w:tr>
      <w:tr w:rsidR="000C004C" w:rsidRPr="000C004C" w:rsidTr="000C004C">
        <w:trPr>
          <w:trHeight w:val="300"/>
        </w:trPr>
        <w:tc>
          <w:tcPr>
            <w:tcW w:w="2040" w:type="dxa"/>
            <w:tcBorders>
              <w:top w:val="nil"/>
              <w:left w:val="single" w:sz="4" w:space="0" w:color="auto"/>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rPr>
                <w:rFonts w:cs="Arial"/>
                <w:b/>
                <w:bCs/>
                <w:color w:val="FFFFFF"/>
                <w:sz w:val="22"/>
                <w:szCs w:val="22"/>
                <w:lang w:eastAsia="en-GB"/>
              </w:rPr>
            </w:pPr>
            <w:r w:rsidRPr="000C004C">
              <w:rPr>
                <w:rFonts w:cs="Arial"/>
                <w:b/>
                <w:bCs/>
                <w:color w:val="FFFFFF"/>
                <w:sz w:val="22"/>
                <w:szCs w:val="22"/>
                <w:lang w:eastAsia="en-GB"/>
              </w:rPr>
              <w:t> </w:t>
            </w:r>
          </w:p>
        </w:tc>
        <w:tc>
          <w:tcPr>
            <w:tcW w:w="1357" w:type="dxa"/>
            <w:tcBorders>
              <w:top w:val="nil"/>
              <w:left w:val="nil"/>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jc w:val="center"/>
              <w:rPr>
                <w:rFonts w:cs="Arial"/>
                <w:b/>
                <w:bCs/>
                <w:color w:val="FFFFFF"/>
                <w:sz w:val="22"/>
                <w:szCs w:val="22"/>
                <w:lang w:eastAsia="en-GB"/>
              </w:rPr>
            </w:pPr>
            <w:r w:rsidRPr="000C004C">
              <w:rPr>
                <w:rFonts w:cs="Arial"/>
                <w:b/>
                <w:bCs/>
                <w:color w:val="FFFFFF"/>
                <w:sz w:val="22"/>
                <w:szCs w:val="22"/>
                <w:lang w:eastAsia="en-GB"/>
              </w:rPr>
              <w:t>Open Market</w:t>
            </w:r>
          </w:p>
        </w:tc>
        <w:tc>
          <w:tcPr>
            <w:tcW w:w="1316" w:type="dxa"/>
            <w:tcBorders>
              <w:top w:val="nil"/>
              <w:left w:val="nil"/>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jc w:val="center"/>
              <w:rPr>
                <w:rFonts w:cs="Arial"/>
                <w:b/>
                <w:bCs/>
                <w:color w:val="FFFFFF"/>
                <w:sz w:val="22"/>
                <w:szCs w:val="22"/>
                <w:lang w:eastAsia="en-GB"/>
              </w:rPr>
            </w:pPr>
            <w:r w:rsidRPr="000C004C">
              <w:rPr>
                <w:rFonts w:cs="Arial"/>
                <w:b/>
                <w:bCs/>
                <w:color w:val="FFFFFF"/>
                <w:sz w:val="22"/>
                <w:szCs w:val="22"/>
                <w:lang w:eastAsia="en-GB"/>
              </w:rPr>
              <w:t>Affordable</w:t>
            </w:r>
          </w:p>
        </w:tc>
        <w:tc>
          <w:tcPr>
            <w:tcW w:w="960" w:type="dxa"/>
            <w:tcBorders>
              <w:top w:val="nil"/>
              <w:left w:val="nil"/>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jc w:val="center"/>
              <w:rPr>
                <w:rFonts w:cs="Arial"/>
                <w:b/>
                <w:bCs/>
                <w:color w:val="FFFFFF"/>
                <w:sz w:val="22"/>
                <w:szCs w:val="22"/>
                <w:lang w:eastAsia="en-GB"/>
              </w:rPr>
            </w:pPr>
            <w:r w:rsidRPr="000C004C">
              <w:rPr>
                <w:rFonts w:cs="Arial"/>
                <w:b/>
                <w:bCs/>
                <w:color w:val="FFFFFF"/>
                <w:sz w:val="22"/>
                <w:szCs w:val="22"/>
                <w:lang w:eastAsia="en-GB"/>
              </w:rPr>
              <w:t>Total</w:t>
            </w:r>
          </w:p>
        </w:tc>
      </w:tr>
      <w:tr w:rsidR="000C004C" w:rsidRPr="000C004C" w:rsidTr="000C004C">
        <w:trPr>
          <w:trHeight w:val="300"/>
        </w:trPr>
        <w:tc>
          <w:tcPr>
            <w:tcW w:w="2040" w:type="dxa"/>
            <w:tcBorders>
              <w:top w:val="nil"/>
              <w:left w:val="single" w:sz="4" w:space="0" w:color="auto"/>
              <w:bottom w:val="nil"/>
              <w:right w:val="single" w:sz="4" w:space="0" w:color="auto"/>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Households</w:t>
            </w:r>
          </w:p>
        </w:tc>
        <w:tc>
          <w:tcPr>
            <w:tcW w:w="1357" w:type="dxa"/>
            <w:tcBorders>
              <w:top w:val="nil"/>
              <w:left w:val="nil"/>
              <w:bottom w:val="nil"/>
              <w:right w:val="nil"/>
            </w:tcBorders>
            <w:shd w:val="clear" w:color="auto" w:fill="auto"/>
            <w:noWrap/>
            <w:vAlign w:val="bottom"/>
            <w:hideMark/>
          </w:tcPr>
          <w:p w:rsidR="000C004C" w:rsidRPr="000C004C" w:rsidRDefault="000C004C" w:rsidP="000C004C">
            <w:pPr>
              <w:spacing w:before="0" w:after="0"/>
              <w:rPr>
                <w:rFonts w:cs="Arial"/>
                <w:sz w:val="20"/>
                <w:szCs w:val="20"/>
                <w:lang w:eastAsia="en-GB"/>
              </w:rPr>
            </w:pPr>
          </w:p>
        </w:tc>
        <w:tc>
          <w:tcPr>
            <w:tcW w:w="1316" w:type="dxa"/>
            <w:tcBorders>
              <w:top w:val="nil"/>
              <w:left w:val="nil"/>
              <w:bottom w:val="nil"/>
              <w:right w:val="nil"/>
            </w:tcBorders>
            <w:shd w:val="clear" w:color="auto" w:fill="auto"/>
            <w:noWrap/>
            <w:vAlign w:val="bottom"/>
            <w:hideMark/>
          </w:tcPr>
          <w:p w:rsidR="000C004C" w:rsidRPr="000C004C" w:rsidRDefault="000C004C" w:rsidP="000C004C">
            <w:pPr>
              <w:spacing w:before="0" w:after="0"/>
              <w:rPr>
                <w:rFonts w:cs="Arial"/>
                <w:sz w:val="20"/>
                <w:szCs w:val="20"/>
                <w:lang w:eastAsia="en-GB"/>
              </w:rPr>
            </w:pPr>
          </w:p>
        </w:tc>
        <w:tc>
          <w:tcPr>
            <w:tcW w:w="960" w:type="dxa"/>
            <w:tcBorders>
              <w:top w:val="nil"/>
              <w:left w:val="nil"/>
              <w:bottom w:val="nil"/>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 </w:t>
            </w:r>
          </w:p>
        </w:tc>
      </w:tr>
      <w:tr w:rsidR="000C004C" w:rsidRPr="000C004C" w:rsidTr="000C004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Total</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16945</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5553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22498</w:t>
            </w:r>
          </w:p>
        </w:tc>
      </w:tr>
      <w:tr w:rsidR="000C004C" w:rsidRPr="000C004C" w:rsidTr="000C004C">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Annual</w:t>
            </w:r>
          </w:p>
        </w:tc>
        <w:tc>
          <w:tcPr>
            <w:tcW w:w="1357"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847</w:t>
            </w:r>
          </w:p>
        </w:tc>
        <w:tc>
          <w:tcPr>
            <w:tcW w:w="1316"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278</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1125</w:t>
            </w:r>
          </w:p>
        </w:tc>
      </w:tr>
      <w:tr w:rsidR="000C004C" w:rsidRPr="000C004C" w:rsidTr="000C004C">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w:t>
            </w:r>
          </w:p>
        </w:tc>
        <w:tc>
          <w:tcPr>
            <w:tcW w:w="1357"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75.3</w:t>
            </w:r>
          </w:p>
        </w:tc>
        <w:tc>
          <w:tcPr>
            <w:tcW w:w="1316"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24.7</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100.0</w:t>
            </w:r>
          </w:p>
        </w:tc>
      </w:tr>
      <w:tr w:rsidR="000C004C" w:rsidRPr="000C004C" w:rsidTr="000C004C">
        <w:trPr>
          <w:trHeight w:val="300"/>
        </w:trPr>
        <w:tc>
          <w:tcPr>
            <w:tcW w:w="2040" w:type="dxa"/>
            <w:tcBorders>
              <w:top w:val="nil"/>
              <w:left w:val="single" w:sz="4" w:space="0" w:color="auto"/>
              <w:bottom w:val="nil"/>
              <w:right w:val="nil"/>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Dwellings</w:t>
            </w:r>
          </w:p>
        </w:tc>
        <w:tc>
          <w:tcPr>
            <w:tcW w:w="1357" w:type="dxa"/>
            <w:tcBorders>
              <w:top w:val="nil"/>
              <w:left w:val="nil"/>
              <w:bottom w:val="nil"/>
              <w:right w:val="nil"/>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p>
        </w:tc>
        <w:tc>
          <w:tcPr>
            <w:tcW w:w="1316" w:type="dxa"/>
            <w:tcBorders>
              <w:top w:val="nil"/>
              <w:left w:val="nil"/>
              <w:bottom w:val="nil"/>
              <w:right w:val="nil"/>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p>
        </w:tc>
        <w:tc>
          <w:tcPr>
            <w:tcW w:w="960" w:type="dxa"/>
            <w:tcBorders>
              <w:top w:val="nil"/>
              <w:left w:val="nil"/>
              <w:bottom w:val="nil"/>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 </w:t>
            </w:r>
          </w:p>
        </w:tc>
      </w:tr>
      <w:tr w:rsidR="000C004C" w:rsidRPr="000C004C" w:rsidTr="000C004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Total</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17678</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5793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23472</w:t>
            </w:r>
          </w:p>
        </w:tc>
      </w:tr>
      <w:tr w:rsidR="000C004C" w:rsidRPr="000C004C" w:rsidTr="000C004C">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Annual</w:t>
            </w:r>
          </w:p>
        </w:tc>
        <w:tc>
          <w:tcPr>
            <w:tcW w:w="1357"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884</w:t>
            </w:r>
          </w:p>
        </w:tc>
        <w:tc>
          <w:tcPr>
            <w:tcW w:w="1316"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290</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1174</w:t>
            </w:r>
          </w:p>
        </w:tc>
      </w:tr>
      <w:tr w:rsidR="000C004C" w:rsidRPr="000C004C" w:rsidTr="000C004C">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b/>
                <w:bCs/>
                <w:color w:val="000000"/>
                <w:sz w:val="22"/>
                <w:szCs w:val="22"/>
                <w:lang w:eastAsia="en-GB"/>
              </w:rPr>
            </w:pPr>
            <w:r w:rsidRPr="000C004C">
              <w:rPr>
                <w:rFonts w:cs="Arial"/>
                <w:b/>
                <w:bCs/>
                <w:color w:val="000000"/>
                <w:sz w:val="22"/>
                <w:szCs w:val="22"/>
                <w:lang w:eastAsia="en-GB"/>
              </w:rPr>
              <w:t>%</w:t>
            </w:r>
          </w:p>
        </w:tc>
        <w:tc>
          <w:tcPr>
            <w:tcW w:w="1357"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75.3</w:t>
            </w:r>
          </w:p>
        </w:tc>
        <w:tc>
          <w:tcPr>
            <w:tcW w:w="1316"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24.7</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b/>
                <w:bCs/>
                <w:color w:val="000000"/>
                <w:sz w:val="22"/>
                <w:szCs w:val="22"/>
                <w:lang w:eastAsia="en-GB"/>
              </w:rPr>
            </w:pPr>
            <w:r w:rsidRPr="000C004C">
              <w:rPr>
                <w:rFonts w:cs="Arial"/>
                <w:b/>
                <w:bCs/>
                <w:color w:val="000000"/>
                <w:sz w:val="22"/>
                <w:szCs w:val="22"/>
                <w:lang w:eastAsia="en-GB"/>
              </w:rPr>
              <w:t>100.0</w:t>
            </w:r>
          </w:p>
        </w:tc>
      </w:tr>
    </w:tbl>
    <w:p w:rsidR="00561DB6" w:rsidRPr="007D68C7" w:rsidRDefault="00561DB6" w:rsidP="000C004C">
      <w:pPr>
        <w:pStyle w:val="Maintext"/>
        <w:numPr>
          <w:ilvl w:val="0"/>
          <w:numId w:val="0"/>
        </w:numPr>
        <w:ind w:left="709"/>
        <w:rPr>
          <w:sz w:val="20"/>
          <w:szCs w:val="20"/>
        </w:rPr>
      </w:pPr>
      <w:r w:rsidRPr="00DA7729">
        <w:rPr>
          <w:sz w:val="20"/>
          <w:szCs w:val="20"/>
        </w:rPr>
        <w:t xml:space="preserve">Source: </w:t>
      </w:r>
      <w:r w:rsidR="000C004C">
        <w:rPr>
          <w:sz w:val="20"/>
          <w:szCs w:val="20"/>
        </w:rPr>
        <w:t>County Durham 2011</w:t>
      </w:r>
      <w:r w:rsidR="004051AD">
        <w:rPr>
          <w:sz w:val="20"/>
          <w:szCs w:val="20"/>
        </w:rPr>
        <w:t>-based</w:t>
      </w:r>
      <w:r>
        <w:rPr>
          <w:sz w:val="20"/>
          <w:szCs w:val="20"/>
        </w:rPr>
        <w:t xml:space="preserve"> Household Projections; 2012</w:t>
      </w:r>
      <w:r w:rsidRPr="00DA7729">
        <w:rPr>
          <w:sz w:val="20"/>
          <w:szCs w:val="20"/>
        </w:rPr>
        <w:t xml:space="preserve"> household survey</w:t>
      </w:r>
      <w:r w:rsidRPr="00DA7729">
        <w:t> </w:t>
      </w:r>
      <w:r w:rsidRPr="00DA7729">
        <w:rPr>
          <w:sz w:val="20"/>
          <w:szCs w:val="20"/>
        </w:rPr>
        <w:br/>
      </w:r>
      <w:r w:rsidRPr="007D68C7">
        <w:rPr>
          <w:sz w:val="20"/>
          <w:szCs w:val="20"/>
        </w:rPr>
        <w:t>Data may not add up due to rounding</w:t>
      </w:r>
    </w:p>
    <w:p w:rsidR="00561DB6" w:rsidRDefault="00561DB6" w:rsidP="00DA7729">
      <w:pPr>
        <w:pStyle w:val="Maintext"/>
        <w:numPr>
          <w:ilvl w:val="0"/>
          <w:numId w:val="0"/>
        </w:numPr>
        <w:ind w:left="709"/>
        <w:rPr>
          <w:b/>
          <w:sz w:val="20"/>
          <w:szCs w:val="20"/>
        </w:rPr>
      </w:pPr>
    </w:p>
    <w:p w:rsidR="004F2A42" w:rsidRDefault="004F2A42" w:rsidP="004F2A42">
      <w:pPr>
        <w:pStyle w:val="Maintext"/>
      </w:pPr>
      <w:r>
        <w:t xml:space="preserve">It is important to reiterate that this analysis focuses on household numbers and these do not necessarily relate to dwelling targets. Similarly, existing capacity of market and affordable dwellings can help offset overall demand from household growth. </w:t>
      </w:r>
    </w:p>
    <w:p w:rsidR="00A579C2" w:rsidRDefault="00A579C2" w:rsidP="00A579C2">
      <w:pPr>
        <w:pStyle w:val="Maintext"/>
        <w:numPr>
          <w:ilvl w:val="0"/>
          <w:numId w:val="0"/>
        </w:numPr>
        <w:ind w:left="709"/>
      </w:pPr>
    </w:p>
    <w:p w:rsidR="005A5E9F" w:rsidRDefault="005A5E9F" w:rsidP="00F87D14">
      <w:pPr>
        <w:pStyle w:val="Maintext"/>
        <w:numPr>
          <w:ilvl w:val="0"/>
          <w:numId w:val="0"/>
        </w:numPr>
      </w:pPr>
    </w:p>
    <w:p w:rsidR="00F87D14" w:rsidRPr="00D37F3D" w:rsidRDefault="00F87D14" w:rsidP="00A872EA">
      <w:pPr>
        <w:pStyle w:val="Heading4"/>
        <w:ind w:left="0" w:firstLine="709"/>
        <w:rPr>
          <w:i w:val="0"/>
        </w:rPr>
      </w:pPr>
      <w:r w:rsidRPr="00D37F3D">
        <w:rPr>
          <w:i w:val="0"/>
        </w:rPr>
        <w:t>The likely profile of household types requiring market housing</w:t>
      </w:r>
    </w:p>
    <w:p w:rsidR="00F87D14" w:rsidRPr="003D566B" w:rsidRDefault="004F2A42" w:rsidP="00F87D14">
      <w:pPr>
        <w:pStyle w:val="Maintext"/>
      </w:pPr>
      <w:r>
        <w:t>Table 5.3</w:t>
      </w:r>
      <w:r w:rsidR="00F87D14">
        <w:t xml:space="preserve"> summarises the likely profile of household types requiring market housing. This is based on the number of households planning to move in the next five years. Households most likely to be moving in the open market are couples only (under 60), couples with children, couples (one or both over 60) and single adults under 60. </w:t>
      </w:r>
    </w:p>
    <w:p w:rsidR="00F87D14" w:rsidRDefault="00F87D14" w:rsidP="00F87D14">
      <w:pPr>
        <w:pStyle w:val="Maintext"/>
      </w:pPr>
      <w:r>
        <w:t>Further analysis of how market requirements vary by household</w:t>
      </w:r>
      <w:r w:rsidR="000C004C">
        <w:t xml:space="preserve"> type is presented in Table 4.11</w:t>
      </w:r>
      <w:r>
        <w:t>.</w:t>
      </w:r>
    </w:p>
    <w:p w:rsidR="00F87D14" w:rsidRDefault="00F87D14" w:rsidP="0069089A">
      <w:pPr>
        <w:pStyle w:val="Maintext"/>
        <w:numPr>
          <w:ilvl w:val="0"/>
          <w:numId w:val="0"/>
        </w:numPr>
        <w:rPr>
          <w:b/>
        </w:rPr>
      </w:pPr>
    </w:p>
    <w:p w:rsidR="00F87D14" w:rsidRDefault="00F87D14" w:rsidP="00C66F41">
      <w:pPr>
        <w:pStyle w:val="Maintext"/>
        <w:numPr>
          <w:ilvl w:val="0"/>
          <w:numId w:val="0"/>
        </w:numPr>
        <w:ind w:firstLine="709"/>
      </w:pPr>
      <w:r>
        <w:rPr>
          <w:b/>
        </w:rPr>
        <w:t>Table 5.</w:t>
      </w:r>
      <w:r w:rsidR="004F2A42">
        <w:rPr>
          <w:b/>
        </w:rPr>
        <w:t>3</w:t>
      </w:r>
      <w:r>
        <w:tab/>
        <w:t>Likely profile of household types requiring market housing</w:t>
      </w:r>
    </w:p>
    <w:tbl>
      <w:tblPr>
        <w:tblW w:w="5620" w:type="dxa"/>
        <w:tblInd w:w="720" w:type="dxa"/>
        <w:tblLook w:val="04A0" w:firstRow="1" w:lastRow="0" w:firstColumn="1" w:lastColumn="0" w:noHBand="0" w:noVBand="1"/>
      </w:tblPr>
      <w:tblGrid>
        <w:gridCol w:w="3580"/>
        <w:gridCol w:w="2040"/>
      </w:tblGrid>
      <w:tr w:rsidR="000C004C" w:rsidRPr="000C004C" w:rsidTr="000C004C">
        <w:trPr>
          <w:trHeight w:val="255"/>
        </w:trPr>
        <w:tc>
          <w:tcPr>
            <w:tcW w:w="35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rPr>
                <w:rFonts w:cs="Arial"/>
                <w:b/>
                <w:bCs/>
                <w:color w:val="FFFFFF"/>
                <w:sz w:val="20"/>
                <w:szCs w:val="20"/>
                <w:lang w:eastAsia="en-GB"/>
              </w:rPr>
            </w:pPr>
            <w:r w:rsidRPr="000C004C">
              <w:rPr>
                <w:rFonts w:cs="Arial"/>
                <w:b/>
                <w:bCs/>
                <w:color w:val="FFFFFF"/>
                <w:sz w:val="20"/>
                <w:szCs w:val="20"/>
                <w:lang w:eastAsia="en-GB"/>
              </w:rPr>
              <w:t>Household type</w:t>
            </w:r>
          </w:p>
        </w:tc>
        <w:tc>
          <w:tcPr>
            <w:tcW w:w="2040" w:type="dxa"/>
            <w:tcBorders>
              <w:top w:val="single" w:sz="4" w:space="0" w:color="auto"/>
              <w:left w:val="nil"/>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jc w:val="center"/>
              <w:rPr>
                <w:rFonts w:cs="Arial"/>
                <w:b/>
                <w:bCs/>
                <w:color w:val="FFFFFF"/>
                <w:sz w:val="20"/>
                <w:szCs w:val="20"/>
                <w:lang w:eastAsia="en-GB"/>
              </w:rPr>
            </w:pPr>
            <w:r w:rsidRPr="000C004C">
              <w:rPr>
                <w:rFonts w:cs="Arial"/>
                <w:b/>
                <w:bCs/>
                <w:color w:val="FFFFFF"/>
                <w:sz w:val="20"/>
                <w:szCs w:val="20"/>
                <w:lang w:eastAsia="en-GB"/>
              </w:rPr>
              <w:t>%</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Single adult (under 60)</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14.8</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Single adult (60 or over)</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5.0</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Couple only (both under 60)</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20.5</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Couple only (one or both over 60)</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11.4</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Couple 1/2 child(ren) under 18</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26.9</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Couple 3+ children under 18</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2.4</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Lone parent with 1/2 child(ren) under 18</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9.6</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Other type of household</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3.1</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Couple with adult child(ren)</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5.0</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Lone parent with adult child(ren)</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1.2</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Total</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100.0</w:t>
            </w:r>
          </w:p>
        </w:tc>
      </w:tr>
      <w:tr w:rsidR="000C004C" w:rsidRPr="000C004C" w:rsidTr="000C004C">
        <w:trPr>
          <w:trHeight w:val="255"/>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Base (households planning to move)</w:t>
            </w:r>
          </w:p>
        </w:tc>
        <w:tc>
          <w:tcPr>
            <w:tcW w:w="204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13690</w:t>
            </w:r>
          </w:p>
        </w:tc>
      </w:tr>
    </w:tbl>
    <w:p w:rsidR="00F87D14" w:rsidRDefault="00387A91" w:rsidP="00EB0331">
      <w:pPr>
        <w:pStyle w:val="Maintext"/>
        <w:numPr>
          <w:ilvl w:val="0"/>
          <w:numId w:val="0"/>
        </w:numPr>
        <w:ind w:left="709"/>
        <w:rPr>
          <w:sz w:val="20"/>
          <w:szCs w:val="20"/>
        </w:rPr>
      </w:pPr>
      <w:r>
        <w:rPr>
          <w:sz w:val="20"/>
          <w:szCs w:val="20"/>
        </w:rPr>
        <w:t>Source: 2012</w:t>
      </w:r>
      <w:r w:rsidR="00F87D14">
        <w:rPr>
          <w:sz w:val="20"/>
          <w:szCs w:val="20"/>
        </w:rPr>
        <w:t xml:space="preserve"> Household Survey</w:t>
      </w:r>
      <w:r w:rsidR="000C004C">
        <w:rPr>
          <w:sz w:val="20"/>
          <w:szCs w:val="20"/>
        </w:rPr>
        <w:t>; rebased to 2011 census</w:t>
      </w:r>
    </w:p>
    <w:p w:rsidR="00F87D14" w:rsidRDefault="00F87D14" w:rsidP="00F87D14">
      <w:pPr>
        <w:pStyle w:val="Maintext"/>
        <w:numPr>
          <w:ilvl w:val="0"/>
          <w:numId w:val="0"/>
        </w:numPr>
        <w:rPr>
          <w:i/>
        </w:rPr>
      </w:pPr>
    </w:p>
    <w:p w:rsidR="00F87D14" w:rsidRDefault="00F87D14" w:rsidP="00F87D14">
      <w:pPr>
        <w:pStyle w:val="Maintext"/>
        <w:numPr>
          <w:ilvl w:val="0"/>
          <w:numId w:val="0"/>
        </w:numPr>
        <w:rPr>
          <w:bCs/>
          <w:i/>
        </w:rPr>
      </w:pPr>
    </w:p>
    <w:p w:rsidR="00F87D14" w:rsidRPr="00226B8C" w:rsidRDefault="00F87D14" w:rsidP="00F87D14">
      <w:pPr>
        <w:pStyle w:val="Heading4"/>
        <w:rPr>
          <w:i w:val="0"/>
        </w:rPr>
      </w:pPr>
      <w:r>
        <w:rPr>
          <w:i w:val="0"/>
        </w:rPr>
        <w:t>The size and type of affordable housing required</w:t>
      </w:r>
    </w:p>
    <w:p w:rsidR="00A579C2" w:rsidRDefault="00F87D14" w:rsidP="00F87D14">
      <w:pPr>
        <w:pStyle w:val="Maintext"/>
      </w:pPr>
      <w:r>
        <w:t xml:space="preserve">A full breakdown of the size of affordable housing required for both general needs and older people </w:t>
      </w:r>
      <w:r w:rsidR="00A579C2">
        <w:t xml:space="preserve">based on </w:t>
      </w:r>
      <w:r w:rsidR="00150609">
        <w:t>modelling in accordance with CLG guidance</w:t>
      </w:r>
      <w:r w:rsidR="00A579C2">
        <w:t xml:space="preserve"> suggests a </w:t>
      </w:r>
      <w:r w:rsidR="00150609">
        <w:t>net shortfall of</w:t>
      </w:r>
      <w:r w:rsidR="008B416E">
        <w:t xml:space="preserve"> </w:t>
      </w:r>
      <w:r w:rsidR="000C004C">
        <w:t>675</w:t>
      </w:r>
      <w:r w:rsidR="00A579C2">
        <w:t xml:space="preserve"> </w:t>
      </w:r>
      <w:r w:rsidR="000C004C">
        <w:t>(gross 1,154</w:t>
      </w:r>
      <w:r w:rsidR="00150609">
        <w:t>). These</w:t>
      </w:r>
      <w:r w:rsidR="00A579C2">
        <w:t xml:space="preserve"> estimates are</w:t>
      </w:r>
      <w:r>
        <w:t xml:space="preserve"> derived from a comprehensive analysis of affordable housing requirements presented at Appendix D. </w:t>
      </w:r>
    </w:p>
    <w:p w:rsidR="00A579C2" w:rsidRDefault="00A579C2" w:rsidP="00F87D14">
      <w:pPr>
        <w:pStyle w:val="Maintext"/>
      </w:pPr>
      <w:r>
        <w:t xml:space="preserve">The suggested profile of affordable dwelling stock by </w:t>
      </w:r>
      <w:r w:rsidR="00B440F0">
        <w:t>delivery area</w:t>
      </w:r>
      <w:r w:rsidR="004F2A42">
        <w:t xml:space="preserve"> is presented in Table 5.4</w:t>
      </w:r>
    </w:p>
    <w:p w:rsidR="009220EB" w:rsidRDefault="009220EB" w:rsidP="009220EB">
      <w:pPr>
        <w:pStyle w:val="Maintext"/>
        <w:numPr>
          <w:ilvl w:val="0"/>
          <w:numId w:val="0"/>
        </w:numPr>
        <w:ind w:left="709"/>
      </w:pPr>
    </w:p>
    <w:p w:rsidR="00C66F41" w:rsidRDefault="00C66F41" w:rsidP="00BA3999">
      <w:pPr>
        <w:pStyle w:val="Maintext"/>
        <w:numPr>
          <w:ilvl w:val="0"/>
          <w:numId w:val="0"/>
        </w:numPr>
        <w:ind w:firstLine="709"/>
        <w:rPr>
          <w:b/>
        </w:rPr>
      </w:pPr>
    </w:p>
    <w:p w:rsidR="00C66F41" w:rsidRDefault="00C66F41" w:rsidP="00BA3999">
      <w:pPr>
        <w:pStyle w:val="Maintext"/>
        <w:numPr>
          <w:ilvl w:val="0"/>
          <w:numId w:val="0"/>
        </w:numPr>
        <w:ind w:firstLine="709"/>
        <w:rPr>
          <w:b/>
        </w:rPr>
      </w:pPr>
    </w:p>
    <w:p w:rsidR="00C66F41" w:rsidRDefault="00C66F41" w:rsidP="00BA3999">
      <w:pPr>
        <w:pStyle w:val="Maintext"/>
        <w:numPr>
          <w:ilvl w:val="0"/>
          <w:numId w:val="0"/>
        </w:numPr>
        <w:ind w:firstLine="709"/>
        <w:rPr>
          <w:b/>
        </w:rPr>
      </w:pPr>
    </w:p>
    <w:p w:rsidR="00C66F41" w:rsidRDefault="00C66F41" w:rsidP="00BA3999">
      <w:pPr>
        <w:pStyle w:val="Maintext"/>
        <w:numPr>
          <w:ilvl w:val="0"/>
          <w:numId w:val="0"/>
        </w:numPr>
        <w:ind w:firstLine="709"/>
        <w:rPr>
          <w:b/>
        </w:rPr>
      </w:pPr>
    </w:p>
    <w:p w:rsidR="00C66F41" w:rsidRDefault="00C66F41" w:rsidP="00BA3999">
      <w:pPr>
        <w:pStyle w:val="Maintext"/>
        <w:numPr>
          <w:ilvl w:val="0"/>
          <w:numId w:val="0"/>
        </w:numPr>
        <w:ind w:firstLine="709"/>
        <w:rPr>
          <w:b/>
        </w:rPr>
      </w:pPr>
    </w:p>
    <w:p w:rsidR="00C66F41" w:rsidRDefault="00C66F41" w:rsidP="00BA3999">
      <w:pPr>
        <w:pStyle w:val="Maintext"/>
        <w:numPr>
          <w:ilvl w:val="0"/>
          <w:numId w:val="0"/>
        </w:numPr>
        <w:ind w:firstLine="709"/>
        <w:rPr>
          <w:b/>
        </w:rPr>
      </w:pPr>
    </w:p>
    <w:p w:rsidR="00A579C2" w:rsidRDefault="00A579C2" w:rsidP="00BA3999">
      <w:pPr>
        <w:pStyle w:val="Maintext"/>
        <w:numPr>
          <w:ilvl w:val="0"/>
          <w:numId w:val="0"/>
        </w:numPr>
        <w:ind w:firstLine="709"/>
      </w:pPr>
      <w:r w:rsidRPr="00A579C2">
        <w:rPr>
          <w:b/>
        </w:rPr>
        <w:t>Table 5.</w:t>
      </w:r>
      <w:r w:rsidR="004F2A42">
        <w:rPr>
          <w:b/>
        </w:rPr>
        <w:t>4</w:t>
      </w:r>
      <w:r>
        <w:tab/>
        <w:t>Suggested profil</w:t>
      </w:r>
      <w:r w:rsidR="00150609">
        <w:t>e of affordable dwelling stock</w:t>
      </w:r>
    </w:p>
    <w:tbl>
      <w:tblPr>
        <w:tblW w:w="8647" w:type="dxa"/>
        <w:tblInd w:w="817" w:type="dxa"/>
        <w:tblLook w:val="04A0" w:firstRow="1" w:lastRow="0" w:firstColumn="1" w:lastColumn="0" w:noHBand="0" w:noVBand="1"/>
      </w:tblPr>
      <w:tblGrid>
        <w:gridCol w:w="2126"/>
        <w:gridCol w:w="1276"/>
        <w:gridCol w:w="1276"/>
        <w:gridCol w:w="1417"/>
        <w:gridCol w:w="1276"/>
        <w:gridCol w:w="1276"/>
      </w:tblGrid>
      <w:tr w:rsidR="000C004C" w:rsidRPr="00950A90" w:rsidTr="00CA4795">
        <w:trPr>
          <w:trHeight w:val="600"/>
        </w:trPr>
        <w:tc>
          <w:tcPr>
            <w:tcW w:w="2126"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rPr>
                <w:rFonts w:cs="Arial"/>
                <w:b/>
                <w:bCs/>
                <w:color w:val="FFFFFF"/>
                <w:sz w:val="22"/>
                <w:szCs w:val="22"/>
                <w:lang w:eastAsia="en-GB"/>
              </w:rPr>
            </w:pPr>
            <w:r>
              <w:rPr>
                <w:rFonts w:cs="Arial"/>
                <w:b/>
                <w:bCs/>
                <w:color w:val="FFFFFF"/>
                <w:sz w:val="22"/>
                <w:szCs w:val="22"/>
                <w:lang w:eastAsia="en-GB"/>
              </w:rPr>
              <w:t>Delivery area</w:t>
            </w:r>
          </w:p>
        </w:tc>
        <w:tc>
          <w:tcPr>
            <w:tcW w:w="1276" w:type="dxa"/>
            <w:tcBorders>
              <w:top w:val="single" w:sz="4" w:space="0" w:color="auto"/>
              <w:left w:val="nil"/>
              <w:bottom w:val="single" w:sz="4" w:space="0" w:color="auto"/>
              <w:right w:val="nil"/>
            </w:tcBorders>
            <w:shd w:val="clear" w:color="000000" w:fill="008080"/>
            <w:noWrap/>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General</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 </w:t>
            </w:r>
          </w:p>
        </w:tc>
        <w:tc>
          <w:tcPr>
            <w:tcW w:w="1417" w:type="dxa"/>
            <w:tcBorders>
              <w:top w:val="single" w:sz="4" w:space="0" w:color="auto"/>
              <w:left w:val="nil"/>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Older Person</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TOTAL</w:t>
            </w:r>
          </w:p>
        </w:tc>
        <w:tc>
          <w:tcPr>
            <w:tcW w:w="1276" w:type="dxa"/>
            <w:tcBorders>
              <w:top w:val="single" w:sz="4" w:space="0" w:color="auto"/>
              <w:left w:val="nil"/>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Total HHs</w:t>
            </w:r>
          </w:p>
        </w:tc>
      </w:tr>
      <w:tr w:rsidR="000C004C" w:rsidRPr="00950A90" w:rsidTr="00CA4795">
        <w:trPr>
          <w:trHeight w:val="300"/>
        </w:trPr>
        <w:tc>
          <w:tcPr>
            <w:tcW w:w="2126" w:type="dxa"/>
            <w:tcBorders>
              <w:top w:val="nil"/>
              <w:left w:val="single" w:sz="4" w:space="0" w:color="auto"/>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rPr>
                <w:rFonts w:cs="Arial"/>
                <w:b/>
                <w:bCs/>
                <w:color w:val="FFFFFF"/>
                <w:sz w:val="22"/>
                <w:szCs w:val="22"/>
                <w:lang w:eastAsia="en-GB"/>
              </w:rPr>
            </w:pPr>
            <w:r w:rsidRPr="00950A90">
              <w:rPr>
                <w:rFonts w:cs="Arial"/>
                <w:b/>
                <w:bCs/>
                <w:color w:val="FFFFFF"/>
                <w:sz w:val="22"/>
                <w:szCs w:val="22"/>
                <w:lang w:eastAsia="en-GB"/>
              </w:rPr>
              <w:t> </w:t>
            </w:r>
          </w:p>
        </w:tc>
        <w:tc>
          <w:tcPr>
            <w:tcW w:w="1276" w:type="dxa"/>
            <w:tcBorders>
              <w:top w:val="nil"/>
              <w:left w:val="nil"/>
              <w:bottom w:val="single" w:sz="4" w:space="0" w:color="auto"/>
              <w:right w:val="single" w:sz="4" w:space="0" w:color="auto"/>
            </w:tcBorders>
            <w:shd w:val="clear" w:color="000000" w:fill="008080"/>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Smaller 1/2 Bed</w:t>
            </w:r>
          </w:p>
        </w:tc>
        <w:tc>
          <w:tcPr>
            <w:tcW w:w="1276" w:type="dxa"/>
            <w:tcBorders>
              <w:top w:val="nil"/>
              <w:left w:val="nil"/>
              <w:bottom w:val="single" w:sz="4" w:space="0" w:color="auto"/>
              <w:right w:val="single" w:sz="4" w:space="0" w:color="auto"/>
            </w:tcBorders>
            <w:shd w:val="clear" w:color="000000" w:fill="008080"/>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3+Bed</w:t>
            </w:r>
          </w:p>
        </w:tc>
        <w:tc>
          <w:tcPr>
            <w:tcW w:w="1417" w:type="dxa"/>
            <w:tcBorders>
              <w:top w:val="nil"/>
              <w:left w:val="nil"/>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 </w:t>
            </w:r>
          </w:p>
        </w:tc>
        <w:tc>
          <w:tcPr>
            <w:tcW w:w="1276" w:type="dxa"/>
            <w:tcBorders>
              <w:top w:val="nil"/>
              <w:left w:val="nil"/>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jc w:val="center"/>
              <w:rPr>
                <w:rFonts w:cs="Arial"/>
                <w:b/>
                <w:bCs/>
                <w:color w:val="FFFFFF"/>
                <w:sz w:val="22"/>
                <w:szCs w:val="22"/>
                <w:lang w:eastAsia="en-GB"/>
              </w:rPr>
            </w:pPr>
            <w:r w:rsidRPr="00950A90">
              <w:rPr>
                <w:rFonts w:cs="Arial"/>
                <w:b/>
                <w:bCs/>
                <w:color w:val="FFFFFF"/>
                <w:sz w:val="22"/>
                <w:szCs w:val="22"/>
                <w:lang w:eastAsia="en-GB"/>
              </w:rPr>
              <w:t> </w:t>
            </w:r>
          </w:p>
        </w:tc>
        <w:tc>
          <w:tcPr>
            <w:tcW w:w="1276" w:type="dxa"/>
            <w:tcBorders>
              <w:top w:val="nil"/>
              <w:left w:val="nil"/>
              <w:bottom w:val="single" w:sz="4" w:space="0" w:color="auto"/>
              <w:right w:val="single" w:sz="4" w:space="0" w:color="auto"/>
            </w:tcBorders>
            <w:shd w:val="clear" w:color="000000" w:fill="008080"/>
            <w:noWrap/>
            <w:vAlign w:val="bottom"/>
            <w:hideMark/>
          </w:tcPr>
          <w:p w:rsidR="000C004C" w:rsidRPr="00950A90" w:rsidRDefault="000C004C" w:rsidP="00CA4795">
            <w:pPr>
              <w:spacing w:before="0" w:after="0"/>
              <w:rPr>
                <w:rFonts w:cs="Arial"/>
                <w:color w:val="FFFFFF"/>
                <w:sz w:val="22"/>
                <w:szCs w:val="22"/>
                <w:lang w:eastAsia="en-GB"/>
              </w:rPr>
            </w:pPr>
            <w:r w:rsidRPr="00950A90">
              <w:rPr>
                <w:rFonts w:cs="Arial"/>
                <w:color w:val="FFFFFF"/>
                <w:sz w:val="22"/>
                <w:szCs w:val="22"/>
                <w:lang w:eastAsia="en-GB"/>
              </w:rPr>
              <w:t> </w:t>
            </w:r>
          </w:p>
        </w:tc>
      </w:tr>
      <w:tr w:rsidR="000C004C" w:rsidRPr="00950A90" w:rsidTr="00CA4795">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C004C" w:rsidRDefault="000C004C" w:rsidP="00CA4795">
            <w:pPr>
              <w:spacing w:before="0" w:after="0"/>
              <w:rPr>
                <w:rFonts w:cs="Arial"/>
                <w:sz w:val="20"/>
                <w:szCs w:val="20"/>
              </w:rPr>
            </w:pPr>
            <w:r>
              <w:rPr>
                <w:rFonts w:cs="Arial"/>
                <w:sz w:val="20"/>
                <w:szCs w:val="20"/>
              </w:rPr>
              <w:t>North Durham</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97</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29</w:t>
            </w:r>
          </w:p>
        </w:tc>
        <w:tc>
          <w:tcPr>
            <w:tcW w:w="1417"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68</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194</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sz w:val="20"/>
                <w:szCs w:val="20"/>
              </w:rPr>
            </w:pPr>
            <w:r>
              <w:rPr>
                <w:rFonts w:cs="Arial"/>
                <w:sz w:val="20"/>
                <w:szCs w:val="20"/>
              </w:rPr>
              <w:t>60151</w:t>
            </w:r>
          </w:p>
        </w:tc>
      </w:tr>
      <w:tr w:rsidR="000C004C" w:rsidRPr="00950A90" w:rsidTr="00CA4795">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C004C" w:rsidRDefault="000C004C" w:rsidP="00CA4795">
            <w:pPr>
              <w:spacing w:before="0" w:after="0"/>
              <w:rPr>
                <w:rFonts w:cs="Arial"/>
                <w:sz w:val="20"/>
                <w:szCs w:val="20"/>
              </w:rPr>
            </w:pPr>
            <w:r>
              <w:rPr>
                <w:rFonts w:cs="Arial"/>
                <w:sz w:val="20"/>
                <w:szCs w:val="20"/>
              </w:rPr>
              <w:t>Central Durham</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46</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20</w:t>
            </w:r>
          </w:p>
        </w:tc>
        <w:tc>
          <w:tcPr>
            <w:tcW w:w="1417"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53</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119</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sz w:val="20"/>
                <w:szCs w:val="20"/>
              </w:rPr>
            </w:pPr>
            <w:r>
              <w:rPr>
                <w:rFonts w:cs="Arial"/>
                <w:sz w:val="20"/>
                <w:szCs w:val="20"/>
              </w:rPr>
              <w:t>42905</w:t>
            </w:r>
          </w:p>
        </w:tc>
      </w:tr>
      <w:tr w:rsidR="000C004C" w:rsidRPr="00950A90" w:rsidTr="00CA4795">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C004C" w:rsidRDefault="000C004C" w:rsidP="00CA4795">
            <w:pPr>
              <w:spacing w:before="0" w:after="0"/>
              <w:rPr>
                <w:rFonts w:cs="Arial"/>
                <w:sz w:val="20"/>
                <w:szCs w:val="20"/>
              </w:rPr>
            </w:pPr>
            <w:r>
              <w:rPr>
                <w:rFonts w:cs="Arial"/>
                <w:sz w:val="20"/>
                <w:szCs w:val="20"/>
              </w:rPr>
              <w:t>East Durham</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61</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4</w:t>
            </w:r>
          </w:p>
        </w:tc>
        <w:tc>
          <w:tcPr>
            <w:tcW w:w="1417"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72</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137</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sz w:val="20"/>
                <w:szCs w:val="20"/>
              </w:rPr>
            </w:pPr>
            <w:r>
              <w:rPr>
                <w:rFonts w:cs="Arial"/>
                <w:sz w:val="20"/>
                <w:szCs w:val="20"/>
              </w:rPr>
              <w:t>41416</w:t>
            </w:r>
          </w:p>
        </w:tc>
      </w:tr>
      <w:tr w:rsidR="000C004C" w:rsidRPr="00950A90" w:rsidTr="00CA4795">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C004C" w:rsidRDefault="000C004C" w:rsidP="00CA4795">
            <w:pPr>
              <w:spacing w:before="0" w:after="0"/>
              <w:rPr>
                <w:rFonts w:cs="Arial"/>
                <w:sz w:val="20"/>
                <w:szCs w:val="20"/>
              </w:rPr>
            </w:pPr>
            <w:r>
              <w:rPr>
                <w:rFonts w:cs="Arial"/>
                <w:sz w:val="20"/>
                <w:szCs w:val="20"/>
              </w:rPr>
              <w:t>The Dales and South Durham</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80</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16</w:t>
            </w:r>
          </w:p>
        </w:tc>
        <w:tc>
          <w:tcPr>
            <w:tcW w:w="1417"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129</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225</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color w:val="000000"/>
                <w:sz w:val="22"/>
                <w:szCs w:val="22"/>
              </w:rPr>
            </w:pPr>
            <w:r>
              <w:rPr>
                <w:rFonts w:cs="Arial"/>
                <w:color w:val="000000"/>
                <w:sz w:val="22"/>
                <w:szCs w:val="22"/>
              </w:rPr>
              <w:t>79331</w:t>
            </w:r>
          </w:p>
        </w:tc>
      </w:tr>
      <w:tr w:rsidR="000C004C" w:rsidRPr="00950A90" w:rsidTr="00CA4795">
        <w:trPr>
          <w:trHeight w:val="285"/>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0C004C" w:rsidRDefault="000C004C" w:rsidP="00CA4795">
            <w:pPr>
              <w:spacing w:before="0" w:after="0"/>
              <w:rPr>
                <w:rFonts w:cs="Arial"/>
                <w:b/>
                <w:bCs/>
                <w:sz w:val="20"/>
                <w:szCs w:val="20"/>
              </w:rPr>
            </w:pPr>
            <w:r>
              <w:rPr>
                <w:rFonts w:cs="Arial"/>
                <w:b/>
                <w:bCs/>
                <w:sz w:val="20"/>
                <w:szCs w:val="20"/>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b/>
                <w:bCs/>
                <w:color w:val="000000"/>
                <w:sz w:val="22"/>
                <w:szCs w:val="22"/>
              </w:rPr>
            </w:pPr>
            <w:r>
              <w:rPr>
                <w:rFonts w:cs="Arial"/>
                <w:b/>
                <w:bCs/>
                <w:color w:val="000000"/>
                <w:sz w:val="22"/>
                <w:szCs w:val="22"/>
              </w:rPr>
              <w:t>284</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b/>
                <w:bCs/>
                <w:color w:val="000000"/>
                <w:sz w:val="22"/>
                <w:szCs w:val="22"/>
              </w:rPr>
            </w:pPr>
            <w:r>
              <w:rPr>
                <w:rFonts w:cs="Arial"/>
                <w:b/>
                <w:bCs/>
                <w:color w:val="000000"/>
                <w:sz w:val="22"/>
                <w:szCs w:val="22"/>
              </w:rPr>
              <w:t>69</w:t>
            </w:r>
          </w:p>
        </w:tc>
        <w:tc>
          <w:tcPr>
            <w:tcW w:w="1417"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b/>
                <w:bCs/>
                <w:color w:val="000000"/>
                <w:sz w:val="22"/>
                <w:szCs w:val="22"/>
              </w:rPr>
            </w:pPr>
            <w:r>
              <w:rPr>
                <w:rFonts w:cs="Arial"/>
                <w:b/>
                <w:bCs/>
                <w:color w:val="000000"/>
                <w:sz w:val="22"/>
                <w:szCs w:val="22"/>
              </w:rPr>
              <w:t>321</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b/>
                <w:bCs/>
                <w:color w:val="000000"/>
                <w:sz w:val="22"/>
                <w:szCs w:val="22"/>
              </w:rPr>
            </w:pPr>
            <w:r>
              <w:rPr>
                <w:rFonts w:cs="Arial"/>
                <w:b/>
                <w:bCs/>
                <w:color w:val="000000"/>
                <w:sz w:val="22"/>
                <w:szCs w:val="22"/>
              </w:rPr>
              <w:t>674</w:t>
            </w:r>
          </w:p>
        </w:tc>
        <w:tc>
          <w:tcPr>
            <w:tcW w:w="1276" w:type="dxa"/>
            <w:tcBorders>
              <w:top w:val="nil"/>
              <w:left w:val="nil"/>
              <w:bottom w:val="single" w:sz="4" w:space="0" w:color="auto"/>
              <w:right w:val="single" w:sz="4" w:space="0" w:color="auto"/>
            </w:tcBorders>
            <w:shd w:val="clear" w:color="auto" w:fill="auto"/>
            <w:noWrap/>
            <w:vAlign w:val="bottom"/>
            <w:hideMark/>
          </w:tcPr>
          <w:p w:rsidR="000C004C" w:rsidRDefault="000C004C" w:rsidP="00CA4795">
            <w:pPr>
              <w:spacing w:before="0" w:after="0"/>
              <w:jc w:val="center"/>
              <w:rPr>
                <w:rFonts w:cs="Arial"/>
                <w:b/>
                <w:bCs/>
                <w:color w:val="000000"/>
                <w:sz w:val="22"/>
                <w:szCs w:val="22"/>
              </w:rPr>
            </w:pPr>
            <w:r>
              <w:rPr>
                <w:rFonts w:cs="Arial"/>
                <w:b/>
                <w:bCs/>
                <w:color w:val="000000"/>
                <w:sz w:val="22"/>
                <w:szCs w:val="22"/>
              </w:rPr>
              <w:t>223803</w:t>
            </w:r>
          </w:p>
        </w:tc>
      </w:tr>
    </w:tbl>
    <w:p w:rsidR="009220EB" w:rsidRDefault="009220EB" w:rsidP="00BA3999">
      <w:pPr>
        <w:pStyle w:val="Maintext"/>
        <w:numPr>
          <w:ilvl w:val="0"/>
          <w:numId w:val="0"/>
        </w:numPr>
        <w:ind w:firstLine="709"/>
      </w:pPr>
    </w:p>
    <w:p w:rsidR="00F87D14" w:rsidRDefault="00A579C2" w:rsidP="00A579C2">
      <w:pPr>
        <w:pStyle w:val="Maintext"/>
      </w:pPr>
      <w:r>
        <w:t>Analys</w:t>
      </w:r>
      <w:r w:rsidR="009220EB">
        <w:t>is</w:t>
      </w:r>
      <w:r w:rsidR="000C004C">
        <w:t xml:space="preserve"> suggests a tenure split of 76.7% social rented and 23.3</w:t>
      </w:r>
      <w:r>
        <w:t>% intermediate tenure</w:t>
      </w:r>
      <w:r w:rsidR="009220EB">
        <w:t xml:space="preserve"> </w:t>
      </w:r>
      <w:r w:rsidR="004051AD">
        <w:t>products</w:t>
      </w:r>
      <w:r w:rsidR="004051AD">
        <w:rPr>
          <w:rStyle w:val="FootnoteReference"/>
        </w:rPr>
        <w:footnoteReference w:id="25"/>
      </w:r>
      <w:r w:rsidR="004051AD">
        <w:t xml:space="preserve"> </w:t>
      </w:r>
      <w:r w:rsidR="009220EB">
        <w:t>based on preferences. Further analysis of household incomes and access to financial resources would suggest intermediate tenure priced at £80,000 to £100,000 is a reali</w:t>
      </w:r>
      <w:r w:rsidR="000C004C">
        <w:t>stic option for 32.9</w:t>
      </w:r>
      <w:r w:rsidR="009220EB">
        <w:t>% of existing households in need and newly-forming households</w:t>
      </w:r>
      <w:r w:rsidR="004F2A42">
        <w:t>.</w:t>
      </w:r>
      <w:r>
        <w:t xml:space="preserve"> In terms of </w:t>
      </w:r>
      <w:r w:rsidR="00F87D14">
        <w:t>property type preferences of households in need and newly-forming households</w:t>
      </w:r>
      <w:r>
        <w:t xml:space="preserve">, analysis </w:t>
      </w:r>
      <w:r w:rsidR="00F87D14">
        <w:t>would suggest the following profile of property types:</w:t>
      </w:r>
    </w:p>
    <w:p w:rsidR="00F87D14" w:rsidRDefault="000C004C" w:rsidP="00C76826">
      <w:pPr>
        <w:pStyle w:val="Maintext"/>
        <w:numPr>
          <w:ilvl w:val="2"/>
          <w:numId w:val="10"/>
        </w:numPr>
      </w:pPr>
      <w:r>
        <w:t>62</w:t>
      </w:r>
      <w:r w:rsidR="009220EB">
        <w:t>.8</w:t>
      </w:r>
      <w:r w:rsidR="00F87D14">
        <w:t>% houses;</w:t>
      </w:r>
    </w:p>
    <w:p w:rsidR="00F87D14" w:rsidRDefault="000C004C" w:rsidP="00C76826">
      <w:pPr>
        <w:pStyle w:val="Maintext"/>
        <w:numPr>
          <w:ilvl w:val="2"/>
          <w:numId w:val="10"/>
        </w:numPr>
      </w:pPr>
      <w:r>
        <w:t>10.0</w:t>
      </w:r>
      <w:r w:rsidR="00F87D14">
        <w:t>% flats; and</w:t>
      </w:r>
    </w:p>
    <w:p w:rsidR="00F87D14" w:rsidRDefault="000C004C" w:rsidP="00C76826">
      <w:pPr>
        <w:pStyle w:val="Maintext"/>
        <w:numPr>
          <w:ilvl w:val="2"/>
          <w:numId w:val="10"/>
        </w:numPr>
      </w:pPr>
      <w:r>
        <w:t>27.2</w:t>
      </w:r>
      <w:r w:rsidR="00F87D14">
        <w:t>% bungalows.</w:t>
      </w:r>
    </w:p>
    <w:p w:rsidR="00F87D14" w:rsidRDefault="00F87D14" w:rsidP="00F87D14">
      <w:pPr>
        <w:pStyle w:val="Maintext"/>
      </w:pPr>
      <w:r>
        <w:t>Further advice on policy considerations for affordable ho</w:t>
      </w:r>
      <w:r w:rsidR="00CD1ECC">
        <w:t>using is presented at Appendix G</w:t>
      </w:r>
      <w:r>
        <w:t>.</w:t>
      </w:r>
    </w:p>
    <w:p w:rsidR="00473E31" w:rsidRDefault="00473E31" w:rsidP="00F87D14">
      <w:pPr>
        <w:pStyle w:val="Heading3"/>
      </w:pPr>
    </w:p>
    <w:p w:rsidR="00F87D14" w:rsidRDefault="00D22A9D" w:rsidP="00F87D14">
      <w:pPr>
        <w:pStyle w:val="Heading3"/>
      </w:pPr>
      <w:r>
        <w:t>Resident</w:t>
      </w:r>
      <w:r w:rsidR="009220EB">
        <w:t>s intending to leave County Durham</w:t>
      </w:r>
    </w:p>
    <w:p w:rsidR="00D22A9D" w:rsidRDefault="00D22A9D" w:rsidP="00D22A9D">
      <w:pPr>
        <w:pStyle w:val="Maintext"/>
      </w:pPr>
      <w:r>
        <w:t xml:space="preserve">A total of </w:t>
      </w:r>
      <w:r w:rsidR="000C004C">
        <w:t>5,270</w:t>
      </w:r>
      <w:r>
        <w:t xml:space="preserve"> households were </w:t>
      </w:r>
      <w:r w:rsidR="003C2297">
        <w:t xml:space="preserve">considering </w:t>
      </w:r>
      <w:r>
        <w:t xml:space="preserve">moving away from </w:t>
      </w:r>
      <w:r w:rsidR="003C2297">
        <w:t>County Durham</w:t>
      </w:r>
      <w:r>
        <w:t xml:space="preserve"> i</w:t>
      </w:r>
      <w:r w:rsidR="004F2A42">
        <w:t>n the next five years</w:t>
      </w:r>
      <w:r w:rsidR="00E24E52">
        <w:t xml:space="preserve"> and stated a first choice destination outside the county</w:t>
      </w:r>
      <w:r w:rsidR="004F2A42">
        <w:t>. Table 5.5</w:t>
      </w:r>
      <w:r>
        <w:t xml:space="preserve"> summarises their planned destinations. Overall, </w:t>
      </w:r>
      <w:r w:rsidR="000C004C">
        <w:t>24/3</w:t>
      </w:r>
      <w:r w:rsidR="00E24E52">
        <w:t xml:space="preserve">% </w:t>
      </w:r>
      <w:r>
        <w:t xml:space="preserve">were intending on moving into </w:t>
      </w:r>
      <w:r w:rsidR="00E24E52">
        <w:t>Tyne and Wear, 1</w:t>
      </w:r>
      <w:r w:rsidR="000C004C">
        <w:t>0.1% to Northumberland and 8.7% to Tees Valley; a further 16.3</w:t>
      </w:r>
      <w:r w:rsidR="00E24E52">
        <w:t>% into Yorkshire and the Humb</w:t>
      </w:r>
      <w:r w:rsidR="000C004C">
        <w:t>er, 5.6% to the North West, 32.3% to elsewhere in the UK and 2.8</w:t>
      </w:r>
      <w:r>
        <w:t>% outside the UK.</w:t>
      </w:r>
    </w:p>
    <w:p w:rsidR="00AC7C98" w:rsidRDefault="00D22A9D" w:rsidP="00D22A9D">
      <w:pPr>
        <w:pStyle w:val="Maintext"/>
      </w:pPr>
      <w:r>
        <w:t>The m</w:t>
      </w:r>
      <w:r w:rsidR="00AC7C98">
        <w:t xml:space="preserve">ain reasons for leaving </w:t>
      </w:r>
      <w:r w:rsidR="000C004C">
        <w:t xml:space="preserve">included for work (21.4%), to move to a better neighbourhood (16.9%) and to be close to family/friends for support (11.1%). </w:t>
      </w:r>
    </w:p>
    <w:p w:rsidR="00D22A9D" w:rsidRDefault="00D22A9D" w:rsidP="000A0863">
      <w:pPr>
        <w:pStyle w:val="Maintext"/>
      </w:pPr>
      <w:r>
        <w:t xml:space="preserve">Households intending to leave </w:t>
      </w:r>
      <w:r w:rsidR="00AC7C98">
        <w:t>County Durham</w:t>
      </w:r>
      <w:r>
        <w:t xml:space="preserve"> tended</w:t>
      </w:r>
      <w:r w:rsidR="00AC7C98">
        <w:t xml:space="preserve"> to have high incomes, with 5</w:t>
      </w:r>
      <w:r w:rsidR="00304CA0">
        <w:t>0.</w:t>
      </w:r>
      <w:r w:rsidR="00AC7C98">
        <w:t>6</w:t>
      </w:r>
      <w:r>
        <w:t xml:space="preserve">% having an income of </w:t>
      </w:r>
      <w:r w:rsidR="00304CA0">
        <w:t>at least £500 each week and 17.5</w:t>
      </w:r>
      <w:r>
        <w:t>%</w:t>
      </w:r>
      <w:r w:rsidR="00AC7C98">
        <w:t xml:space="preserve"> had an income in excess of £1,000</w:t>
      </w:r>
      <w:r>
        <w:t xml:space="preserve"> each week. </w:t>
      </w:r>
      <w:r w:rsidR="004F2A42">
        <w:t>As Table 5.6</w:t>
      </w:r>
      <w:r w:rsidR="000A0863">
        <w:t xml:space="preserve"> shows, households expect</w:t>
      </w:r>
      <w:r>
        <w:t xml:space="preserve"> to move to a ran</w:t>
      </w:r>
      <w:r w:rsidR="000A0863">
        <w:t>ge of property types, most notably detached and semi-detached houses with three or f</w:t>
      </w:r>
      <w:r w:rsidR="00304CA0">
        <w:t>our bedrooms. Additionally, 6.</w:t>
      </w:r>
      <w:r w:rsidR="0040743A">
        <w:t>2</w:t>
      </w:r>
      <w:r w:rsidR="000A0863">
        <w:t>% of households were expecting to move t</w:t>
      </w:r>
      <w:r w:rsidR="0040743A">
        <w:t xml:space="preserve">o a bungalow, particularly </w:t>
      </w:r>
      <w:r w:rsidR="000A0863">
        <w:t>with two and three bedrooms.</w:t>
      </w:r>
    </w:p>
    <w:p w:rsidR="000A0863" w:rsidRDefault="0069089A" w:rsidP="000A0863">
      <w:pPr>
        <w:pStyle w:val="Maintext"/>
        <w:numPr>
          <w:ilvl w:val="0"/>
          <w:numId w:val="0"/>
        </w:numPr>
        <w:ind w:left="2160" w:hanging="1451"/>
      </w:pPr>
      <w:r>
        <w:rPr>
          <w:b/>
        </w:rPr>
        <w:br w:type="page"/>
      </w:r>
      <w:r w:rsidR="004F2A42">
        <w:rPr>
          <w:b/>
        </w:rPr>
        <w:t>Table 5.5</w:t>
      </w:r>
      <w:r w:rsidR="000A0863">
        <w:rPr>
          <w:b/>
        </w:rPr>
        <w:tab/>
      </w:r>
      <w:r w:rsidR="000A0863" w:rsidRPr="000A0863">
        <w:t>Location preferences of households plan</w:t>
      </w:r>
      <w:r w:rsidR="00E24E52">
        <w:t>ning to move out County Durham</w:t>
      </w:r>
    </w:p>
    <w:tbl>
      <w:tblPr>
        <w:tblW w:w="3433" w:type="dxa"/>
        <w:tblInd w:w="1440" w:type="dxa"/>
        <w:tblLook w:val="04A0" w:firstRow="1" w:lastRow="0" w:firstColumn="1" w:lastColumn="0" w:noHBand="0" w:noVBand="1"/>
      </w:tblPr>
      <w:tblGrid>
        <w:gridCol w:w="2473"/>
        <w:gridCol w:w="960"/>
      </w:tblGrid>
      <w:tr w:rsidR="000C004C" w:rsidRPr="000C004C" w:rsidTr="000C004C">
        <w:trPr>
          <w:trHeight w:val="255"/>
        </w:trPr>
        <w:tc>
          <w:tcPr>
            <w:tcW w:w="2473"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rPr>
                <w:rFonts w:cs="Arial"/>
                <w:b/>
                <w:bCs/>
                <w:color w:val="FFFFFF"/>
                <w:sz w:val="20"/>
                <w:szCs w:val="20"/>
                <w:lang w:eastAsia="en-GB"/>
              </w:rPr>
            </w:pPr>
            <w:r w:rsidRPr="000C004C">
              <w:rPr>
                <w:rFonts w:cs="Arial"/>
                <w:b/>
                <w:bCs/>
                <w:color w:val="FFFFFF"/>
                <w:sz w:val="20"/>
                <w:szCs w:val="20"/>
                <w:lang w:eastAsia="en-GB"/>
              </w:rPr>
              <w:t>First choice location</w:t>
            </w:r>
          </w:p>
        </w:tc>
        <w:tc>
          <w:tcPr>
            <w:tcW w:w="960" w:type="dxa"/>
            <w:tcBorders>
              <w:top w:val="single" w:sz="4" w:space="0" w:color="auto"/>
              <w:left w:val="nil"/>
              <w:bottom w:val="single" w:sz="4" w:space="0" w:color="auto"/>
              <w:right w:val="single" w:sz="4" w:space="0" w:color="auto"/>
            </w:tcBorders>
            <w:shd w:val="clear" w:color="000000" w:fill="008080"/>
            <w:noWrap/>
            <w:vAlign w:val="bottom"/>
            <w:hideMark/>
          </w:tcPr>
          <w:p w:rsidR="000C004C" w:rsidRPr="000C004C" w:rsidRDefault="000C004C" w:rsidP="000C004C">
            <w:pPr>
              <w:spacing w:before="0" w:after="0"/>
              <w:jc w:val="center"/>
              <w:rPr>
                <w:rFonts w:cs="Arial"/>
                <w:b/>
                <w:bCs/>
                <w:color w:val="FFFFFF"/>
                <w:sz w:val="20"/>
                <w:szCs w:val="20"/>
                <w:lang w:eastAsia="en-GB"/>
              </w:rPr>
            </w:pPr>
            <w:r w:rsidRPr="000C004C">
              <w:rPr>
                <w:rFonts w:cs="Arial"/>
                <w:b/>
                <w:bCs/>
                <w:color w:val="FFFFFF"/>
                <w:sz w:val="20"/>
                <w:szCs w:val="20"/>
                <w:lang w:eastAsia="en-GB"/>
              </w:rPr>
              <w:t>%</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Tyne and Wear</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24.3</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Northumberland</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10.1</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Tees Valley</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8.7</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Y&amp;H</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16.3</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NW</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5.6</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Else UK</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32.3</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Outside UK</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2.8</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100.0</w:t>
            </w:r>
          </w:p>
        </w:tc>
      </w:tr>
      <w:tr w:rsidR="000C004C" w:rsidRPr="000C004C" w:rsidTr="000C004C">
        <w:trPr>
          <w:trHeight w:val="255"/>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rPr>
                <w:rFonts w:cs="Arial"/>
                <w:sz w:val="20"/>
                <w:szCs w:val="20"/>
                <w:lang w:eastAsia="en-GB"/>
              </w:rPr>
            </w:pPr>
            <w:r w:rsidRPr="000C004C">
              <w:rPr>
                <w:rFonts w:cs="Arial"/>
                <w:sz w:val="20"/>
                <w:szCs w:val="20"/>
                <w:lang w:eastAsia="en-GB"/>
              </w:rPr>
              <w:t>Base (Valid Responses)</w:t>
            </w:r>
          </w:p>
        </w:tc>
        <w:tc>
          <w:tcPr>
            <w:tcW w:w="960" w:type="dxa"/>
            <w:tcBorders>
              <w:top w:val="nil"/>
              <w:left w:val="nil"/>
              <w:bottom w:val="single" w:sz="4" w:space="0" w:color="auto"/>
              <w:right w:val="single" w:sz="4" w:space="0" w:color="auto"/>
            </w:tcBorders>
            <w:shd w:val="clear" w:color="auto" w:fill="auto"/>
            <w:noWrap/>
            <w:vAlign w:val="bottom"/>
            <w:hideMark/>
          </w:tcPr>
          <w:p w:rsidR="000C004C" w:rsidRPr="000C004C" w:rsidRDefault="000C004C" w:rsidP="000C004C">
            <w:pPr>
              <w:spacing w:before="0" w:after="0"/>
              <w:jc w:val="center"/>
              <w:rPr>
                <w:rFonts w:cs="Arial"/>
                <w:sz w:val="20"/>
                <w:szCs w:val="20"/>
                <w:lang w:eastAsia="en-GB"/>
              </w:rPr>
            </w:pPr>
            <w:r w:rsidRPr="000C004C">
              <w:rPr>
                <w:rFonts w:cs="Arial"/>
                <w:sz w:val="20"/>
                <w:szCs w:val="20"/>
                <w:lang w:eastAsia="en-GB"/>
              </w:rPr>
              <w:t>5270</w:t>
            </w:r>
          </w:p>
        </w:tc>
      </w:tr>
    </w:tbl>
    <w:p w:rsidR="000A0863" w:rsidRDefault="000A0863" w:rsidP="000A0863">
      <w:pPr>
        <w:pStyle w:val="Maintext"/>
        <w:numPr>
          <w:ilvl w:val="0"/>
          <w:numId w:val="0"/>
        </w:numPr>
        <w:ind w:left="2160" w:hanging="1451"/>
        <w:rPr>
          <w:b/>
        </w:rPr>
      </w:pPr>
    </w:p>
    <w:p w:rsidR="000A0863" w:rsidRDefault="000A0863" w:rsidP="0069089A">
      <w:pPr>
        <w:pStyle w:val="Maintext"/>
        <w:numPr>
          <w:ilvl w:val="0"/>
          <w:numId w:val="0"/>
        </w:numPr>
        <w:ind w:left="2160" w:hanging="1440"/>
      </w:pPr>
      <w:r w:rsidRPr="000A0863">
        <w:rPr>
          <w:b/>
        </w:rPr>
        <w:t>Table  5.</w:t>
      </w:r>
      <w:r w:rsidR="004F2A42">
        <w:rPr>
          <w:b/>
        </w:rPr>
        <w:t>6</w:t>
      </w:r>
      <w:r>
        <w:tab/>
        <w:t>Property type and size expectations of househo</w:t>
      </w:r>
      <w:r w:rsidR="000B0F10">
        <w:t>lds planning to move out of County Durham</w:t>
      </w:r>
    </w:p>
    <w:tbl>
      <w:tblPr>
        <w:tblW w:w="9950" w:type="dxa"/>
        <w:tblInd w:w="96" w:type="dxa"/>
        <w:tblLook w:val="04A0" w:firstRow="1" w:lastRow="0" w:firstColumn="1" w:lastColumn="0" w:noHBand="0" w:noVBand="1"/>
      </w:tblPr>
      <w:tblGrid>
        <w:gridCol w:w="2564"/>
        <w:gridCol w:w="1276"/>
        <w:gridCol w:w="1417"/>
        <w:gridCol w:w="1017"/>
        <w:gridCol w:w="661"/>
        <w:gridCol w:w="1095"/>
        <w:gridCol w:w="960"/>
        <w:gridCol w:w="960"/>
      </w:tblGrid>
      <w:tr w:rsidR="00304CA0" w:rsidRPr="00304CA0" w:rsidTr="00304CA0">
        <w:trPr>
          <w:trHeight w:val="255"/>
        </w:trPr>
        <w:tc>
          <w:tcPr>
            <w:tcW w:w="2564" w:type="dxa"/>
            <w:tcBorders>
              <w:top w:val="single" w:sz="4" w:space="0" w:color="auto"/>
              <w:left w:val="single" w:sz="4" w:space="0" w:color="auto"/>
              <w:bottom w:val="single" w:sz="4" w:space="0" w:color="auto"/>
              <w:right w:val="single" w:sz="4" w:space="0" w:color="auto"/>
            </w:tcBorders>
            <w:shd w:val="clear" w:color="000000" w:fill="006666"/>
            <w:noWrap/>
            <w:vAlign w:val="bottom"/>
            <w:hideMark/>
          </w:tcPr>
          <w:p w:rsidR="00304CA0" w:rsidRPr="00304CA0" w:rsidRDefault="00304CA0" w:rsidP="00304CA0">
            <w:pPr>
              <w:spacing w:before="0" w:after="0"/>
              <w:rPr>
                <w:rFonts w:cs="Arial"/>
                <w:b/>
                <w:bCs/>
                <w:color w:val="FFFFFF"/>
                <w:sz w:val="20"/>
                <w:szCs w:val="20"/>
                <w:lang w:eastAsia="en-GB"/>
              </w:rPr>
            </w:pPr>
            <w:r w:rsidRPr="00304CA0">
              <w:rPr>
                <w:rFonts w:cs="Arial"/>
                <w:b/>
                <w:bCs/>
                <w:color w:val="FFFFFF"/>
                <w:sz w:val="20"/>
                <w:szCs w:val="20"/>
                <w:lang w:eastAsia="en-GB"/>
              </w:rPr>
              <w:t>No. Bedrooms</w:t>
            </w:r>
          </w:p>
        </w:tc>
        <w:tc>
          <w:tcPr>
            <w:tcW w:w="3710" w:type="dxa"/>
            <w:gridSpan w:val="3"/>
            <w:tcBorders>
              <w:top w:val="single" w:sz="4" w:space="0" w:color="auto"/>
              <w:left w:val="single" w:sz="4" w:space="0" w:color="auto"/>
              <w:bottom w:val="single" w:sz="4" w:space="0" w:color="auto"/>
              <w:right w:val="nil"/>
            </w:tcBorders>
            <w:shd w:val="clear" w:color="000000" w:fill="006666"/>
            <w:noWrap/>
            <w:vAlign w:val="bottom"/>
            <w:hideMark/>
          </w:tcPr>
          <w:p w:rsidR="00304CA0" w:rsidRPr="00304CA0" w:rsidRDefault="00304CA0" w:rsidP="00304CA0">
            <w:pPr>
              <w:spacing w:before="0" w:after="0"/>
              <w:rPr>
                <w:rFonts w:cs="Arial"/>
                <w:b/>
                <w:bCs/>
                <w:color w:val="FFFFFF"/>
                <w:sz w:val="20"/>
                <w:szCs w:val="20"/>
                <w:lang w:eastAsia="en-GB"/>
              </w:rPr>
            </w:pPr>
            <w:r w:rsidRPr="00304CA0">
              <w:rPr>
                <w:rFonts w:cs="Arial"/>
                <w:b/>
                <w:bCs/>
                <w:color w:val="FFFFFF"/>
                <w:sz w:val="20"/>
                <w:szCs w:val="20"/>
                <w:lang w:eastAsia="en-GB"/>
              </w:rPr>
              <w:t>Property type (Table %)</w:t>
            </w:r>
          </w:p>
        </w:tc>
        <w:tc>
          <w:tcPr>
            <w:tcW w:w="661" w:type="dxa"/>
            <w:tcBorders>
              <w:top w:val="single" w:sz="4" w:space="0" w:color="auto"/>
              <w:left w:val="nil"/>
              <w:bottom w:val="single" w:sz="4" w:space="0" w:color="auto"/>
              <w:right w:val="nil"/>
            </w:tcBorders>
            <w:shd w:val="clear" w:color="000000" w:fill="006666"/>
            <w:noWrap/>
            <w:vAlign w:val="bottom"/>
            <w:hideMark/>
          </w:tcPr>
          <w:p w:rsidR="00304CA0" w:rsidRPr="00304CA0" w:rsidRDefault="00304CA0" w:rsidP="00304CA0">
            <w:pPr>
              <w:spacing w:before="0" w:after="0"/>
              <w:rPr>
                <w:rFonts w:cs="Arial"/>
                <w:color w:val="FFFFFF"/>
                <w:sz w:val="20"/>
                <w:szCs w:val="20"/>
                <w:lang w:eastAsia="en-GB"/>
              </w:rPr>
            </w:pPr>
            <w:r w:rsidRPr="00304CA0">
              <w:rPr>
                <w:rFonts w:cs="Arial"/>
                <w:color w:val="FFFFFF"/>
                <w:sz w:val="20"/>
                <w:szCs w:val="20"/>
                <w:lang w:eastAsia="en-GB"/>
              </w:rPr>
              <w:t> </w:t>
            </w:r>
          </w:p>
        </w:tc>
        <w:tc>
          <w:tcPr>
            <w:tcW w:w="1095" w:type="dxa"/>
            <w:tcBorders>
              <w:top w:val="single" w:sz="4" w:space="0" w:color="auto"/>
              <w:left w:val="nil"/>
              <w:bottom w:val="single" w:sz="4" w:space="0" w:color="auto"/>
              <w:right w:val="nil"/>
            </w:tcBorders>
            <w:shd w:val="clear" w:color="000000" w:fill="006666"/>
            <w:noWrap/>
            <w:vAlign w:val="bottom"/>
            <w:hideMark/>
          </w:tcPr>
          <w:p w:rsidR="00304CA0" w:rsidRPr="00304CA0" w:rsidRDefault="00304CA0" w:rsidP="00304CA0">
            <w:pPr>
              <w:spacing w:before="0" w:after="0"/>
              <w:rPr>
                <w:rFonts w:cs="Arial"/>
                <w:color w:val="FFFFFF"/>
                <w:sz w:val="20"/>
                <w:szCs w:val="20"/>
                <w:lang w:eastAsia="en-GB"/>
              </w:rPr>
            </w:pPr>
            <w:r w:rsidRPr="00304CA0">
              <w:rPr>
                <w:rFonts w:cs="Arial"/>
                <w:color w:val="FFFFFF"/>
                <w:sz w:val="20"/>
                <w:szCs w:val="20"/>
                <w:lang w:eastAsia="en-GB"/>
              </w:rPr>
              <w:t> </w:t>
            </w:r>
          </w:p>
        </w:tc>
        <w:tc>
          <w:tcPr>
            <w:tcW w:w="960" w:type="dxa"/>
            <w:tcBorders>
              <w:top w:val="single" w:sz="4" w:space="0" w:color="auto"/>
              <w:left w:val="nil"/>
              <w:bottom w:val="single" w:sz="4" w:space="0" w:color="auto"/>
              <w:right w:val="nil"/>
            </w:tcBorders>
            <w:shd w:val="clear" w:color="000000" w:fill="006666"/>
            <w:noWrap/>
            <w:vAlign w:val="bottom"/>
            <w:hideMark/>
          </w:tcPr>
          <w:p w:rsidR="00304CA0" w:rsidRPr="00304CA0" w:rsidRDefault="00304CA0" w:rsidP="00304CA0">
            <w:pPr>
              <w:spacing w:before="0" w:after="0"/>
              <w:rPr>
                <w:rFonts w:cs="Arial"/>
                <w:color w:val="FFFFFF"/>
                <w:sz w:val="20"/>
                <w:szCs w:val="20"/>
                <w:lang w:eastAsia="en-GB"/>
              </w:rPr>
            </w:pPr>
            <w:r w:rsidRPr="00304CA0">
              <w:rPr>
                <w:rFonts w:cs="Arial"/>
                <w:color w:val="FFFFFF"/>
                <w:sz w:val="20"/>
                <w:szCs w:val="20"/>
                <w:lang w:eastAsia="en-GB"/>
              </w:rPr>
              <w:t> </w:t>
            </w:r>
          </w:p>
        </w:tc>
        <w:tc>
          <w:tcPr>
            <w:tcW w:w="960" w:type="dxa"/>
            <w:tcBorders>
              <w:top w:val="single" w:sz="4" w:space="0" w:color="auto"/>
              <w:left w:val="nil"/>
              <w:bottom w:val="single" w:sz="4" w:space="0" w:color="auto"/>
              <w:right w:val="single" w:sz="4" w:space="0" w:color="auto"/>
            </w:tcBorders>
            <w:shd w:val="clear" w:color="000000" w:fill="006666"/>
            <w:noWrap/>
            <w:vAlign w:val="bottom"/>
            <w:hideMark/>
          </w:tcPr>
          <w:p w:rsidR="00304CA0" w:rsidRPr="00304CA0" w:rsidRDefault="00304CA0" w:rsidP="00304CA0">
            <w:pPr>
              <w:spacing w:before="0" w:after="0"/>
              <w:rPr>
                <w:rFonts w:cs="Arial"/>
                <w:color w:val="FFFFFF"/>
                <w:sz w:val="20"/>
                <w:szCs w:val="20"/>
                <w:lang w:eastAsia="en-GB"/>
              </w:rPr>
            </w:pPr>
            <w:r w:rsidRPr="00304CA0">
              <w:rPr>
                <w:rFonts w:cs="Arial"/>
                <w:color w:val="FFFFFF"/>
                <w:sz w:val="20"/>
                <w:szCs w:val="20"/>
                <w:lang w:eastAsia="en-GB"/>
              </w:rPr>
              <w:t> </w:t>
            </w:r>
          </w:p>
        </w:tc>
      </w:tr>
      <w:tr w:rsidR="00304CA0" w:rsidRPr="00304CA0" w:rsidTr="00304CA0">
        <w:trPr>
          <w:trHeight w:val="765"/>
        </w:trPr>
        <w:tc>
          <w:tcPr>
            <w:tcW w:w="2564" w:type="dxa"/>
            <w:tcBorders>
              <w:top w:val="nil"/>
              <w:left w:val="single" w:sz="4" w:space="0" w:color="auto"/>
              <w:bottom w:val="single" w:sz="4" w:space="0" w:color="auto"/>
              <w:right w:val="single" w:sz="4" w:space="0" w:color="auto"/>
            </w:tcBorders>
            <w:shd w:val="clear" w:color="000000" w:fill="006666"/>
            <w:noWrap/>
            <w:vAlign w:val="bottom"/>
            <w:hideMark/>
          </w:tcPr>
          <w:p w:rsidR="00304CA0" w:rsidRPr="00304CA0" w:rsidRDefault="00304CA0" w:rsidP="00304CA0">
            <w:pPr>
              <w:spacing w:before="0" w:after="0"/>
              <w:rPr>
                <w:rFonts w:cs="Arial"/>
                <w:color w:val="FFFFFF"/>
                <w:sz w:val="20"/>
                <w:szCs w:val="20"/>
                <w:lang w:eastAsia="en-GB"/>
              </w:rPr>
            </w:pPr>
            <w:r w:rsidRPr="00304CA0">
              <w:rPr>
                <w:rFonts w:cs="Arial"/>
                <w:color w:val="FFFFFF"/>
                <w:sz w:val="20"/>
                <w:szCs w:val="20"/>
                <w:lang w:eastAsia="en-GB"/>
              </w:rPr>
              <w:t> </w:t>
            </w:r>
          </w:p>
        </w:tc>
        <w:tc>
          <w:tcPr>
            <w:tcW w:w="1276" w:type="dxa"/>
            <w:tcBorders>
              <w:top w:val="single" w:sz="4" w:space="0" w:color="auto"/>
              <w:left w:val="nil"/>
              <w:bottom w:val="single" w:sz="4" w:space="0" w:color="auto"/>
              <w:right w:val="single" w:sz="4" w:space="0" w:color="auto"/>
            </w:tcBorders>
            <w:shd w:val="clear" w:color="000000" w:fill="006666"/>
            <w:vAlign w:val="bottom"/>
            <w:hideMark/>
          </w:tcPr>
          <w:p w:rsidR="00304CA0" w:rsidRPr="00304CA0" w:rsidRDefault="00304CA0" w:rsidP="00304CA0">
            <w:pPr>
              <w:spacing w:before="0" w:after="0"/>
              <w:jc w:val="center"/>
              <w:rPr>
                <w:rFonts w:cs="Arial"/>
                <w:color w:val="FFFFFF"/>
                <w:sz w:val="20"/>
                <w:szCs w:val="20"/>
                <w:lang w:eastAsia="en-GB"/>
              </w:rPr>
            </w:pPr>
            <w:r w:rsidRPr="00304CA0">
              <w:rPr>
                <w:rFonts w:cs="Arial"/>
                <w:color w:val="FFFFFF"/>
                <w:sz w:val="20"/>
                <w:szCs w:val="20"/>
                <w:lang w:eastAsia="en-GB"/>
              </w:rPr>
              <w:t>Detached house</w:t>
            </w:r>
          </w:p>
        </w:tc>
        <w:tc>
          <w:tcPr>
            <w:tcW w:w="1417" w:type="dxa"/>
            <w:tcBorders>
              <w:top w:val="single" w:sz="4" w:space="0" w:color="auto"/>
              <w:left w:val="nil"/>
              <w:bottom w:val="single" w:sz="4" w:space="0" w:color="auto"/>
              <w:right w:val="single" w:sz="4" w:space="0" w:color="auto"/>
            </w:tcBorders>
            <w:shd w:val="clear" w:color="000000" w:fill="006666"/>
            <w:vAlign w:val="bottom"/>
            <w:hideMark/>
          </w:tcPr>
          <w:p w:rsidR="00304CA0" w:rsidRPr="00304CA0" w:rsidRDefault="00304CA0" w:rsidP="00304CA0">
            <w:pPr>
              <w:spacing w:before="0" w:after="0"/>
              <w:jc w:val="center"/>
              <w:rPr>
                <w:rFonts w:cs="Arial"/>
                <w:color w:val="FFFFFF"/>
                <w:sz w:val="20"/>
                <w:szCs w:val="20"/>
                <w:lang w:eastAsia="en-GB"/>
              </w:rPr>
            </w:pPr>
            <w:r w:rsidRPr="00304CA0">
              <w:rPr>
                <w:rFonts w:cs="Arial"/>
                <w:color w:val="FFFFFF"/>
                <w:sz w:val="20"/>
                <w:szCs w:val="20"/>
                <w:lang w:eastAsia="en-GB"/>
              </w:rPr>
              <w:t>Semi-detached house</w:t>
            </w:r>
          </w:p>
        </w:tc>
        <w:tc>
          <w:tcPr>
            <w:tcW w:w="1017" w:type="dxa"/>
            <w:tcBorders>
              <w:top w:val="single" w:sz="4" w:space="0" w:color="auto"/>
              <w:left w:val="nil"/>
              <w:bottom w:val="single" w:sz="4" w:space="0" w:color="auto"/>
              <w:right w:val="single" w:sz="4" w:space="0" w:color="auto"/>
            </w:tcBorders>
            <w:shd w:val="clear" w:color="000000" w:fill="006666"/>
            <w:vAlign w:val="bottom"/>
            <w:hideMark/>
          </w:tcPr>
          <w:p w:rsidR="00304CA0" w:rsidRPr="00304CA0" w:rsidRDefault="00304CA0" w:rsidP="00304CA0">
            <w:pPr>
              <w:spacing w:before="0" w:after="0"/>
              <w:jc w:val="center"/>
              <w:rPr>
                <w:rFonts w:cs="Arial"/>
                <w:color w:val="FFFFFF"/>
                <w:sz w:val="20"/>
                <w:szCs w:val="20"/>
                <w:lang w:eastAsia="en-GB"/>
              </w:rPr>
            </w:pPr>
            <w:r w:rsidRPr="00304CA0">
              <w:rPr>
                <w:rFonts w:cs="Arial"/>
                <w:color w:val="FFFFFF"/>
                <w:sz w:val="20"/>
                <w:szCs w:val="20"/>
                <w:lang w:eastAsia="en-GB"/>
              </w:rPr>
              <w:t>Terraced house</w:t>
            </w:r>
          </w:p>
        </w:tc>
        <w:tc>
          <w:tcPr>
            <w:tcW w:w="661" w:type="dxa"/>
            <w:tcBorders>
              <w:top w:val="single" w:sz="4" w:space="0" w:color="auto"/>
              <w:left w:val="nil"/>
              <w:bottom w:val="single" w:sz="4" w:space="0" w:color="auto"/>
              <w:right w:val="single" w:sz="4" w:space="0" w:color="auto"/>
            </w:tcBorders>
            <w:shd w:val="clear" w:color="000000" w:fill="006666"/>
            <w:vAlign w:val="bottom"/>
            <w:hideMark/>
          </w:tcPr>
          <w:p w:rsidR="00304CA0" w:rsidRPr="00304CA0" w:rsidRDefault="00304CA0" w:rsidP="00304CA0">
            <w:pPr>
              <w:spacing w:before="0" w:after="0"/>
              <w:jc w:val="center"/>
              <w:rPr>
                <w:rFonts w:cs="Arial"/>
                <w:color w:val="FFFFFF"/>
                <w:sz w:val="20"/>
                <w:szCs w:val="20"/>
                <w:lang w:eastAsia="en-GB"/>
              </w:rPr>
            </w:pPr>
            <w:r w:rsidRPr="00304CA0">
              <w:rPr>
                <w:rFonts w:cs="Arial"/>
                <w:color w:val="FFFFFF"/>
                <w:sz w:val="20"/>
                <w:szCs w:val="20"/>
                <w:lang w:eastAsia="en-GB"/>
              </w:rPr>
              <w:t>Flat</w:t>
            </w:r>
          </w:p>
        </w:tc>
        <w:tc>
          <w:tcPr>
            <w:tcW w:w="1095" w:type="dxa"/>
            <w:tcBorders>
              <w:top w:val="single" w:sz="4" w:space="0" w:color="auto"/>
              <w:left w:val="nil"/>
              <w:bottom w:val="single" w:sz="4" w:space="0" w:color="auto"/>
              <w:right w:val="single" w:sz="4" w:space="0" w:color="auto"/>
            </w:tcBorders>
            <w:shd w:val="clear" w:color="000000" w:fill="006666"/>
            <w:vAlign w:val="bottom"/>
            <w:hideMark/>
          </w:tcPr>
          <w:p w:rsidR="00304CA0" w:rsidRPr="00304CA0" w:rsidRDefault="00304CA0" w:rsidP="00304CA0">
            <w:pPr>
              <w:spacing w:before="0" w:after="0"/>
              <w:jc w:val="center"/>
              <w:rPr>
                <w:rFonts w:cs="Arial"/>
                <w:color w:val="FFFFFF"/>
                <w:sz w:val="20"/>
                <w:szCs w:val="20"/>
                <w:lang w:eastAsia="en-GB"/>
              </w:rPr>
            </w:pPr>
            <w:r w:rsidRPr="00304CA0">
              <w:rPr>
                <w:rFonts w:cs="Arial"/>
                <w:color w:val="FFFFFF"/>
                <w:sz w:val="20"/>
                <w:szCs w:val="20"/>
                <w:lang w:eastAsia="en-GB"/>
              </w:rPr>
              <w:t>Bungalow</w:t>
            </w:r>
          </w:p>
        </w:tc>
        <w:tc>
          <w:tcPr>
            <w:tcW w:w="960" w:type="dxa"/>
            <w:tcBorders>
              <w:top w:val="single" w:sz="4" w:space="0" w:color="auto"/>
              <w:left w:val="nil"/>
              <w:bottom w:val="single" w:sz="4" w:space="0" w:color="auto"/>
              <w:right w:val="single" w:sz="4" w:space="0" w:color="auto"/>
            </w:tcBorders>
            <w:shd w:val="clear" w:color="000000" w:fill="006666"/>
            <w:vAlign w:val="bottom"/>
            <w:hideMark/>
          </w:tcPr>
          <w:p w:rsidR="00304CA0" w:rsidRPr="00304CA0" w:rsidRDefault="00304CA0" w:rsidP="00304CA0">
            <w:pPr>
              <w:spacing w:before="0" w:after="0"/>
              <w:jc w:val="center"/>
              <w:rPr>
                <w:rFonts w:cs="Arial"/>
                <w:color w:val="FFFFFF"/>
                <w:sz w:val="20"/>
                <w:szCs w:val="20"/>
                <w:lang w:eastAsia="en-GB"/>
              </w:rPr>
            </w:pPr>
            <w:r w:rsidRPr="00304CA0">
              <w:rPr>
                <w:rFonts w:cs="Arial"/>
                <w:color w:val="FFFFFF"/>
                <w:sz w:val="20"/>
                <w:szCs w:val="20"/>
                <w:lang w:eastAsia="en-GB"/>
              </w:rPr>
              <w:t>Other</w:t>
            </w:r>
          </w:p>
        </w:tc>
        <w:tc>
          <w:tcPr>
            <w:tcW w:w="960" w:type="dxa"/>
            <w:tcBorders>
              <w:top w:val="single" w:sz="4" w:space="0" w:color="auto"/>
              <w:left w:val="nil"/>
              <w:bottom w:val="single" w:sz="4" w:space="0" w:color="auto"/>
              <w:right w:val="single" w:sz="4" w:space="0" w:color="auto"/>
            </w:tcBorders>
            <w:shd w:val="clear" w:color="000000" w:fill="006666"/>
            <w:vAlign w:val="bottom"/>
            <w:hideMark/>
          </w:tcPr>
          <w:p w:rsidR="00304CA0" w:rsidRPr="00304CA0" w:rsidRDefault="00304CA0" w:rsidP="00304CA0">
            <w:pPr>
              <w:spacing w:before="0" w:after="0"/>
              <w:jc w:val="center"/>
              <w:rPr>
                <w:rFonts w:cs="Arial"/>
                <w:color w:val="FFFFFF"/>
                <w:sz w:val="20"/>
                <w:szCs w:val="20"/>
                <w:lang w:eastAsia="en-GB"/>
              </w:rPr>
            </w:pPr>
            <w:r w:rsidRPr="00304CA0">
              <w:rPr>
                <w:rFonts w:cs="Arial"/>
                <w:color w:val="FFFFFF"/>
                <w:sz w:val="20"/>
                <w:szCs w:val="20"/>
                <w:lang w:eastAsia="en-GB"/>
              </w:rPr>
              <w:t>Total</w:t>
            </w:r>
          </w:p>
        </w:tc>
      </w:tr>
      <w:tr w:rsidR="00304CA0" w:rsidRPr="00304CA0" w:rsidTr="00304CA0">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rPr>
                <w:rFonts w:cs="Arial"/>
                <w:sz w:val="20"/>
                <w:szCs w:val="20"/>
                <w:lang w:eastAsia="en-GB"/>
              </w:rPr>
            </w:pPr>
            <w:r w:rsidRPr="00304CA0">
              <w:rPr>
                <w:rFonts w:cs="Arial"/>
                <w:sz w:val="20"/>
                <w:szCs w:val="20"/>
                <w:lang w:eastAsia="en-GB"/>
              </w:rPr>
              <w:t>One</w:t>
            </w:r>
          </w:p>
        </w:tc>
        <w:tc>
          <w:tcPr>
            <w:tcW w:w="1276"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10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661"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1095"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1.0</w:t>
            </w:r>
          </w:p>
        </w:tc>
      </w:tr>
      <w:tr w:rsidR="00304CA0" w:rsidRPr="00304CA0" w:rsidTr="00304CA0">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rPr>
                <w:rFonts w:cs="Arial"/>
                <w:sz w:val="20"/>
                <w:szCs w:val="20"/>
                <w:lang w:eastAsia="en-GB"/>
              </w:rPr>
            </w:pPr>
            <w:r w:rsidRPr="00304CA0">
              <w:rPr>
                <w:rFonts w:cs="Arial"/>
                <w:sz w:val="20"/>
                <w:szCs w:val="20"/>
                <w:lang w:eastAsia="en-GB"/>
              </w:rPr>
              <w:t>Two</w:t>
            </w:r>
          </w:p>
        </w:tc>
        <w:tc>
          <w:tcPr>
            <w:tcW w:w="1276"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2.1</w:t>
            </w:r>
          </w:p>
        </w:tc>
        <w:tc>
          <w:tcPr>
            <w:tcW w:w="14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3.2</w:t>
            </w:r>
          </w:p>
        </w:tc>
        <w:tc>
          <w:tcPr>
            <w:tcW w:w="10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9.2</w:t>
            </w:r>
          </w:p>
        </w:tc>
        <w:tc>
          <w:tcPr>
            <w:tcW w:w="661"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6.0</w:t>
            </w:r>
          </w:p>
        </w:tc>
        <w:tc>
          <w:tcPr>
            <w:tcW w:w="1095"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21.9</w:t>
            </w:r>
          </w:p>
        </w:tc>
      </w:tr>
      <w:tr w:rsidR="00304CA0" w:rsidRPr="00304CA0" w:rsidTr="00304CA0">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rPr>
                <w:rFonts w:cs="Arial"/>
                <w:sz w:val="20"/>
                <w:szCs w:val="20"/>
                <w:lang w:eastAsia="en-GB"/>
              </w:rPr>
            </w:pPr>
            <w:r w:rsidRPr="00304CA0">
              <w:rPr>
                <w:rFonts w:cs="Arial"/>
                <w:sz w:val="20"/>
                <w:szCs w:val="20"/>
                <w:lang w:eastAsia="en-GB"/>
              </w:rPr>
              <w:t>Three</w:t>
            </w:r>
          </w:p>
        </w:tc>
        <w:tc>
          <w:tcPr>
            <w:tcW w:w="1276"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7.9</w:t>
            </w:r>
          </w:p>
        </w:tc>
        <w:tc>
          <w:tcPr>
            <w:tcW w:w="14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15.3</w:t>
            </w:r>
          </w:p>
        </w:tc>
        <w:tc>
          <w:tcPr>
            <w:tcW w:w="10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16.4</w:t>
            </w:r>
          </w:p>
        </w:tc>
        <w:tc>
          <w:tcPr>
            <w:tcW w:w="661"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2.9</w:t>
            </w:r>
          </w:p>
        </w:tc>
        <w:tc>
          <w:tcPr>
            <w:tcW w:w="1095"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3.7</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46.4</w:t>
            </w:r>
          </w:p>
        </w:tc>
      </w:tr>
      <w:tr w:rsidR="00304CA0" w:rsidRPr="00304CA0" w:rsidTr="00304CA0">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rPr>
                <w:rFonts w:cs="Arial"/>
                <w:sz w:val="20"/>
                <w:szCs w:val="20"/>
                <w:lang w:eastAsia="en-GB"/>
              </w:rPr>
            </w:pPr>
            <w:r w:rsidRPr="00304CA0">
              <w:rPr>
                <w:rFonts w:cs="Arial"/>
                <w:sz w:val="20"/>
                <w:szCs w:val="20"/>
                <w:lang w:eastAsia="en-GB"/>
              </w:rPr>
              <w:t>Four</w:t>
            </w:r>
          </w:p>
        </w:tc>
        <w:tc>
          <w:tcPr>
            <w:tcW w:w="1276"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15.2</w:t>
            </w:r>
          </w:p>
        </w:tc>
        <w:tc>
          <w:tcPr>
            <w:tcW w:w="14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5.5</w:t>
            </w:r>
          </w:p>
        </w:tc>
        <w:tc>
          <w:tcPr>
            <w:tcW w:w="10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3.0</w:t>
            </w:r>
          </w:p>
        </w:tc>
        <w:tc>
          <w:tcPr>
            <w:tcW w:w="661"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1095"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23.7</w:t>
            </w:r>
          </w:p>
        </w:tc>
      </w:tr>
      <w:tr w:rsidR="00304CA0" w:rsidRPr="00304CA0" w:rsidTr="00304CA0">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rPr>
                <w:rFonts w:cs="Arial"/>
                <w:sz w:val="20"/>
                <w:szCs w:val="20"/>
                <w:lang w:eastAsia="en-GB"/>
              </w:rPr>
            </w:pPr>
            <w:r w:rsidRPr="00304CA0">
              <w:rPr>
                <w:rFonts w:cs="Arial"/>
                <w:sz w:val="20"/>
                <w:szCs w:val="20"/>
                <w:lang w:eastAsia="en-GB"/>
              </w:rPr>
              <w:t>Five or more</w:t>
            </w:r>
          </w:p>
        </w:tc>
        <w:tc>
          <w:tcPr>
            <w:tcW w:w="1276"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4.3</w:t>
            </w:r>
          </w:p>
        </w:tc>
        <w:tc>
          <w:tcPr>
            <w:tcW w:w="14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1.8</w:t>
            </w:r>
          </w:p>
        </w:tc>
        <w:tc>
          <w:tcPr>
            <w:tcW w:w="10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0.8</w:t>
            </w:r>
          </w:p>
        </w:tc>
        <w:tc>
          <w:tcPr>
            <w:tcW w:w="661"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1095"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6.9</w:t>
            </w:r>
          </w:p>
        </w:tc>
      </w:tr>
      <w:tr w:rsidR="00304CA0" w:rsidRPr="00304CA0" w:rsidTr="00304CA0">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rPr>
                <w:rFonts w:cs="Arial"/>
                <w:sz w:val="20"/>
                <w:szCs w:val="20"/>
                <w:lang w:eastAsia="en-GB"/>
              </w:rPr>
            </w:pPr>
            <w:r w:rsidRPr="00304CA0">
              <w:rPr>
                <w:rFonts w:cs="Arial"/>
                <w:sz w:val="20"/>
                <w:szCs w:val="20"/>
                <w:lang w:eastAsia="en-GB"/>
              </w:rPr>
              <w:t>Total</w:t>
            </w:r>
          </w:p>
        </w:tc>
        <w:tc>
          <w:tcPr>
            <w:tcW w:w="1276"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29.5</w:t>
            </w:r>
          </w:p>
        </w:tc>
        <w:tc>
          <w:tcPr>
            <w:tcW w:w="14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25.8</w:t>
            </w:r>
          </w:p>
        </w:tc>
        <w:tc>
          <w:tcPr>
            <w:tcW w:w="1017"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29.3</w:t>
            </w:r>
          </w:p>
        </w:tc>
        <w:tc>
          <w:tcPr>
            <w:tcW w:w="661"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8.9</w:t>
            </w:r>
          </w:p>
        </w:tc>
        <w:tc>
          <w:tcPr>
            <w:tcW w:w="1095"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6.2</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100.0</w:t>
            </w:r>
          </w:p>
        </w:tc>
      </w:tr>
      <w:tr w:rsidR="00304CA0" w:rsidRPr="00304CA0" w:rsidTr="00304CA0">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rPr>
                <w:rFonts w:cs="Arial"/>
                <w:sz w:val="20"/>
                <w:szCs w:val="20"/>
                <w:lang w:eastAsia="en-GB"/>
              </w:rPr>
            </w:pPr>
            <w:r w:rsidRPr="00304CA0">
              <w:rPr>
                <w:rFonts w:cs="Arial"/>
                <w:sz w:val="20"/>
                <w:szCs w:val="20"/>
                <w:lang w:eastAsia="en-GB"/>
              </w:rPr>
              <w:t>Base (Valid Responses)</w:t>
            </w:r>
          </w:p>
        </w:tc>
        <w:tc>
          <w:tcPr>
            <w:tcW w:w="1276" w:type="dxa"/>
            <w:tcBorders>
              <w:top w:val="nil"/>
              <w:left w:val="nil"/>
              <w:bottom w:val="single" w:sz="4" w:space="0" w:color="auto"/>
              <w:right w:val="single" w:sz="4" w:space="0" w:color="auto"/>
            </w:tcBorders>
            <w:shd w:val="clear" w:color="auto" w:fill="auto"/>
            <w:noWrap/>
            <w:vAlign w:val="bottom"/>
            <w:hideMark/>
          </w:tcPr>
          <w:p w:rsidR="00304CA0" w:rsidRPr="00304CA0" w:rsidRDefault="00304CA0" w:rsidP="00304CA0">
            <w:pPr>
              <w:spacing w:before="0" w:after="0"/>
              <w:jc w:val="center"/>
              <w:rPr>
                <w:rFonts w:cs="Arial"/>
                <w:sz w:val="20"/>
                <w:szCs w:val="20"/>
                <w:lang w:eastAsia="en-GB"/>
              </w:rPr>
            </w:pPr>
            <w:r w:rsidRPr="00304CA0">
              <w:rPr>
                <w:rFonts w:cs="Arial"/>
                <w:sz w:val="20"/>
                <w:szCs w:val="20"/>
                <w:lang w:eastAsia="en-GB"/>
              </w:rPr>
              <w:t>5215</w:t>
            </w:r>
          </w:p>
        </w:tc>
        <w:tc>
          <w:tcPr>
            <w:tcW w:w="1417" w:type="dxa"/>
            <w:tcBorders>
              <w:top w:val="nil"/>
              <w:left w:val="nil"/>
              <w:bottom w:val="nil"/>
              <w:right w:val="nil"/>
            </w:tcBorders>
            <w:shd w:val="clear" w:color="auto" w:fill="auto"/>
            <w:noWrap/>
            <w:vAlign w:val="bottom"/>
            <w:hideMark/>
          </w:tcPr>
          <w:p w:rsidR="00304CA0" w:rsidRPr="00304CA0" w:rsidRDefault="00304CA0" w:rsidP="00304CA0">
            <w:pPr>
              <w:spacing w:before="0" w:after="0"/>
              <w:rPr>
                <w:rFonts w:ascii="Times New Roman" w:hAnsi="Times New Roman"/>
                <w:sz w:val="20"/>
                <w:szCs w:val="20"/>
                <w:lang w:eastAsia="en-GB"/>
              </w:rPr>
            </w:pPr>
          </w:p>
        </w:tc>
        <w:tc>
          <w:tcPr>
            <w:tcW w:w="1017" w:type="dxa"/>
            <w:tcBorders>
              <w:top w:val="nil"/>
              <w:left w:val="nil"/>
              <w:bottom w:val="nil"/>
              <w:right w:val="nil"/>
            </w:tcBorders>
            <w:shd w:val="clear" w:color="auto" w:fill="auto"/>
            <w:noWrap/>
            <w:vAlign w:val="bottom"/>
            <w:hideMark/>
          </w:tcPr>
          <w:p w:rsidR="00304CA0" w:rsidRPr="00304CA0" w:rsidRDefault="00304CA0" w:rsidP="00304CA0">
            <w:pPr>
              <w:spacing w:before="0" w:after="0"/>
              <w:rPr>
                <w:rFonts w:ascii="Times New Roman" w:hAnsi="Times New Roman"/>
                <w:sz w:val="20"/>
                <w:szCs w:val="20"/>
                <w:lang w:eastAsia="en-GB"/>
              </w:rPr>
            </w:pPr>
          </w:p>
        </w:tc>
        <w:tc>
          <w:tcPr>
            <w:tcW w:w="661" w:type="dxa"/>
            <w:tcBorders>
              <w:top w:val="nil"/>
              <w:left w:val="nil"/>
              <w:bottom w:val="nil"/>
              <w:right w:val="nil"/>
            </w:tcBorders>
            <w:shd w:val="clear" w:color="auto" w:fill="auto"/>
            <w:noWrap/>
            <w:vAlign w:val="bottom"/>
            <w:hideMark/>
          </w:tcPr>
          <w:p w:rsidR="00304CA0" w:rsidRPr="00304CA0" w:rsidRDefault="00304CA0" w:rsidP="00304CA0">
            <w:pPr>
              <w:spacing w:before="0" w:after="0"/>
              <w:rPr>
                <w:rFonts w:ascii="Times New Roman" w:hAnsi="Times New Roman"/>
                <w:sz w:val="20"/>
                <w:szCs w:val="20"/>
                <w:lang w:eastAsia="en-GB"/>
              </w:rPr>
            </w:pPr>
          </w:p>
        </w:tc>
        <w:tc>
          <w:tcPr>
            <w:tcW w:w="1095" w:type="dxa"/>
            <w:tcBorders>
              <w:top w:val="nil"/>
              <w:left w:val="nil"/>
              <w:bottom w:val="nil"/>
              <w:right w:val="nil"/>
            </w:tcBorders>
            <w:shd w:val="clear" w:color="auto" w:fill="auto"/>
            <w:noWrap/>
            <w:vAlign w:val="bottom"/>
            <w:hideMark/>
          </w:tcPr>
          <w:p w:rsidR="00304CA0" w:rsidRPr="00304CA0" w:rsidRDefault="00304CA0" w:rsidP="00304CA0">
            <w:pPr>
              <w:spacing w:before="0" w:after="0"/>
              <w:rPr>
                <w:rFonts w:ascii="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rsidR="00304CA0" w:rsidRPr="00304CA0" w:rsidRDefault="00304CA0" w:rsidP="00304CA0">
            <w:pPr>
              <w:spacing w:before="0" w:after="0"/>
              <w:rPr>
                <w:rFonts w:ascii="Times New Roman" w:hAnsi="Times New Roman"/>
                <w:sz w:val="20"/>
                <w:szCs w:val="20"/>
                <w:lang w:eastAsia="en-GB"/>
              </w:rPr>
            </w:pPr>
          </w:p>
        </w:tc>
        <w:tc>
          <w:tcPr>
            <w:tcW w:w="960" w:type="dxa"/>
            <w:tcBorders>
              <w:top w:val="nil"/>
              <w:left w:val="nil"/>
              <w:bottom w:val="nil"/>
              <w:right w:val="nil"/>
            </w:tcBorders>
            <w:shd w:val="clear" w:color="auto" w:fill="auto"/>
            <w:noWrap/>
            <w:vAlign w:val="bottom"/>
            <w:hideMark/>
          </w:tcPr>
          <w:p w:rsidR="00304CA0" w:rsidRPr="00304CA0" w:rsidRDefault="00304CA0" w:rsidP="00304CA0">
            <w:pPr>
              <w:spacing w:before="0" w:after="0"/>
              <w:rPr>
                <w:rFonts w:ascii="Times New Roman" w:hAnsi="Times New Roman"/>
                <w:sz w:val="20"/>
                <w:szCs w:val="20"/>
                <w:lang w:eastAsia="en-GB"/>
              </w:rPr>
            </w:pPr>
          </w:p>
        </w:tc>
      </w:tr>
      <w:bookmarkEnd w:id="115"/>
      <w:bookmarkEnd w:id="116"/>
    </w:tbl>
    <w:p w:rsidR="000D4E86" w:rsidRDefault="000D4E86" w:rsidP="000D4E86"/>
    <w:p w:rsidR="00BE4B05" w:rsidRPr="004F6372" w:rsidRDefault="00BE4B05" w:rsidP="00BE4B05">
      <w:pPr>
        <w:pStyle w:val="Heading2"/>
      </w:pPr>
      <w:bookmarkStart w:id="120" w:name="_Toc333507771"/>
      <w:r>
        <w:t>Planning policy and management</w:t>
      </w:r>
      <w:bookmarkEnd w:id="120"/>
    </w:p>
    <w:p w:rsidR="00381E1B" w:rsidRDefault="00381E1B" w:rsidP="00BE4B05">
      <w:pPr>
        <w:pStyle w:val="Maintext"/>
        <w:rPr>
          <w:lang w:val="en-US"/>
        </w:rPr>
      </w:pPr>
      <w:r>
        <w:rPr>
          <w:lang w:val="en-US"/>
        </w:rPr>
        <w:t>Stakeholders raised concern around planning both in terms of policy and practice, and identified the following issues as an impediment to the housing supply:</w:t>
      </w:r>
    </w:p>
    <w:p w:rsidR="00381E1B" w:rsidRDefault="00381E1B" w:rsidP="00381E1B">
      <w:pPr>
        <w:pStyle w:val="Maintext"/>
        <w:numPr>
          <w:ilvl w:val="2"/>
          <w:numId w:val="10"/>
        </w:numPr>
        <w:rPr>
          <w:lang w:val="en-US"/>
        </w:rPr>
      </w:pPr>
      <w:r>
        <w:rPr>
          <w:lang w:val="en-US"/>
        </w:rPr>
        <w:t>The spatial planning policy framework inherited from the old District Councils is out of date;</w:t>
      </w:r>
    </w:p>
    <w:p w:rsidR="00381E1B" w:rsidRDefault="00381E1B" w:rsidP="00381E1B">
      <w:pPr>
        <w:pStyle w:val="Maintext"/>
        <w:numPr>
          <w:ilvl w:val="2"/>
          <w:numId w:val="10"/>
        </w:numPr>
        <w:rPr>
          <w:lang w:val="en-US"/>
        </w:rPr>
      </w:pPr>
      <w:r>
        <w:rPr>
          <w:lang w:val="en-US"/>
        </w:rPr>
        <w:t>Economic viability, leading patterns and behavior within the current market. Concerns were raised in respect of the current approach to the Community Infrastructure Levy (CIL) in the County;</w:t>
      </w:r>
    </w:p>
    <w:p w:rsidR="00381E1B" w:rsidRDefault="00381E1B" w:rsidP="00381E1B">
      <w:pPr>
        <w:pStyle w:val="Maintext"/>
        <w:numPr>
          <w:ilvl w:val="2"/>
          <w:numId w:val="10"/>
        </w:numPr>
        <w:rPr>
          <w:lang w:val="en-US"/>
        </w:rPr>
      </w:pPr>
      <w:r>
        <w:rPr>
          <w:lang w:val="en-US"/>
        </w:rPr>
        <w:t>Delays and costs are incurred through the planning application process.</w:t>
      </w:r>
    </w:p>
    <w:p w:rsidR="00381E1B" w:rsidRPr="00381E1B" w:rsidRDefault="00381E1B" w:rsidP="00381E1B">
      <w:pPr>
        <w:pStyle w:val="Maintext"/>
        <w:rPr>
          <w:rFonts w:cs="Arial"/>
        </w:rPr>
      </w:pPr>
      <w:r w:rsidRPr="00381E1B">
        <w:rPr>
          <w:rFonts w:cs="Arial"/>
          <w:lang w:val="en-US"/>
        </w:rPr>
        <w:t>Durham County Council published for consultation the County Durham Plan Preferred Options Document in September 2012. The Council is currently in the process of considering comments made on the plan and preparing responses. The Council will publish the draft Plan for consultation in autumn 2013, with the intention of submitting the plan for Examination in the spring of 2014. The Council is bringing forward the CIL and developing evidence relating to economic viability alongside the 2013 update to the SHMA.</w:t>
      </w:r>
    </w:p>
    <w:p w:rsidR="00381E1B" w:rsidRDefault="00381E1B" w:rsidP="00381E1B">
      <w:pPr>
        <w:pStyle w:val="Maintext"/>
        <w:numPr>
          <w:ilvl w:val="0"/>
          <w:numId w:val="0"/>
        </w:numPr>
        <w:ind w:left="709"/>
        <w:rPr>
          <w:lang w:val="en-US"/>
        </w:rPr>
      </w:pPr>
    </w:p>
    <w:p w:rsidR="00BE4B05" w:rsidRDefault="00BE4B05" w:rsidP="00BE4B05">
      <w:pPr>
        <w:pStyle w:val="Maintext"/>
        <w:rPr>
          <w:lang w:val="en-US"/>
        </w:rPr>
      </w:pPr>
      <w:r>
        <w:rPr>
          <w:lang w:val="en-US"/>
        </w:rPr>
        <w:t>Developers stressed the challenging economic climate within which they are operating and the constraints that this places on their development capacity; an understanding of location and finance are a prerequisite to delivering future housing supply. In the current economic climate there are areas within which it is not financially viable to develop without subsidy. Spatial strategies need to be reviewed to enable development to take place in areas where demand for housing is greatest,</w:t>
      </w:r>
      <w:r w:rsidR="008522DA">
        <w:rPr>
          <w:lang w:val="en-US"/>
        </w:rPr>
        <w:t xml:space="preserve"> within the higher value </w:t>
      </w:r>
      <w:r>
        <w:rPr>
          <w:lang w:val="en-US"/>
        </w:rPr>
        <w:t xml:space="preserve">areas. A strategic review of spatial priorities is needed. </w:t>
      </w:r>
    </w:p>
    <w:p w:rsidR="00604E60" w:rsidRDefault="00F03CD3" w:rsidP="00604E60">
      <w:pPr>
        <w:pStyle w:val="Heading1"/>
      </w:pPr>
      <w:r>
        <w:br w:type="page"/>
      </w:r>
      <w:bookmarkStart w:id="121" w:name="_Toc333507772"/>
      <w:r w:rsidR="00604E60">
        <w:t>Conclusion: policy and strategic issues</w:t>
      </w:r>
      <w:bookmarkEnd w:id="121"/>
    </w:p>
    <w:p w:rsidR="00604E60" w:rsidRDefault="00604E60"/>
    <w:p w:rsidR="000B331D" w:rsidRDefault="003A6F13" w:rsidP="000B331D">
      <w:pPr>
        <w:pStyle w:val="Maintext"/>
      </w:pPr>
      <w:r>
        <w:t xml:space="preserve">This document has been prepared to equip </w:t>
      </w:r>
      <w:r w:rsidR="00F03CD3">
        <w:t xml:space="preserve">Durham County Council and its partners </w:t>
      </w:r>
      <w:r>
        <w:t xml:space="preserve">with robust, defensible and transparent information to help inform strategic decision-making and the formulation of appropriate housing and planning policies.  It has delivered core outputs required under the CLG Strategic Housing Market Assessment Guidance, which are underpinned by comprehensive technical appendices. </w:t>
      </w:r>
    </w:p>
    <w:p w:rsidR="005F702A" w:rsidRDefault="005F702A" w:rsidP="000B331D">
      <w:pPr>
        <w:pStyle w:val="Maintext"/>
      </w:pPr>
      <w:r>
        <w:t>The work also takes account of the new National Planning Policy Framework which came into effect in March 2012. The SHMA will help local authorities plan for a mix of housing based on current and future demographic trends, market trends and the needs of different groups in the community.</w:t>
      </w:r>
      <w:r w:rsidR="000B331D">
        <w:t xml:space="preserve">  Specifically, the SHMA identifies the size, type and tenure of market housing required by </w:t>
      </w:r>
      <w:r w:rsidR="0083534C">
        <w:t>survey area</w:t>
      </w:r>
      <w:r w:rsidR="000B331D">
        <w:t xml:space="preserve"> by considering current market demand relative to supply; and also identifies a continued affordable housing requirement across </w:t>
      </w:r>
      <w:r w:rsidR="00F03CD3">
        <w:t>County Durham</w:t>
      </w:r>
      <w:r w:rsidR="000B331D">
        <w:t>.</w:t>
      </w:r>
    </w:p>
    <w:p w:rsidR="00A276C7" w:rsidRDefault="003A6F13">
      <w:pPr>
        <w:pStyle w:val="Maintext"/>
      </w:pPr>
      <w:r>
        <w:t>This concluding chapter summarises key messages from the research findings</w:t>
      </w:r>
      <w:bookmarkStart w:id="122" w:name="_Toc100131025"/>
      <w:bookmarkStart w:id="123" w:name="_Toc103485196"/>
      <w:r>
        <w:t xml:space="preserve">, structured around a commentary on the current and future housing markets; the interactions of </w:t>
      </w:r>
      <w:r w:rsidR="00F03CD3">
        <w:t>County Durham</w:t>
      </w:r>
      <w:r w:rsidR="000A0863">
        <w:t xml:space="preserve"> </w:t>
      </w:r>
      <w:r>
        <w:t xml:space="preserve">with other areas; and relates findings to </w:t>
      </w:r>
      <w:r w:rsidR="00A276C7">
        <w:t>key local and sub-regional strategic issues.</w:t>
      </w:r>
    </w:p>
    <w:p w:rsidR="00A276C7" w:rsidRDefault="00A276C7">
      <w:pPr>
        <w:pStyle w:val="Heading2"/>
      </w:pPr>
      <w:bookmarkStart w:id="124" w:name="_Toc156642342"/>
      <w:bookmarkStart w:id="125" w:name="_Toc156642810"/>
      <w:bookmarkStart w:id="126" w:name="_Toc166484923"/>
      <w:bookmarkStart w:id="127" w:name="_Toc184123851"/>
      <w:bookmarkStart w:id="128" w:name="_Toc184198270"/>
      <w:bookmarkStart w:id="129" w:name="_Toc214433431"/>
      <w:bookmarkEnd w:id="122"/>
      <w:bookmarkEnd w:id="123"/>
    </w:p>
    <w:p w:rsidR="003A6F13" w:rsidRDefault="003A6F13">
      <w:pPr>
        <w:pStyle w:val="Heading2"/>
      </w:pPr>
      <w:bookmarkStart w:id="130" w:name="_Toc333507773"/>
      <w:r>
        <w:t>The current housing market</w:t>
      </w:r>
      <w:bookmarkEnd w:id="124"/>
      <w:bookmarkEnd w:id="125"/>
      <w:bookmarkEnd w:id="126"/>
      <w:bookmarkEnd w:id="127"/>
      <w:bookmarkEnd w:id="128"/>
      <w:bookmarkEnd w:id="129"/>
      <w:bookmarkEnd w:id="130"/>
    </w:p>
    <w:p w:rsidR="00F03CD3" w:rsidRDefault="002F604A" w:rsidP="00F03CD3">
      <w:pPr>
        <w:pStyle w:val="Maintext"/>
      </w:pPr>
      <w:r>
        <w:t>This study has provide</w:t>
      </w:r>
      <w:r w:rsidR="003D04D8">
        <w:t>s</w:t>
      </w:r>
      <w:r>
        <w:t xml:space="preserve"> up to date information on the housing stock in </w:t>
      </w:r>
      <w:r w:rsidR="00F03CD3">
        <w:t>County Durham.  H</w:t>
      </w:r>
      <w:r w:rsidR="003D04D8">
        <w:t>ow the stock profile</w:t>
      </w:r>
      <w:r>
        <w:t xml:space="preserve"> varies by </w:t>
      </w:r>
      <w:r w:rsidR="0083534C">
        <w:t>survey area</w:t>
      </w:r>
      <w:r w:rsidR="003D04D8">
        <w:t xml:space="preserve"> is presented in data tabulations and </w:t>
      </w:r>
      <w:r w:rsidR="0083534C">
        <w:t>survey area</w:t>
      </w:r>
      <w:r w:rsidR="003D04D8">
        <w:t xml:space="preserve"> summaries accompanying this report.</w:t>
      </w:r>
    </w:p>
    <w:p w:rsidR="00F03CD3" w:rsidRDefault="00F03CD3" w:rsidP="00F03CD3">
      <w:pPr>
        <w:pStyle w:val="Maintext"/>
      </w:pPr>
      <w:r>
        <w:t>Across</w:t>
      </w:r>
      <w:r w:rsidR="00861061">
        <w:t xml:space="preserve"> County Durham there are 2</w:t>
      </w:r>
      <w:r w:rsidR="00CA4795">
        <w:t>36,082</w:t>
      </w:r>
      <w:r>
        <w:t xml:space="preserve"> resi</w:t>
      </w:r>
      <w:r w:rsidR="00CA4795">
        <w:t>dential dwellings of which 223,03</w:t>
      </w:r>
      <w:r>
        <w:t xml:space="preserve"> are occupied by individual households. In terms of dwelling stock, the 2012 household survey reports that, across County Durham:</w:t>
      </w:r>
    </w:p>
    <w:p w:rsidR="00F03CD3" w:rsidRDefault="00CA4795" w:rsidP="00C76826">
      <w:pPr>
        <w:pStyle w:val="Maintext"/>
        <w:numPr>
          <w:ilvl w:val="0"/>
          <w:numId w:val="15"/>
        </w:numPr>
      </w:pPr>
      <w:r>
        <w:t>79.3% of properties are houses, 5% are flats/maisonettes, 15.3</w:t>
      </w:r>
      <w:r w:rsidR="00F03CD3">
        <w:t>% are bungalows a</w:t>
      </w:r>
      <w:r>
        <w:t>nd 0.5</w:t>
      </w:r>
      <w:r w:rsidR="00F03CD3">
        <w:t>% are other property types (e.g. caravans);</w:t>
      </w:r>
    </w:p>
    <w:p w:rsidR="00F03CD3" w:rsidRDefault="00CA4795" w:rsidP="00C76826">
      <w:pPr>
        <w:pStyle w:val="Maintext"/>
        <w:numPr>
          <w:ilvl w:val="0"/>
          <w:numId w:val="15"/>
        </w:numPr>
      </w:pPr>
      <w:r>
        <w:t>6.1% have one bedroom, 34.8% have two bedrooms, 43.7% have three bedrooms and 15.4</w:t>
      </w:r>
      <w:r w:rsidR="00F03CD3">
        <w:t>% have four or more bedrooms;</w:t>
      </w:r>
    </w:p>
    <w:p w:rsidR="00CA4795" w:rsidRDefault="00CA4795" w:rsidP="00CA4795">
      <w:pPr>
        <w:pStyle w:val="Maintext"/>
        <w:numPr>
          <w:ilvl w:val="0"/>
          <w:numId w:val="15"/>
        </w:numPr>
      </w:pPr>
      <w:r>
        <w:t>17.6</w:t>
      </w:r>
      <w:r w:rsidR="00F03CD3">
        <w:t>% of properties were b</w:t>
      </w:r>
      <w:r>
        <w:t>uilt before 1919, a further 16.5</w:t>
      </w:r>
      <w:r w:rsidR="00F03CD3">
        <w:t>% were</w:t>
      </w:r>
      <w:r>
        <w:t xml:space="preserve"> built between 1919 and 1944, 21.7% between 1945 and 1964, 23.1% between 1965 and 1984 and 21.2</w:t>
      </w:r>
      <w:r w:rsidR="00F03CD3">
        <w:t xml:space="preserve">% have been built since 1985; </w:t>
      </w:r>
    </w:p>
    <w:p w:rsidR="00F03CD3" w:rsidRDefault="00CA4795" w:rsidP="00CA4795">
      <w:pPr>
        <w:pStyle w:val="Maintext"/>
        <w:numPr>
          <w:ilvl w:val="0"/>
          <w:numId w:val="15"/>
        </w:numPr>
      </w:pPr>
      <w:r>
        <w:t>65.8</w:t>
      </w:r>
      <w:r w:rsidR="00F03CD3">
        <w:t>% of pro</w:t>
      </w:r>
      <w:r>
        <w:t>perties are owner-occupied, 20.1</w:t>
      </w:r>
      <w:r w:rsidR="00F03CD3">
        <w:t>% are re</w:t>
      </w:r>
      <w:r>
        <w:t>nted from a social landlord, 13.8% are private rented and 0.2</w:t>
      </w:r>
      <w:r w:rsidR="00F03CD3">
        <w:t>% are intermediate tenure (e.g. shared ownership).</w:t>
      </w:r>
    </w:p>
    <w:p w:rsidR="00F80558" w:rsidRDefault="00F80558" w:rsidP="003D04D8">
      <w:pPr>
        <w:pStyle w:val="Heading2"/>
      </w:pPr>
    </w:p>
    <w:p w:rsidR="003D04D8" w:rsidRDefault="003D04D8" w:rsidP="003D04D8">
      <w:pPr>
        <w:pStyle w:val="Heading2"/>
      </w:pPr>
      <w:bookmarkStart w:id="131" w:name="_Toc333507774"/>
      <w:r>
        <w:t>Housing markets and mobility</w:t>
      </w:r>
      <w:bookmarkEnd w:id="131"/>
    </w:p>
    <w:p w:rsidR="005E639E" w:rsidRDefault="005E639E" w:rsidP="005E639E">
      <w:pPr>
        <w:pStyle w:val="Maintext"/>
      </w:pPr>
      <w:r>
        <w:t xml:space="preserve">A range of material has been gathered to help identify market drivers and the characteristics of </w:t>
      </w:r>
      <w:r w:rsidR="00B440F0">
        <w:t>delivery area</w:t>
      </w:r>
      <w:r w:rsidR="003D04D8">
        <w:t xml:space="preserve">s </w:t>
      </w:r>
      <w:r>
        <w:t xml:space="preserve">across </w:t>
      </w:r>
      <w:r w:rsidR="00F03CD3">
        <w:t>County Durham</w:t>
      </w:r>
      <w:r w:rsidR="00F80558">
        <w:t xml:space="preserve"> </w:t>
      </w:r>
      <w:r>
        <w:t>and linkages with othe</w:t>
      </w:r>
      <w:r w:rsidR="003D04D8">
        <w:t>r areas.</w:t>
      </w:r>
    </w:p>
    <w:p w:rsidR="00896970" w:rsidRDefault="003D04D8" w:rsidP="00896970">
      <w:pPr>
        <w:pStyle w:val="Maintext"/>
        <w:rPr>
          <w:rFonts w:cs="Arial"/>
          <w:iCs/>
        </w:rPr>
      </w:pPr>
      <w:r w:rsidRPr="00EB148A">
        <w:t xml:space="preserve">An analysis of </w:t>
      </w:r>
      <w:r>
        <w:t>household mobility</w:t>
      </w:r>
      <w:r w:rsidRPr="00EB148A">
        <w:t xml:space="preserve"> suggests that</w:t>
      </w:r>
      <w:r>
        <w:t xml:space="preserve"> of households moving in the past 5 years</w:t>
      </w:r>
      <w:r w:rsidR="001D3255">
        <w:t>, 77.5</w:t>
      </w:r>
      <w:r w:rsidR="00F03CD3">
        <w:t>%</w:t>
      </w:r>
      <w:r w:rsidR="00CA4795">
        <w:t xml:space="preserve"> </w:t>
      </w:r>
      <w:r w:rsidR="00F03CD3">
        <w:t>moved within County Durham</w:t>
      </w:r>
      <w:r w:rsidR="006A2EDB">
        <w:t>. Of the 2</w:t>
      </w:r>
      <w:r w:rsidR="001D3255">
        <w:t>2.5</w:t>
      </w:r>
      <w:r w:rsidR="00F03CD3">
        <w:t xml:space="preserve">% </w:t>
      </w:r>
      <w:r w:rsidR="006A2EDB">
        <w:t xml:space="preserve">who had moved into County Durham, </w:t>
      </w:r>
      <w:r w:rsidR="00896970">
        <w:t>half were from elsewhere in the North East.</w:t>
      </w:r>
    </w:p>
    <w:p w:rsidR="003D04D8" w:rsidRPr="00896970" w:rsidRDefault="00896970" w:rsidP="00896970">
      <w:pPr>
        <w:pStyle w:val="Maintext"/>
        <w:rPr>
          <w:rFonts w:cs="Arial"/>
          <w:iCs/>
        </w:rPr>
      </w:pPr>
      <w:r>
        <w:t>A majority (61</w:t>
      </w:r>
      <w:r w:rsidR="002145B0">
        <w:t xml:space="preserve">%) of households moving into </w:t>
      </w:r>
      <w:r w:rsidR="006A2EDB">
        <w:t>County Durham</w:t>
      </w:r>
      <w:r w:rsidR="002145B0">
        <w:t xml:space="preserve"> were headed by someone who was economically active</w:t>
      </w:r>
      <w:r>
        <w:t xml:space="preserve"> although a majority (54.8</w:t>
      </w:r>
      <w:r w:rsidR="006A2EDB">
        <w:t>%</w:t>
      </w:r>
      <w:r>
        <w:t>)</w:t>
      </w:r>
      <w:r w:rsidR="006A2EDB">
        <w:t xml:space="preserve"> worked outside the County. Key reasons for moving </w:t>
      </w:r>
      <w:r>
        <w:t>were to be closer to family and friends for social reasons (17.2%), to be closer to work (17.1%), wanting a larger property (13.0%) and for marriage/to live together (7.8%).</w:t>
      </w:r>
      <w:r>
        <w:rPr>
          <w:rFonts w:cs="Arial"/>
          <w:iCs/>
        </w:rPr>
        <w:t xml:space="preserve"> </w:t>
      </w:r>
      <w:r>
        <w:t>45.8</w:t>
      </w:r>
      <w:r w:rsidR="002145B0">
        <w:t>% had a week</w:t>
      </w:r>
      <w:r w:rsidR="00F80558">
        <w:t xml:space="preserve">ly income in excess of £500, </w:t>
      </w:r>
      <w:r>
        <w:t>48.7</w:t>
      </w:r>
      <w:r w:rsidR="00F80558">
        <w:t xml:space="preserve">% of </w:t>
      </w:r>
      <w:r>
        <w:t>heads of household</w:t>
      </w:r>
      <w:r w:rsidR="002145B0">
        <w:t xml:space="preserve"> were in the </w:t>
      </w:r>
      <w:r>
        <w:t>16-39 age group and 34.1</w:t>
      </w:r>
      <w:r w:rsidR="00F80558">
        <w:t xml:space="preserve">% in the </w:t>
      </w:r>
      <w:r w:rsidR="002145B0">
        <w:t>40-59 age group.</w:t>
      </w:r>
    </w:p>
    <w:p w:rsidR="00F80558" w:rsidRDefault="003D04D8" w:rsidP="00F80558">
      <w:pPr>
        <w:pStyle w:val="Maintext"/>
      </w:pPr>
      <w:r>
        <w:t xml:space="preserve">In terms </w:t>
      </w:r>
      <w:r w:rsidR="00F80558">
        <w:t xml:space="preserve">of travel to work patterns, </w:t>
      </w:r>
      <w:r w:rsidR="00896970">
        <w:t>65.2</w:t>
      </w:r>
      <w:r w:rsidR="006A2EDB">
        <w:t>%</w:t>
      </w:r>
      <w:r>
        <w:t xml:space="preserve"> of residents work in </w:t>
      </w:r>
      <w:r w:rsidR="00896970">
        <w:t>County Durham and 34.8</w:t>
      </w:r>
      <w:r w:rsidR="006A2EDB">
        <w:t>% commute out to work, par</w:t>
      </w:r>
      <w:r w:rsidR="00896970">
        <w:t>ticularly to Tyne and Wear (19.8</w:t>
      </w:r>
      <w:r w:rsidR="006A2EDB">
        <w:t>%) and Tee</w:t>
      </w:r>
      <w:r w:rsidR="00896970">
        <w:t>s Valley (9.4</w:t>
      </w:r>
      <w:r w:rsidR="006A2EDB">
        <w:t xml:space="preserve">%). </w:t>
      </w:r>
    </w:p>
    <w:p w:rsidR="006A2EDB" w:rsidRDefault="006A2EDB" w:rsidP="006A2EDB">
      <w:pPr>
        <w:pStyle w:val="Maintext"/>
      </w:pPr>
      <w:r>
        <w:t xml:space="preserve">On balance, County Durham can be described as a self contained </w:t>
      </w:r>
      <w:r w:rsidR="00B440F0">
        <w:t>delivery area</w:t>
      </w:r>
      <w:r>
        <w:t xml:space="preserve"> in terms of migration, with some areas exhibiting strong interactions with other areas. In terms of travel to work, County Durham is part of a broader functional market which extends into Tyne and Wear and Tees Valley.</w:t>
      </w:r>
    </w:p>
    <w:p w:rsidR="006A2EDB" w:rsidRDefault="006A2EDB">
      <w:pPr>
        <w:pStyle w:val="Heading2"/>
      </w:pPr>
      <w:bookmarkStart w:id="132" w:name="_Toc184123852"/>
      <w:bookmarkStart w:id="133" w:name="_Toc184198271"/>
      <w:bookmarkStart w:id="134" w:name="_Toc214433432"/>
    </w:p>
    <w:p w:rsidR="003A6F13" w:rsidRDefault="003A6F13">
      <w:pPr>
        <w:pStyle w:val="Heading2"/>
      </w:pPr>
      <w:bookmarkStart w:id="135" w:name="_Toc333507775"/>
      <w:r>
        <w:t>Future housing market</w:t>
      </w:r>
      <w:bookmarkEnd w:id="132"/>
      <w:bookmarkEnd w:id="133"/>
      <w:bookmarkEnd w:id="134"/>
      <w:bookmarkEnd w:id="135"/>
    </w:p>
    <w:p w:rsidR="00357754" w:rsidRDefault="002145B0" w:rsidP="00357754">
      <w:pPr>
        <w:pStyle w:val="Maintext"/>
      </w:pPr>
      <w:r w:rsidRPr="004F6372">
        <w:t xml:space="preserve">Household projections point to an overall increase in the number of households across </w:t>
      </w:r>
      <w:r w:rsidR="006A2EDB">
        <w:t>County Durham</w:t>
      </w:r>
      <w:r w:rsidR="00F80558">
        <w:t xml:space="preserve">, with </w:t>
      </w:r>
      <w:r w:rsidR="00896970">
        <w:t>Durham County Council 2011</w:t>
      </w:r>
      <w:r w:rsidR="00F80558" w:rsidRPr="00E4595A">
        <w:t>-based household projections suggest</w:t>
      </w:r>
      <w:r w:rsidR="00F80558">
        <w:t xml:space="preserve">ing </w:t>
      </w:r>
      <w:r w:rsidR="00F80558" w:rsidRPr="00E4595A">
        <w:t xml:space="preserve"> </w:t>
      </w:r>
      <w:r w:rsidR="006A2EDB">
        <w:t xml:space="preserve">that </w:t>
      </w:r>
      <w:r w:rsidR="00F80558" w:rsidRPr="00E4595A">
        <w:t xml:space="preserve">the number of households </w:t>
      </w:r>
      <w:r w:rsidR="00F80558">
        <w:t xml:space="preserve">is </w:t>
      </w:r>
      <w:r w:rsidR="00F80558" w:rsidRPr="00E4595A">
        <w:t xml:space="preserve">expected to increase from </w:t>
      </w:r>
      <w:r w:rsidR="00896970">
        <w:t>223,636 in 2011</w:t>
      </w:r>
      <w:r w:rsidR="00F80558" w:rsidRPr="00E4595A">
        <w:t xml:space="preserve"> </w:t>
      </w:r>
      <w:r w:rsidR="009B0B9A">
        <w:t xml:space="preserve">to </w:t>
      </w:r>
      <w:r w:rsidR="00896970">
        <w:t>246,134</w:t>
      </w:r>
      <w:r w:rsidR="00F80558" w:rsidRPr="00E4595A">
        <w:t xml:space="preserve"> by 2</w:t>
      </w:r>
      <w:r w:rsidR="009B0B9A">
        <w:t>030</w:t>
      </w:r>
      <w:r w:rsidR="00F80558">
        <w:t>,</w:t>
      </w:r>
      <w:r w:rsidR="00F80558" w:rsidRPr="00E4595A">
        <w:t xml:space="preserve"> </w:t>
      </w:r>
      <w:r w:rsidR="009B0B9A">
        <w:t>an increase of 10</w:t>
      </w:r>
      <w:r w:rsidR="00896970">
        <w:t>.1</w:t>
      </w:r>
      <w:r w:rsidR="00F80558">
        <w:t>%.</w:t>
      </w:r>
    </w:p>
    <w:p w:rsidR="008408BF" w:rsidRDefault="008408BF" w:rsidP="008408BF">
      <w:pPr>
        <w:pStyle w:val="Maintext"/>
      </w:pPr>
      <w:r w:rsidRPr="004F6372">
        <w:t xml:space="preserve">Managing demographic change will become an increasingly important issue for </w:t>
      </w:r>
      <w:r w:rsidR="006A2EDB">
        <w:t>County Durham</w:t>
      </w:r>
      <w:r w:rsidRPr="004F6372">
        <w:t xml:space="preserve">. Population projections suggest that the proportion of the population in the </w:t>
      </w:r>
      <w:r w:rsidR="00315960">
        <w:t>county</w:t>
      </w:r>
      <w:r w:rsidRPr="004F6372">
        <w:t xml:space="preserve"> aged 65 and over will continue to grow, with an increase from </w:t>
      </w:r>
      <w:r w:rsidR="00896970">
        <w:t>93,014 in 2011</w:t>
      </w:r>
      <w:r w:rsidRPr="004F6372">
        <w:t xml:space="preserve"> to </w:t>
      </w:r>
      <w:r w:rsidR="00896970">
        <w:t>138,402</w:t>
      </w:r>
      <w:r w:rsidR="00315960">
        <w:t xml:space="preserve"> by 2030</w:t>
      </w:r>
      <w:r>
        <w:t>.</w:t>
      </w:r>
    </w:p>
    <w:p w:rsidR="00357754" w:rsidRDefault="00357754" w:rsidP="00315960">
      <w:pPr>
        <w:pStyle w:val="Maintext"/>
      </w:pPr>
      <w:r>
        <w:t>Although the total number of households is predicted to grow, the aging population means that most of the growth will be in older person house</w:t>
      </w:r>
      <w:r w:rsidR="00896970">
        <w:t>holds. Over the period 2011</w:t>
      </w:r>
      <w:r w:rsidR="00315960">
        <w:t>-2030</w:t>
      </w:r>
      <w:r>
        <w:t>, the total number of househol</w:t>
      </w:r>
      <w:r w:rsidR="006A2EDB">
        <w:t xml:space="preserve">ds is expected to increase by </w:t>
      </w:r>
      <w:r w:rsidR="00315960">
        <w:t xml:space="preserve">around </w:t>
      </w:r>
      <w:r w:rsidR="00132A6F">
        <w:t>22,498</w:t>
      </w:r>
      <w:r w:rsidR="00315960">
        <w:t>. Overall, the number of households headed by someone aged 65 or over is e</w:t>
      </w:r>
      <w:r w:rsidR="00E371DD">
        <w:t xml:space="preserve">xpected to increase by around </w:t>
      </w:r>
      <w:r w:rsidR="00132A6F">
        <w:t xml:space="preserve">23,092, the number headed by someone aged under 45 is expected to increase by 7,426 and there will be a 8,019 reduction </w:t>
      </w:r>
      <w:r w:rsidR="00315960">
        <w:t>in the number of househo</w:t>
      </w:r>
      <w:r w:rsidR="00132A6F">
        <w:t>lds headed by some aged 45 to 64</w:t>
      </w:r>
      <w:r w:rsidR="00315960">
        <w:t xml:space="preserve">. </w:t>
      </w:r>
    </w:p>
    <w:p w:rsidR="00F80558" w:rsidRDefault="00F80558" w:rsidP="00494080">
      <w:pPr>
        <w:pStyle w:val="Heading2"/>
      </w:pPr>
      <w:bookmarkStart w:id="136" w:name="_Toc184123853"/>
      <w:bookmarkStart w:id="137" w:name="_Toc184198272"/>
      <w:bookmarkStart w:id="138" w:name="_Toc214433433"/>
    </w:p>
    <w:p w:rsidR="00494080" w:rsidRDefault="00494080" w:rsidP="00494080">
      <w:pPr>
        <w:pStyle w:val="Heading2"/>
      </w:pPr>
      <w:bookmarkStart w:id="139" w:name="_Toc333507776"/>
      <w:r>
        <w:t>Housing need and demand</w:t>
      </w:r>
      <w:bookmarkEnd w:id="139"/>
    </w:p>
    <w:p w:rsidR="00494080" w:rsidRDefault="00494080" w:rsidP="00494080">
      <w:pPr>
        <w:pStyle w:val="Maintext"/>
        <w:numPr>
          <w:ilvl w:val="0"/>
          <w:numId w:val="0"/>
        </w:numPr>
        <w:ind w:left="709"/>
        <w:rPr>
          <w:i/>
        </w:rPr>
      </w:pPr>
    </w:p>
    <w:p w:rsidR="00494080" w:rsidRPr="000D38F5" w:rsidRDefault="00A75AF1" w:rsidP="00494080">
      <w:pPr>
        <w:pStyle w:val="Maintext"/>
        <w:numPr>
          <w:ilvl w:val="0"/>
          <w:numId w:val="0"/>
        </w:numPr>
        <w:ind w:left="709"/>
        <w:rPr>
          <w:b/>
          <w:i/>
        </w:rPr>
      </w:pPr>
      <w:r w:rsidRPr="000D38F5">
        <w:rPr>
          <w:b/>
          <w:i/>
        </w:rPr>
        <w:t>Delivering new housing</w:t>
      </w:r>
    </w:p>
    <w:p w:rsidR="00FA5B80" w:rsidRDefault="00494080" w:rsidP="006A2EDB">
      <w:pPr>
        <w:pStyle w:val="Maintext"/>
      </w:pPr>
      <w:r>
        <w:t xml:space="preserve">A challenge for </w:t>
      </w:r>
      <w:r w:rsidR="00F80558">
        <w:t xml:space="preserve">the </w:t>
      </w:r>
      <w:r w:rsidR="006A2EDB">
        <w:t>Council</w:t>
      </w:r>
      <w:r w:rsidR="00F80558">
        <w:t xml:space="preserve"> </w:t>
      </w:r>
      <w:r>
        <w:t xml:space="preserve">is </w:t>
      </w:r>
      <w:r w:rsidR="00FA5B80">
        <w:t>to align</w:t>
      </w:r>
      <w:r>
        <w:t xml:space="preserve"> future housing </w:t>
      </w:r>
      <w:r w:rsidR="00150609">
        <w:t xml:space="preserve">development with </w:t>
      </w:r>
      <w:r w:rsidR="00FA5B80">
        <w:t xml:space="preserve">trends relating to household growth, household aspirations and the need for affordable housing. </w:t>
      </w:r>
      <w:r w:rsidR="00150609">
        <w:t>Crucially, the nature of household change needs to be better reflected in strategic housing and planning policies</w:t>
      </w:r>
      <w:r w:rsidR="006A2EDB">
        <w:t>. Analysis would suggest</w:t>
      </w:r>
      <w:r w:rsidR="00150609">
        <w:t xml:space="preserve"> that the most growth will be amongst households with a household reference person aged 65</w:t>
      </w:r>
      <w:r w:rsidR="00132A6F">
        <w:t xml:space="preserve">, with more modest increase in the number of households headed by someone aged under 45 and a decline in households headed by someone aged 45-64. </w:t>
      </w:r>
    </w:p>
    <w:p w:rsidR="00FA5B80" w:rsidRDefault="00494080" w:rsidP="00FA5B80">
      <w:pPr>
        <w:pStyle w:val="Maintext"/>
      </w:pPr>
      <w:r>
        <w:t xml:space="preserve">The SHMA has evidenced that the provision of open market housing is broadly balanced with supply </w:t>
      </w:r>
      <w:r w:rsidR="00A75AF1">
        <w:t xml:space="preserve">at </w:t>
      </w:r>
      <w:r w:rsidR="00DB7C96">
        <w:t>County</w:t>
      </w:r>
      <w:r w:rsidR="00A75AF1">
        <w:t xml:space="preserve"> level, with imbalances of particular property types and sizes</w:t>
      </w:r>
      <w:r w:rsidR="00DB7C96">
        <w:t xml:space="preserve"> within particular </w:t>
      </w:r>
      <w:r w:rsidR="0083534C">
        <w:t>survey area</w:t>
      </w:r>
      <w:r w:rsidR="00DB7C96">
        <w:t>s.</w:t>
      </w:r>
    </w:p>
    <w:p w:rsidR="00473E31" w:rsidRDefault="00FA5B80" w:rsidP="000215FF">
      <w:pPr>
        <w:pStyle w:val="Maintext"/>
      </w:pPr>
      <w:r>
        <w:t>In terms of af</w:t>
      </w:r>
      <w:r w:rsidR="00473E31">
        <w:t xml:space="preserve">fordable housing, an annual net shortfall of </w:t>
      </w:r>
      <w:r w:rsidR="00132A6F">
        <w:t>675</w:t>
      </w:r>
      <w:r w:rsidR="00473E31">
        <w:t xml:space="preserve"> affordable dwellings</w:t>
      </w:r>
      <w:r w:rsidR="00150609">
        <w:t xml:space="preserve"> has been calculated (gross requirement of </w:t>
      </w:r>
      <w:r w:rsidR="00132A6F">
        <w:t>1,154</w:t>
      </w:r>
      <w:r w:rsidR="00150609">
        <w:t xml:space="preserve">). </w:t>
      </w:r>
    </w:p>
    <w:p w:rsidR="000215FF" w:rsidRDefault="002F5BA8" w:rsidP="000215FF">
      <w:pPr>
        <w:pStyle w:val="Maintext"/>
      </w:pPr>
      <w:r>
        <w:t xml:space="preserve">A tenure split of </w:t>
      </w:r>
      <w:r w:rsidR="00132A6F">
        <w:t>76.7</w:t>
      </w:r>
      <w:r w:rsidR="000215FF">
        <w:t>% affordable (social) ren</w:t>
      </w:r>
      <w:r w:rsidR="00132A6F">
        <w:t>ted and 23.3</w:t>
      </w:r>
      <w:r>
        <w:t xml:space="preserve">% intermediate tenure is suggested. </w:t>
      </w:r>
    </w:p>
    <w:p w:rsidR="00494080" w:rsidRDefault="00FA5B80" w:rsidP="00494080">
      <w:pPr>
        <w:pStyle w:val="Maintext"/>
      </w:pPr>
      <w:r>
        <w:t>In summary, k</w:t>
      </w:r>
      <w:r w:rsidR="00494080">
        <w:t>ey drivers in determining the tenure and type of future development include:</w:t>
      </w:r>
    </w:p>
    <w:p w:rsidR="00494080" w:rsidRDefault="00494080" w:rsidP="00C76826">
      <w:pPr>
        <w:pStyle w:val="Maintext"/>
        <w:numPr>
          <w:ilvl w:val="2"/>
          <w:numId w:val="10"/>
        </w:numPr>
      </w:pPr>
      <w:r>
        <w:t>The need to continue development to satisfy household aspirations, in particular the development of detached houses</w:t>
      </w:r>
      <w:r w:rsidR="00A75AF1">
        <w:t xml:space="preserve">, </w:t>
      </w:r>
      <w:r>
        <w:t xml:space="preserve">bungalows </w:t>
      </w:r>
      <w:r w:rsidR="00A75AF1">
        <w:t xml:space="preserve">and larger properties with four or more bedrooms </w:t>
      </w:r>
      <w:r>
        <w:t>to offset identified market imbalances</w:t>
      </w:r>
      <w:r w:rsidR="00132A6F">
        <w:t xml:space="preserve"> and increasingly satisfy household aspirations</w:t>
      </w:r>
      <w:r>
        <w:t>;</w:t>
      </w:r>
    </w:p>
    <w:p w:rsidR="008408BF" w:rsidRDefault="008408BF" w:rsidP="00C76826">
      <w:pPr>
        <w:pStyle w:val="Maintext"/>
        <w:numPr>
          <w:ilvl w:val="2"/>
          <w:numId w:val="10"/>
        </w:numPr>
      </w:pPr>
      <w:r>
        <w:t>Responding to the impact of demographic change on dwelling requirements and in particular developing an increasing range of housing and support products for older people;</w:t>
      </w:r>
    </w:p>
    <w:p w:rsidR="00494080" w:rsidRDefault="00494080" w:rsidP="00C76826">
      <w:pPr>
        <w:pStyle w:val="Maintext"/>
        <w:numPr>
          <w:ilvl w:val="2"/>
          <w:numId w:val="10"/>
        </w:numPr>
      </w:pPr>
      <w:r>
        <w:t>Delivering additional affordable housing to help offset the identified net shortfall</w:t>
      </w:r>
      <w:r w:rsidR="002F5BA8">
        <w:t>s</w:t>
      </w:r>
      <w:r>
        <w:t>; and diversifying the range of affordable options by developing intermediate tenure dwellings and products;</w:t>
      </w:r>
    </w:p>
    <w:p w:rsidR="00494080" w:rsidRDefault="00494080" w:rsidP="00C76826">
      <w:pPr>
        <w:pStyle w:val="Maintext"/>
        <w:numPr>
          <w:ilvl w:val="2"/>
          <w:numId w:val="10"/>
        </w:numPr>
      </w:pPr>
      <w:r>
        <w:t>The economic viability of delivering aff</w:t>
      </w:r>
      <w:r w:rsidR="000215FF">
        <w:t xml:space="preserve">ordable housing on </w:t>
      </w:r>
      <w:r w:rsidR="00DB7C96">
        <w:t>sites across County Durham</w:t>
      </w:r>
      <w:r w:rsidR="00A75AF1">
        <w:t>.</w:t>
      </w:r>
    </w:p>
    <w:p w:rsidR="00DB7C96" w:rsidRDefault="000215FF" w:rsidP="000215FF">
      <w:pPr>
        <w:pStyle w:val="Maintext"/>
      </w:pPr>
      <w:r>
        <w:t>T</w:t>
      </w:r>
      <w:r w:rsidRPr="007A0F0A">
        <w:t xml:space="preserve">he current economic </w:t>
      </w:r>
      <w:r w:rsidRPr="003203D9">
        <w:t xml:space="preserve">circumstances clearly present a number of challenges to the delivery </w:t>
      </w:r>
      <w:r>
        <w:t xml:space="preserve">of housing and in particular </w:t>
      </w:r>
      <w:r w:rsidRPr="003203D9">
        <w:t>the delivery of affordable rented housing and intermediate market</w:t>
      </w:r>
      <w:r>
        <w:t xml:space="preserve"> dwellings. </w:t>
      </w:r>
    </w:p>
    <w:p w:rsidR="000215FF" w:rsidRPr="00817305" w:rsidRDefault="000215FF" w:rsidP="00DB7C96">
      <w:pPr>
        <w:pStyle w:val="Maintext"/>
        <w:numPr>
          <w:ilvl w:val="0"/>
          <w:numId w:val="0"/>
        </w:numPr>
        <w:ind w:left="709"/>
      </w:pPr>
    </w:p>
    <w:bookmarkEnd w:id="136"/>
    <w:bookmarkEnd w:id="137"/>
    <w:bookmarkEnd w:id="138"/>
    <w:p w:rsidR="00BA3999" w:rsidRDefault="00BA3999" w:rsidP="00305F3D">
      <w:pPr>
        <w:pStyle w:val="Maintext"/>
        <w:numPr>
          <w:ilvl w:val="0"/>
          <w:numId w:val="0"/>
        </w:numPr>
        <w:ind w:left="709"/>
        <w:rPr>
          <w:i/>
        </w:rPr>
      </w:pPr>
    </w:p>
    <w:p w:rsidR="00305F3D" w:rsidRPr="000D38F5" w:rsidRDefault="000D38F5" w:rsidP="00305F3D">
      <w:pPr>
        <w:pStyle w:val="Maintext"/>
        <w:numPr>
          <w:ilvl w:val="0"/>
          <w:numId w:val="0"/>
        </w:numPr>
        <w:ind w:left="709"/>
        <w:rPr>
          <w:b/>
          <w:i/>
        </w:rPr>
      </w:pPr>
      <w:r w:rsidRPr="000D38F5">
        <w:rPr>
          <w:b/>
          <w:i/>
        </w:rPr>
        <w:t>Affordable housing policy recommendations</w:t>
      </w:r>
    </w:p>
    <w:p w:rsidR="002F5BA8" w:rsidRPr="00EE73F7" w:rsidRDefault="000D38F5" w:rsidP="00EE73F7">
      <w:pPr>
        <w:pStyle w:val="Maintext"/>
        <w:rPr>
          <w:i/>
        </w:rPr>
      </w:pPr>
      <w:r w:rsidRPr="000D38F5">
        <w:t xml:space="preserve">The 2012 SHMA demonstrates an ongoing requirement for affordable housing across </w:t>
      </w:r>
      <w:r w:rsidR="00DB7C96">
        <w:t xml:space="preserve">County Durham which should be reflected in the emerging </w:t>
      </w:r>
      <w:r w:rsidR="00357612">
        <w:t>County Durham Plan</w:t>
      </w:r>
      <w:r w:rsidR="00DB7C96">
        <w:t xml:space="preserve">. </w:t>
      </w:r>
    </w:p>
    <w:p w:rsidR="002F5BA8" w:rsidRDefault="002F5BA8" w:rsidP="00EE73F7">
      <w:pPr>
        <w:pStyle w:val="Maintext"/>
        <w:numPr>
          <w:ilvl w:val="0"/>
          <w:numId w:val="0"/>
        </w:numPr>
        <w:rPr>
          <w:i/>
        </w:rPr>
      </w:pPr>
    </w:p>
    <w:p w:rsidR="00A518DC" w:rsidRPr="000D38F5" w:rsidRDefault="00A518DC" w:rsidP="00A518DC">
      <w:pPr>
        <w:pStyle w:val="Maintext"/>
        <w:numPr>
          <w:ilvl w:val="0"/>
          <w:numId w:val="0"/>
        </w:numPr>
        <w:ind w:left="709"/>
        <w:rPr>
          <w:b/>
          <w:i/>
        </w:rPr>
      </w:pPr>
      <w:r w:rsidRPr="000D38F5">
        <w:rPr>
          <w:b/>
          <w:i/>
        </w:rPr>
        <w:t>Improving the quality of existing stock</w:t>
      </w:r>
    </w:p>
    <w:p w:rsidR="001040F4" w:rsidRPr="00117451" w:rsidRDefault="001040F4" w:rsidP="006C6D45">
      <w:pPr>
        <w:pStyle w:val="Maintext"/>
      </w:pPr>
      <w:r w:rsidRPr="00117451">
        <w:t>Strategic challenges include reducing the level of vacant dwellings and improving the quality of existing dwellings through better energy efficiency and modernisation.</w:t>
      </w:r>
    </w:p>
    <w:p w:rsidR="000D4E86" w:rsidRPr="00C35251" w:rsidRDefault="000D4E86" w:rsidP="00BA3999">
      <w:pPr>
        <w:pStyle w:val="Maintext"/>
        <w:numPr>
          <w:ilvl w:val="0"/>
          <w:numId w:val="0"/>
        </w:numPr>
        <w:rPr>
          <w:b/>
        </w:rPr>
      </w:pPr>
    </w:p>
    <w:p w:rsidR="007B1C7F" w:rsidRPr="00C35251" w:rsidRDefault="007B1C7F" w:rsidP="007B1C7F">
      <w:pPr>
        <w:pStyle w:val="Maintext"/>
        <w:numPr>
          <w:ilvl w:val="0"/>
          <w:numId w:val="0"/>
        </w:numPr>
        <w:ind w:left="709"/>
        <w:rPr>
          <w:b/>
          <w:i/>
        </w:rPr>
      </w:pPr>
      <w:r w:rsidRPr="00C35251">
        <w:rPr>
          <w:b/>
          <w:i/>
        </w:rPr>
        <w:t>Vacant stock</w:t>
      </w:r>
    </w:p>
    <w:p w:rsidR="00073366" w:rsidRPr="00117451" w:rsidRDefault="00F80E00" w:rsidP="00F80E00">
      <w:pPr>
        <w:pStyle w:val="Maintext"/>
      </w:pPr>
      <w:r w:rsidRPr="00117451">
        <w:t xml:space="preserve">There are an estimated </w:t>
      </w:r>
      <w:r w:rsidR="00DB7C96">
        <w:t>10,123</w:t>
      </w:r>
      <w:r w:rsidRPr="00117451">
        <w:t xml:space="preserve"> vacant properties across </w:t>
      </w:r>
      <w:r w:rsidR="00DB7C96">
        <w:t>County Durham</w:t>
      </w:r>
      <w:r w:rsidR="00117451" w:rsidRPr="00117451">
        <w:t xml:space="preserve"> and </w:t>
      </w:r>
      <w:r w:rsidR="000215FF">
        <w:t>these are mainly in the private sector</w:t>
      </w:r>
      <w:r w:rsidR="00F14B24">
        <w:t xml:space="preserve">. </w:t>
      </w:r>
      <w:r w:rsidR="00073366" w:rsidRPr="00117451">
        <w:t xml:space="preserve">Properties can be empty for a variety of reasons </w:t>
      </w:r>
      <w:r w:rsidR="007B518B" w:rsidRPr="00117451">
        <w:t>which include: the properties are too difficult to repair or are in the process of being repaired; they are</w:t>
      </w:r>
      <w:r w:rsidR="00073366" w:rsidRPr="00117451">
        <w:t xml:space="preserve"> in the process of being sold; </w:t>
      </w:r>
      <w:r w:rsidR="007B518B" w:rsidRPr="00117451">
        <w:t xml:space="preserve">they have </w:t>
      </w:r>
      <w:r w:rsidR="00073366" w:rsidRPr="00117451">
        <w:t>been bought for capital investment</w:t>
      </w:r>
      <w:r w:rsidR="007B518B" w:rsidRPr="00117451">
        <w:t>;</w:t>
      </w:r>
      <w:r w:rsidR="00073366" w:rsidRPr="00117451">
        <w:t xml:space="preserve"> or </w:t>
      </w:r>
      <w:r w:rsidR="007B518B" w:rsidRPr="00117451">
        <w:t xml:space="preserve">they </w:t>
      </w:r>
      <w:r w:rsidR="00073366" w:rsidRPr="00117451">
        <w:t xml:space="preserve">are in probate. </w:t>
      </w:r>
    </w:p>
    <w:p w:rsidR="00073366" w:rsidRPr="00117451" w:rsidRDefault="00073366" w:rsidP="006C6D45">
      <w:pPr>
        <w:pStyle w:val="Maintext"/>
      </w:pPr>
      <w:r w:rsidRPr="00117451">
        <w:t xml:space="preserve">The Council should </w:t>
      </w:r>
      <w:r w:rsidR="00117451">
        <w:t xml:space="preserve">continue to </w:t>
      </w:r>
      <w:r w:rsidRPr="00117451">
        <w:t>consider identifying the reasons why properties are empty and identify mechanisms for brin</w:t>
      </w:r>
      <w:r w:rsidR="0092744D">
        <w:t>ging them back into use</w:t>
      </w:r>
      <w:r w:rsidRPr="00117451">
        <w:t>. Mechanisms could include:</w:t>
      </w:r>
    </w:p>
    <w:p w:rsidR="00073366" w:rsidRPr="00117451" w:rsidRDefault="00073366" w:rsidP="00C76826">
      <w:pPr>
        <w:pStyle w:val="Maintext"/>
        <w:numPr>
          <w:ilvl w:val="2"/>
          <w:numId w:val="10"/>
        </w:numPr>
      </w:pPr>
      <w:r w:rsidRPr="00117451">
        <w:t>Financial/professional help for repairs and improvements in the form of equity loans</w:t>
      </w:r>
      <w:r w:rsidR="00F80E00" w:rsidRPr="00117451">
        <w:t>;</w:t>
      </w:r>
      <w:r w:rsidRPr="00117451">
        <w:t xml:space="preserve"> grant aid</w:t>
      </w:r>
      <w:r w:rsidR="00F80E00" w:rsidRPr="00117451">
        <w:t xml:space="preserve"> for renovation and subsequent leasing to an Housing Association for a fixed term; a professional service to manage repairs or full renovation;</w:t>
      </w:r>
    </w:p>
    <w:p w:rsidR="00F80E00" w:rsidRPr="00117451" w:rsidRDefault="00F80E00" w:rsidP="00C76826">
      <w:pPr>
        <w:pStyle w:val="Maintext"/>
        <w:numPr>
          <w:ilvl w:val="2"/>
          <w:numId w:val="10"/>
        </w:numPr>
      </w:pPr>
      <w:r w:rsidRPr="00117451">
        <w:t>Assistance with letting management or the sale of a property</w:t>
      </w:r>
    </w:p>
    <w:p w:rsidR="00D975B7" w:rsidRPr="00117451" w:rsidRDefault="00D975B7" w:rsidP="00E55A0C">
      <w:pPr>
        <w:pStyle w:val="Maintext"/>
        <w:numPr>
          <w:ilvl w:val="0"/>
          <w:numId w:val="0"/>
        </w:numPr>
        <w:rPr>
          <w:i/>
        </w:rPr>
      </w:pPr>
    </w:p>
    <w:p w:rsidR="007B1C7F" w:rsidRPr="000D38F5" w:rsidRDefault="007B1C7F" w:rsidP="007B1C7F">
      <w:pPr>
        <w:pStyle w:val="Maintext"/>
        <w:numPr>
          <w:ilvl w:val="0"/>
          <w:numId w:val="0"/>
        </w:numPr>
        <w:ind w:left="709"/>
        <w:rPr>
          <w:b/>
          <w:i/>
        </w:rPr>
      </w:pPr>
      <w:r w:rsidRPr="000D38F5">
        <w:rPr>
          <w:b/>
          <w:i/>
        </w:rPr>
        <w:t>Satisfaction and repair</w:t>
      </w:r>
    </w:p>
    <w:p w:rsidR="000215FF" w:rsidRDefault="00BF20D2" w:rsidP="000215FF">
      <w:pPr>
        <w:pStyle w:val="Maintext"/>
      </w:pPr>
      <w:r>
        <w:t xml:space="preserve">Although the </w:t>
      </w:r>
      <w:r w:rsidR="00150694">
        <w:t xml:space="preserve">vast </w:t>
      </w:r>
      <w:r>
        <w:t xml:space="preserve">majority of households </w:t>
      </w:r>
      <w:r w:rsidR="000215FF">
        <w:t>(</w:t>
      </w:r>
      <w:r w:rsidR="00DB7C96">
        <w:t>89.7</w:t>
      </w:r>
      <w:r w:rsidR="00BD51DC">
        <w:t xml:space="preserve">%) </w:t>
      </w:r>
      <w:r>
        <w:t xml:space="preserve">are satisfied with the </w:t>
      </w:r>
      <w:r w:rsidR="00DB7C96">
        <w:t xml:space="preserve">quality </w:t>
      </w:r>
      <w:r>
        <w:t xml:space="preserve">condition of their dwellings, </w:t>
      </w:r>
      <w:r w:rsidR="00DB7C96">
        <w:t>8,454</w:t>
      </w:r>
      <w:r w:rsidR="00E53A16">
        <w:t xml:space="preserve"> households (</w:t>
      </w:r>
      <w:r w:rsidR="00DB7C96">
        <w:t>6.6</w:t>
      </w:r>
      <w:r w:rsidR="00BD51DC">
        <w:t>%</w:t>
      </w:r>
      <w:r w:rsidR="00E53A16">
        <w:t>)</w:t>
      </w:r>
      <w:r w:rsidR="00BD51DC">
        <w:t xml:space="preserve"> were dissatisfied or very dissatisfied. </w:t>
      </w:r>
      <w:r w:rsidR="00DB7C96">
        <w:t>Levels of dissatisfaction exceeded 10% amongst unfurnished private renters (15.7%)</w:t>
      </w:r>
      <w:r w:rsidR="00357612">
        <w:t>.</w:t>
      </w:r>
      <w:r w:rsidR="00DB7C96">
        <w:t xml:space="preserve"> Note that this information is based on responses to the household survey as expressed by respondents.</w:t>
      </w:r>
    </w:p>
    <w:p w:rsidR="006C6D45" w:rsidRDefault="006C6D45" w:rsidP="006C6D45">
      <w:pPr>
        <w:pStyle w:val="Maintext"/>
      </w:pPr>
      <w:r>
        <w:t xml:space="preserve">Improving the energy efficiency of dwellings </w:t>
      </w:r>
      <w:r w:rsidR="00012053">
        <w:t xml:space="preserve">and modernisation of stock </w:t>
      </w:r>
      <w:r>
        <w:t>is an important driver to improving the quality of existing stock</w:t>
      </w:r>
      <w:r w:rsidR="00150694">
        <w:t xml:space="preserve"> and extends beyond those households expressing dissatisfaction</w:t>
      </w:r>
      <w:r>
        <w:t xml:space="preserve">. </w:t>
      </w:r>
      <w:r w:rsidR="00012053">
        <w:t>Given the need to reduce energy consumption, improve thermal comfort and future proof households from spikes in energy prices, r</w:t>
      </w:r>
      <w:r>
        <w:t xml:space="preserve">etrofitting stock with </w:t>
      </w:r>
      <w:r w:rsidR="00012053">
        <w:t>improved insulation, heating systems and solar panels is likely to beco</w:t>
      </w:r>
      <w:r w:rsidR="00E53A16">
        <w:t xml:space="preserve">me a significant strategic </w:t>
      </w:r>
      <w:r w:rsidR="00CA2CBA">
        <w:t>issue</w:t>
      </w:r>
      <w:r w:rsidR="00012053">
        <w:t>.</w:t>
      </w:r>
    </w:p>
    <w:p w:rsidR="006A3AD8" w:rsidRDefault="006A3AD8" w:rsidP="006A3AD8">
      <w:pPr>
        <w:pStyle w:val="Maintext"/>
        <w:numPr>
          <w:ilvl w:val="0"/>
          <w:numId w:val="0"/>
        </w:numPr>
        <w:rPr>
          <w:b/>
          <w:i/>
        </w:rPr>
      </w:pPr>
    </w:p>
    <w:p w:rsidR="00BA3999" w:rsidRDefault="00BA3999" w:rsidP="006A3AD8">
      <w:pPr>
        <w:pStyle w:val="Maintext"/>
        <w:numPr>
          <w:ilvl w:val="0"/>
          <w:numId w:val="0"/>
        </w:numPr>
        <w:rPr>
          <w:b/>
          <w:i/>
        </w:rPr>
      </w:pPr>
    </w:p>
    <w:p w:rsidR="00A54BE7" w:rsidRPr="00150694" w:rsidRDefault="0081740B" w:rsidP="00150694">
      <w:pPr>
        <w:pStyle w:val="Maintext"/>
        <w:numPr>
          <w:ilvl w:val="0"/>
          <w:numId w:val="0"/>
        </w:numPr>
        <w:ind w:firstLine="709"/>
        <w:rPr>
          <w:b/>
          <w:i/>
        </w:rPr>
      </w:pPr>
      <w:r w:rsidRPr="0081740B">
        <w:rPr>
          <w:b/>
          <w:i/>
        </w:rPr>
        <w:t>The ag</w:t>
      </w:r>
      <w:r w:rsidR="00B85143">
        <w:rPr>
          <w:b/>
          <w:i/>
        </w:rPr>
        <w:t>e</w:t>
      </w:r>
      <w:r w:rsidRPr="0081740B">
        <w:rPr>
          <w:b/>
          <w:i/>
        </w:rPr>
        <w:t>ing population and addressing the needs of vulnerable people</w:t>
      </w:r>
    </w:p>
    <w:p w:rsidR="009F3F79" w:rsidRDefault="007B1C7F" w:rsidP="007B1C7F">
      <w:pPr>
        <w:pStyle w:val="Maintext"/>
      </w:pPr>
      <w:r>
        <w:t xml:space="preserve">The proportion of </w:t>
      </w:r>
      <w:r w:rsidRPr="00F02AF9">
        <w:t>older people</w:t>
      </w:r>
      <w:r>
        <w:t xml:space="preserve"> is expected to increase </w:t>
      </w:r>
      <w:r w:rsidR="00970FAE">
        <w:t xml:space="preserve">dramatically </w:t>
      </w:r>
      <w:r>
        <w:t>over the next few decades</w:t>
      </w:r>
      <w:r w:rsidR="00970FAE">
        <w:t xml:space="preserve"> and delivering housing and support services to older people is going to become a key strategic issue</w:t>
      </w:r>
      <w:r w:rsidR="004B0606">
        <w:t>. By 20</w:t>
      </w:r>
      <w:r w:rsidR="00315960">
        <w:t>30</w:t>
      </w:r>
      <w:r w:rsidR="009F3F79">
        <w:t>, the number of people</w:t>
      </w:r>
      <w:r w:rsidR="00970FAE">
        <w:t xml:space="preserve"> across County Durham</w:t>
      </w:r>
      <w:r w:rsidR="009F3F79">
        <w:t>:</w:t>
      </w:r>
    </w:p>
    <w:p w:rsidR="009F3F79" w:rsidRDefault="009F3F79" w:rsidP="00C76826">
      <w:pPr>
        <w:pStyle w:val="Maintext"/>
        <w:numPr>
          <w:ilvl w:val="2"/>
          <w:numId w:val="10"/>
        </w:numPr>
      </w:pPr>
      <w:r>
        <w:t>aged 6</w:t>
      </w:r>
      <w:r w:rsidR="00180506">
        <w:t xml:space="preserve">5+ </w:t>
      </w:r>
      <w:r w:rsidR="00150694">
        <w:t xml:space="preserve">is projected to increase by </w:t>
      </w:r>
      <w:r w:rsidR="00132A6F">
        <w:t>45,388</w:t>
      </w:r>
      <w:r w:rsidR="00150694">
        <w:t xml:space="preserve">; </w:t>
      </w:r>
      <w:r w:rsidR="00132A6F">
        <w:t>and</w:t>
      </w:r>
    </w:p>
    <w:p w:rsidR="00150694" w:rsidRDefault="009F3F79" w:rsidP="00C76826">
      <w:pPr>
        <w:pStyle w:val="Maintext"/>
        <w:numPr>
          <w:ilvl w:val="2"/>
          <w:numId w:val="10"/>
        </w:numPr>
      </w:pPr>
      <w:r>
        <w:t xml:space="preserve">aged </w:t>
      </w:r>
      <w:r w:rsidR="00132A6F">
        <w:t>80</w:t>
      </w:r>
      <w:r w:rsidR="00180506">
        <w:t xml:space="preserve">+ </w:t>
      </w:r>
      <w:r w:rsidR="00150694">
        <w:t xml:space="preserve">is projected to increase by </w:t>
      </w:r>
      <w:r w:rsidR="00132A6F">
        <w:t>21,251.</w:t>
      </w:r>
    </w:p>
    <w:p w:rsidR="004B0606" w:rsidRDefault="009F3F79" w:rsidP="009F3F79">
      <w:pPr>
        <w:pStyle w:val="Maintext"/>
      </w:pPr>
      <w:r>
        <w:t xml:space="preserve">This trend has significant policy implications, given the greater need for appropriate housing and support as people age.  Currently, </w:t>
      </w:r>
      <w:r w:rsidR="007B1C7F">
        <w:t xml:space="preserve">the majority want to stay in their own homes with help and support when needed. </w:t>
      </w:r>
    </w:p>
    <w:p w:rsidR="00DB7C96" w:rsidRDefault="009F3F79" w:rsidP="00DB7C96">
      <w:pPr>
        <w:pStyle w:val="Maintext"/>
      </w:pPr>
      <w:r>
        <w:t>A key challenge for the Council is to ensure a greater diversity of support services are made available to older people wanting to stay in their own home and develop funding m</w:t>
      </w:r>
      <w:r w:rsidR="00B85143">
        <w:t xml:space="preserve">echanisms to achieve this. </w:t>
      </w:r>
      <w:r>
        <w:t>Additionally, the range of housing options available to older people needs to be diversified</w:t>
      </w:r>
      <w:r w:rsidR="00DB7C96">
        <w:t>.</w:t>
      </w:r>
    </w:p>
    <w:p w:rsidR="00753E1B" w:rsidRDefault="00753E1B" w:rsidP="00252E96">
      <w:pPr>
        <w:pStyle w:val="Heading2"/>
        <w:ind w:left="0"/>
      </w:pPr>
      <w:bookmarkStart w:id="140" w:name="_Toc259025682"/>
    </w:p>
    <w:p w:rsidR="00AE06C4" w:rsidRDefault="00AE06C4" w:rsidP="00AE06C4">
      <w:pPr>
        <w:pStyle w:val="Heading2"/>
      </w:pPr>
      <w:bookmarkStart w:id="141" w:name="_Toc333507777"/>
      <w:r>
        <w:t>Final comments</w:t>
      </w:r>
      <w:bookmarkEnd w:id="140"/>
      <w:bookmarkEnd w:id="141"/>
    </w:p>
    <w:p w:rsidR="00AE06C4" w:rsidRDefault="00AE06C4" w:rsidP="00AE06C4">
      <w:pPr>
        <w:pStyle w:val="Maintext"/>
      </w:pPr>
      <w:r>
        <w:t xml:space="preserve">Appropriate housing and planning policies have a fundamental role to play in the delivery of thriving, inclusive and sustainable areas. These policies need to be underpinned with high quality data. This study has provided a wealth of up-to-date social, economic, demographic and housing data </w:t>
      </w:r>
      <w:r w:rsidR="00E55A0C">
        <w:t xml:space="preserve">for </w:t>
      </w:r>
      <w:r w:rsidR="00DB7C96">
        <w:t>County Durham.</w:t>
      </w:r>
    </w:p>
    <w:p w:rsidR="00DF76B7" w:rsidRDefault="00AE06C4" w:rsidP="00DF76B7">
      <w:pPr>
        <w:pStyle w:val="Maintext"/>
      </w:pPr>
      <w:r>
        <w:t xml:space="preserve">This research has </w:t>
      </w:r>
      <w:r w:rsidR="00DF76B7">
        <w:t xml:space="preserve">reflected upon the housing market attributes of </w:t>
      </w:r>
      <w:r w:rsidR="00DB7C96">
        <w:t xml:space="preserve">the County, </w:t>
      </w:r>
      <w:r w:rsidR="00DF76B7">
        <w:t xml:space="preserve">its </w:t>
      </w:r>
      <w:r w:rsidR="00E55A0C">
        <w:t xml:space="preserve">constituent </w:t>
      </w:r>
      <w:r w:rsidR="00B440F0">
        <w:t xml:space="preserve">delivery and survey areas </w:t>
      </w:r>
      <w:r w:rsidR="00A276C7">
        <w:t xml:space="preserve">and </w:t>
      </w:r>
      <w:r w:rsidR="00DF76B7">
        <w:t xml:space="preserve">interactions with other </w:t>
      </w:r>
      <w:r w:rsidR="00B440F0">
        <w:t>localities</w:t>
      </w:r>
      <w:r w:rsidR="006D2550">
        <w:t xml:space="preserve">, notably </w:t>
      </w:r>
      <w:r w:rsidR="00DB7C96">
        <w:t xml:space="preserve">Tyne and Wear and Tees Valley. </w:t>
      </w:r>
      <w:r w:rsidR="00DF76B7">
        <w:t xml:space="preserve">The report </w:t>
      </w:r>
      <w:r>
        <w:t xml:space="preserve">signposts future strategic challenges which include </w:t>
      </w:r>
      <w:r w:rsidR="00DF76B7">
        <w:t>the ongoing delivery of new market and affordable housing to address need and support economic growth; diversifying the range of affordable tenures available to local residents; improving  the condition and energy efficiency of existing stock; and addressing the requirements of an</w:t>
      </w:r>
      <w:r w:rsidR="00A276C7">
        <w:t xml:space="preserve"> increasingly ageing population and</w:t>
      </w:r>
      <w:r w:rsidR="00DF76B7">
        <w:t xml:space="preserve"> vulnera</w:t>
      </w:r>
      <w:r w:rsidR="00A276C7">
        <w:t>ble groups.</w:t>
      </w:r>
      <w:r w:rsidR="00DF76B7">
        <w:t xml:space="preserve"> </w:t>
      </w:r>
    </w:p>
    <w:p w:rsidR="00AE06C4" w:rsidRDefault="00AE06C4" w:rsidP="00DF76B7">
      <w:pPr>
        <w:pStyle w:val="Maintext"/>
        <w:numPr>
          <w:ilvl w:val="0"/>
          <w:numId w:val="0"/>
        </w:numPr>
        <w:ind w:left="709"/>
      </w:pPr>
    </w:p>
    <w:p w:rsidR="002A4C96" w:rsidRDefault="00604E60" w:rsidP="002A4C96">
      <w:pPr>
        <w:pStyle w:val="Heading1"/>
        <w:numPr>
          <w:ilvl w:val="0"/>
          <w:numId w:val="0"/>
        </w:numPr>
      </w:pPr>
      <w:bookmarkStart w:id="142" w:name="_Toc184200206"/>
      <w:bookmarkStart w:id="143" w:name="_Toc225941551"/>
      <w:bookmarkStart w:id="144" w:name="_Toc273708370"/>
      <w:bookmarkStart w:id="145" w:name="_Toc280272440"/>
      <w:bookmarkStart w:id="146" w:name="_Toc273708419"/>
      <w:r>
        <w:br w:type="page"/>
      </w:r>
      <w:bookmarkStart w:id="147" w:name="_Toc333507778"/>
      <w:r w:rsidR="002A4C96">
        <w:t>Introduction to Technical Appendices</w:t>
      </w:r>
      <w:bookmarkEnd w:id="142"/>
      <w:bookmarkEnd w:id="143"/>
      <w:bookmarkEnd w:id="144"/>
      <w:bookmarkEnd w:id="145"/>
      <w:bookmarkEnd w:id="147"/>
    </w:p>
    <w:p w:rsidR="002A4C96" w:rsidRDefault="002A4C96" w:rsidP="002A4C96"/>
    <w:p w:rsidR="002A4C96" w:rsidRDefault="002A4C96" w:rsidP="002A4C96">
      <w:pPr>
        <w:jc w:val="both"/>
      </w:pPr>
      <w:r>
        <w:t xml:space="preserve">The SHMA guidance establishes a framework for the analysis of local housing markets from which core outputs can be derived. </w:t>
      </w:r>
    </w:p>
    <w:p w:rsidR="002A4C96" w:rsidRDefault="002A4C96" w:rsidP="002A4C96">
      <w:pPr>
        <w:jc w:val="both"/>
      </w:pPr>
      <w:r>
        <w:t>There are seven technical appendices accompanying this report which provide further background information on the following areas:</w:t>
      </w:r>
    </w:p>
    <w:p w:rsidR="002A4C96" w:rsidRDefault="002A4C96" w:rsidP="00C76826">
      <w:pPr>
        <w:pStyle w:val="Maintext"/>
        <w:numPr>
          <w:ilvl w:val="0"/>
          <w:numId w:val="13"/>
        </w:numPr>
        <w:tabs>
          <w:tab w:val="clear" w:pos="1800"/>
          <w:tab w:val="num" w:pos="360"/>
        </w:tabs>
        <w:ind w:left="840" w:hanging="840"/>
        <w:jc w:val="left"/>
      </w:pPr>
      <w:r>
        <w:t>Technical Appendix A</w:t>
      </w:r>
      <w:r>
        <w:tab/>
        <w:t>Research methodology</w:t>
      </w:r>
    </w:p>
    <w:p w:rsidR="002A4C96" w:rsidRDefault="002A4C96" w:rsidP="00C76826">
      <w:pPr>
        <w:pStyle w:val="Maintext"/>
        <w:numPr>
          <w:ilvl w:val="0"/>
          <w:numId w:val="13"/>
        </w:numPr>
        <w:tabs>
          <w:tab w:val="clear" w:pos="1800"/>
          <w:tab w:val="num" w:pos="360"/>
        </w:tabs>
        <w:ind w:left="840" w:hanging="840"/>
        <w:jc w:val="left"/>
      </w:pPr>
      <w:r>
        <w:t>Technical Appendix B</w:t>
      </w:r>
      <w:r>
        <w:tab/>
        <w:t>The current housing market</w:t>
      </w:r>
    </w:p>
    <w:p w:rsidR="002A4C96" w:rsidRDefault="002A4C96" w:rsidP="00C76826">
      <w:pPr>
        <w:pStyle w:val="Maintext"/>
        <w:numPr>
          <w:ilvl w:val="0"/>
          <w:numId w:val="13"/>
        </w:numPr>
        <w:tabs>
          <w:tab w:val="clear" w:pos="1800"/>
          <w:tab w:val="num" w:pos="360"/>
        </w:tabs>
        <w:ind w:left="840" w:hanging="840"/>
        <w:jc w:val="left"/>
      </w:pPr>
      <w:r>
        <w:t>Technical Appendix C</w:t>
      </w:r>
      <w:r>
        <w:tab/>
        <w:t>The future housing market</w:t>
      </w:r>
    </w:p>
    <w:p w:rsidR="002A4C96" w:rsidRDefault="002A4C96" w:rsidP="00C76826">
      <w:pPr>
        <w:pStyle w:val="Maintext"/>
        <w:numPr>
          <w:ilvl w:val="0"/>
          <w:numId w:val="13"/>
        </w:numPr>
        <w:tabs>
          <w:tab w:val="clear" w:pos="1800"/>
          <w:tab w:val="num" w:pos="360"/>
        </w:tabs>
        <w:ind w:left="840" w:hanging="840"/>
        <w:jc w:val="left"/>
      </w:pPr>
      <w:r>
        <w:t>Technical Appendix D</w:t>
      </w:r>
      <w:r>
        <w:tab/>
        <w:t>Housing need</w:t>
      </w:r>
    </w:p>
    <w:p w:rsidR="002A4C96" w:rsidRDefault="00CD1ECC" w:rsidP="00C76826">
      <w:pPr>
        <w:pStyle w:val="Maintext"/>
        <w:numPr>
          <w:ilvl w:val="0"/>
          <w:numId w:val="13"/>
        </w:numPr>
        <w:tabs>
          <w:tab w:val="clear" w:pos="1800"/>
          <w:tab w:val="num" w:pos="360"/>
        </w:tabs>
        <w:ind w:left="840" w:hanging="840"/>
        <w:jc w:val="left"/>
      </w:pPr>
      <w:r>
        <w:t>Technical Appendix E</w:t>
      </w:r>
      <w:r w:rsidR="002A4C96">
        <w:tab/>
        <w:t>Monitoring and updating</w:t>
      </w:r>
    </w:p>
    <w:p w:rsidR="002A4C96" w:rsidRDefault="00CD1ECC" w:rsidP="00C76826">
      <w:pPr>
        <w:pStyle w:val="Maintext"/>
        <w:numPr>
          <w:ilvl w:val="0"/>
          <w:numId w:val="13"/>
        </w:numPr>
        <w:tabs>
          <w:tab w:val="clear" w:pos="1800"/>
          <w:tab w:val="num" w:pos="360"/>
        </w:tabs>
        <w:ind w:left="840" w:hanging="840"/>
        <w:jc w:val="left"/>
      </w:pPr>
      <w:r>
        <w:t>Technical Appendix F</w:t>
      </w:r>
      <w:r w:rsidR="002A4C96">
        <w:tab/>
        <w:t>Statement of conformity to SHMA guidance</w:t>
      </w:r>
    </w:p>
    <w:p w:rsidR="002A4C96" w:rsidRDefault="00CD1ECC" w:rsidP="00C76826">
      <w:pPr>
        <w:pStyle w:val="Maintext"/>
        <w:numPr>
          <w:ilvl w:val="0"/>
          <w:numId w:val="13"/>
        </w:numPr>
        <w:tabs>
          <w:tab w:val="clear" w:pos="1800"/>
          <w:tab w:val="num" w:pos="360"/>
        </w:tabs>
        <w:ind w:left="840" w:hanging="840"/>
        <w:jc w:val="left"/>
      </w:pPr>
      <w:r>
        <w:t>Technical Appendix G</w:t>
      </w:r>
      <w:r w:rsidR="002A4C96">
        <w:tab/>
        <w:t>Affordable housing policy considerations</w:t>
      </w:r>
    </w:p>
    <w:p w:rsidR="002A4C96" w:rsidRDefault="002A4C96" w:rsidP="002A4C96">
      <w:pPr>
        <w:pStyle w:val="Maintext"/>
        <w:numPr>
          <w:ilvl w:val="0"/>
          <w:numId w:val="0"/>
        </w:numPr>
      </w:pPr>
    </w:p>
    <w:bookmarkEnd w:id="146"/>
    <w:p w:rsidR="00EE6B85" w:rsidRDefault="00EE6B85" w:rsidP="00EE6B85">
      <w:pPr>
        <w:pStyle w:val="Heading1"/>
        <w:numPr>
          <w:ilvl w:val="0"/>
          <w:numId w:val="0"/>
        </w:numPr>
        <w:ind w:left="709" w:hanging="709"/>
      </w:pPr>
      <w:r>
        <w:rPr>
          <w:sz w:val="20"/>
          <w:szCs w:val="20"/>
        </w:rPr>
        <w:br w:type="page"/>
      </w:r>
      <w:bookmarkStart w:id="148" w:name="_Toc184200207"/>
      <w:bookmarkStart w:id="149" w:name="_Toc225941552"/>
      <w:bookmarkStart w:id="150" w:name="_Toc273708371"/>
      <w:bookmarkStart w:id="151" w:name="_Toc280272441"/>
      <w:bookmarkStart w:id="152" w:name="_Toc318323426"/>
      <w:bookmarkStart w:id="153" w:name="_Toc333507779"/>
      <w:r>
        <w:t>Technical Appendix A: Research Methodology</w:t>
      </w:r>
      <w:bookmarkEnd w:id="148"/>
      <w:bookmarkEnd w:id="149"/>
      <w:bookmarkEnd w:id="150"/>
      <w:bookmarkEnd w:id="151"/>
      <w:bookmarkEnd w:id="152"/>
      <w:bookmarkEnd w:id="153"/>
      <w:r>
        <w:t xml:space="preserve"> </w:t>
      </w:r>
    </w:p>
    <w:p w:rsidR="00EE6B85" w:rsidRDefault="00EE6B85" w:rsidP="00EE6B85">
      <w:pPr>
        <w:pStyle w:val="Heading2"/>
        <w:ind w:left="0"/>
        <w:rPr>
          <w:rFonts w:cs="Times New Roman"/>
          <w:b w:val="0"/>
          <w:bCs w:val="0"/>
          <w:iCs w:val="0"/>
          <w:color w:val="auto"/>
          <w:sz w:val="24"/>
          <w:szCs w:val="24"/>
        </w:rPr>
      </w:pPr>
    </w:p>
    <w:p w:rsidR="00EE6B85" w:rsidRDefault="00EE6B85" w:rsidP="00EE6B85">
      <w:pPr>
        <w:pStyle w:val="Heading2"/>
      </w:pPr>
      <w:bookmarkStart w:id="154" w:name="_Toc225941553"/>
      <w:bookmarkStart w:id="155" w:name="_Toc273698039"/>
      <w:bookmarkStart w:id="156" w:name="_Toc273708372"/>
      <w:bookmarkStart w:id="157" w:name="_Toc276144630"/>
      <w:bookmarkStart w:id="158" w:name="_Toc280272442"/>
      <w:bookmarkStart w:id="159" w:name="_Toc318323427"/>
      <w:bookmarkStart w:id="160" w:name="_Toc320271444"/>
      <w:bookmarkStart w:id="161" w:name="_Toc326077239"/>
      <w:bookmarkStart w:id="162" w:name="_Toc333507780"/>
      <w:r>
        <w:t>Overall approach</w:t>
      </w:r>
      <w:bookmarkEnd w:id="154"/>
      <w:bookmarkEnd w:id="155"/>
      <w:bookmarkEnd w:id="156"/>
      <w:bookmarkEnd w:id="157"/>
      <w:bookmarkEnd w:id="158"/>
      <w:bookmarkEnd w:id="159"/>
      <w:bookmarkEnd w:id="160"/>
      <w:bookmarkEnd w:id="161"/>
      <w:bookmarkEnd w:id="162"/>
    </w:p>
    <w:p w:rsidR="00EE6B85" w:rsidRDefault="00EE6B85" w:rsidP="007E46FA">
      <w:pPr>
        <w:pStyle w:val="Maintext"/>
        <w:numPr>
          <w:ilvl w:val="1"/>
          <w:numId w:val="22"/>
        </w:numPr>
        <w:rPr>
          <w:rFonts w:cs="Arial"/>
        </w:rPr>
      </w:pPr>
      <w:r>
        <w:rPr>
          <w:rFonts w:cs="Arial"/>
        </w:rPr>
        <w:t xml:space="preserve">A multi-method approach was adopted in order to prepare a robust and credible Strategic Housing Market Assessment for </w:t>
      </w:r>
      <w:r w:rsidR="001B3D63">
        <w:rPr>
          <w:rFonts w:cs="Arial"/>
        </w:rPr>
        <w:t>County Durham</w:t>
      </w:r>
      <w:r>
        <w:rPr>
          <w:rFonts w:cs="Arial"/>
        </w:rPr>
        <w:t>:</w:t>
      </w:r>
    </w:p>
    <w:p w:rsidR="00EE6B85" w:rsidRDefault="00EE6B85" w:rsidP="00EE6B85">
      <w:pPr>
        <w:pStyle w:val="Maintext"/>
        <w:numPr>
          <w:ilvl w:val="2"/>
          <w:numId w:val="2"/>
        </w:numPr>
        <w:rPr>
          <w:rFonts w:cs="Arial"/>
          <w:i/>
        </w:rPr>
      </w:pPr>
      <w:r>
        <w:t xml:space="preserve">A sample </w:t>
      </w:r>
      <w:r w:rsidR="001B3D63">
        <w:t xml:space="preserve">survey of households across the County stratified by 16 </w:t>
      </w:r>
      <w:r w:rsidR="0083534C">
        <w:t>survey area</w:t>
      </w:r>
      <w:r w:rsidR="001B3D63">
        <w:t>s</w:t>
      </w:r>
      <w:r>
        <w:t xml:space="preserve">. A total of </w:t>
      </w:r>
      <w:r w:rsidR="001B3D63">
        <w:t>34,948</w:t>
      </w:r>
      <w:r>
        <w:t xml:space="preserve"> households were contacted and </w:t>
      </w:r>
      <w:r w:rsidR="001B3D63">
        <w:t>6,216</w:t>
      </w:r>
      <w:r>
        <w:t xml:space="preserve"> questionnaires were returned and used in data analysis.  This represents a </w:t>
      </w:r>
      <w:r w:rsidR="00717558">
        <w:t>17.8</w:t>
      </w:r>
      <w:r>
        <w:t>% response rate overall and total number of questionnaires returned was well in excess of the 1,500 specified in Government guidance;</w:t>
      </w:r>
    </w:p>
    <w:p w:rsidR="00EE6B85" w:rsidRDefault="00EE6B85" w:rsidP="00EE6B85">
      <w:pPr>
        <w:pStyle w:val="Maintext"/>
        <w:numPr>
          <w:ilvl w:val="2"/>
          <w:numId w:val="2"/>
        </w:numPr>
        <w:rPr>
          <w:rFonts w:cs="Arial"/>
          <w:i/>
        </w:rPr>
      </w:pPr>
      <w:r>
        <w:t>An online stakeholder surveys and interviews with key stakeholders including Local Housing and Planning Authority representatives, Registered Social Landlords (RSLs), Estate Agents, Lettings Agents, Developers, Supporting People representatives;</w:t>
      </w:r>
    </w:p>
    <w:p w:rsidR="00EE6B85" w:rsidRDefault="00EE6B85" w:rsidP="00EE6B85">
      <w:pPr>
        <w:pStyle w:val="Maintext"/>
        <w:numPr>
          <w:ilvl w:val="2"/>
          <w:numId w:val="2"/>
        </w:numPr>
        <w:rPr>
          <w:rFonts w:cs="Arial"/>
          <w:i/>
        </w:rPr>
      </w:pPr>
      <w:r>
        <w:t>A review of relevant secondary data including the 20</w:t>
      </w:r>
      <w:r w:rsidR="00004E0C">
        <w:t>1</w:t>
      </w:r>
      <w:r>
        <w:t>1 census, house price trends,</w:t>
      </w:r>
      <w:r w:rsidR="001D4694">
        <w:t xml:space="preserve"> CORE lettings data, Durham County Council 20</w:t>
      </w:r>
      <w:r w:rsidR="00004E0C">
        <w:t>11</w:t>
      </w:r>
      <w:r w:rsidR="001D4694">
        <w:t>-based population and househo</w:t>
      </w:r>
      <w:r w:rsidR="00582920">
        <w:t>ld statistics and Durham County</w:t>
      </w:r>
      <w:r w:rsidR="001D4694">
        <w:t xml:space="preserve"> Council Key Options data</w:t>
      </w:r>
      <w:r>
        <w:t>.</w:t>
      </w:r>
    </w:p>
    <w:p w:rsidR="00EE6B85" w:rsidRPr="00894F94" w:rsidRDefault="00EE6B85" w:rsidP="007E46FA">
      <w:pPr>
        <w:pStyle w:val="Maintext"/>
        <w:numPr>
          <w:ilvl w:val="1"/>
          <w:numId w:val="22"/>
        </w:numPr>
        <w:rPr>
          <w:caps/>
        </w:rPr>
      </w:pPr>
      <w:r>
        <w:t xml:space="preserve">Household survey data is available down to postcode level. In the SHMA report, data are presented for </w:t>
      </w:r>
      <w:r w:rsidR="00717558">
        <w:t>County Durham</w:t>
      </w:r>
      <w:r w:rsidR="0083534C">
        <w:t xml:space="preserve"> and constituent survey areas. The household survey was carried out based on 16 survey areas. </w:t>
      </w:r>
      <w:r w:rsidR="00004E0C">
        <w:t>For the purposes of the 2013 SHMA data are presented for the five development areas of County Durham.</w:t>
      </w:r>
    </w:p>
    <w:p w:rsidR="00EE6B85" w:rsidRDefault="00EE6B85" w:rsidP="007E46FA">
      <w:pPr>
        <w:pStyle w:val="Maintext"/>
        <w:numPr>
          <w:ilvl w:val="1"/>
          <w:numId w:val="22"/>
        </w:numPr>
        <w:rPr>
          <w:caps/>
        </w:rPr>
      </w:pPr>
      <w:r>
        <w:t>The SHMA was overseen by a Housing Market Partnership comprising Local Authority officers.</w:t>
      </w:r>
      <w:r w:rsidR="00004E0C">
        <w:t xml:space="preserve"> Stakeholder events have taken place as part of the 2013 SHMA update.</w:t>
      </w:r>
    </w:p>
    <w:p w:rsidR="00EE6B85" w:rsidRPr="00157D37" w:rsidRDefault="00EE6B85" w:rsidP="00EE6B85">
      <w:pPr>
        <w:pStyle w:val="Maintext"/>
        <w:numPr>
          <w:ilvl w:val="0"/>
          <w:numId w:val="0"/>
        </w:numPr>
        <w:ind w:left="709"/>
        <w:rPr>
          <w:caps/>
        </w:rPr>
      </w:pPr>
    </w:p>
    <w:p w:rsidR="00EE6B85" w:rsidRDefault="00EE6B85" w:rsidP="00EE6B85">
      <w:pPr>
        <w:pStyle w:val="Maintext"/>
        <w:numPr>
          <w:ilvl w:val="0"/>
          <w:numId w:val="0"/>
        </w:numPr>
      </w:pPr>
    </w:p>
    <w:p w:rsidR="00EE6B85" w:rsidRDefault="00EE6B85" w:rsidP="00EE6B85">
      <w:pPr>
        <w:pStyle w:val="Heading2"/>
      </w:pPr>
      <w:bookmarkStart w:id="163" w:name="_Toc225941554"/>
      <w:bookmarkStart w:id="164" w:name="_Toc273698040"/>
      <w:bookmarkStart w:id="165" w:name="_Toc273708373"/>
      <w:bookmarkStart w:id="166" w:name="_Toc276144631"/>
      <w:bookmarkStart w:id="167" w:name="_Toc280272443"/>
      <w:bookmarkStart w:id="168" w:name="_Toc318323428"/>
      <w:bookmarkStart w:id="169" w:name="_Toc320271445"/>
      <w:bookmarkStart w:id="170" w:name="_Toc326077240"/>
      <w:bookmarkStart w:id="171" w:name="_Toc333507781"/>
      <w:r>
        <w:t>Baseline dwelling stock information and survey sample errors</w:t>
      </w:r>
      <w:bookmarkEnd w:id="163"/>
      <w:bookmarkEnd w:id="164"/>
      <w:bookmarkEnd w:id="165"/>
      <w:bookmarkEnd w:id="166"/>
      <w:bookmarkEnd w:id="167"/>
      <w:bookmarkEnd w:id="168"/>
      <w:bookmarkEnd w:id="169"/>
      <w:bookmarkEnd w:id="170"/>
      <w:bookmarkEnd w:id="171"/>
    </w:p>
    <w:p w:rsidR="00EE6B85" w:rsidRDefault="00717558" w:rsidP="007E46FA">
      <w:pPr>
        <w:pStyle w:val="Maintext"/>
        <w:numPr>
          <w:ilvl w:val="1"/>
          <w:numId w:val="22"/>
        </w:numPr>
      </w:pPr>
      <w:r>
        <w:t>Table A1 summarises total dwelling stock and the number of h</w:t>
      </w:r>
      <w:r w:rsidR="00004E0C">
        <w:t>ouseholds contacted</w:t>
      </w:r>
      <w:r w:rsidR="0083534C">
        <w:t xml:space="preserve"> by survey area</w:t>
      </w:r>
      <w:r w:rsidR="00042BA4">
        <w:t>, achieved response rates and sa</w:t>
      </w:r>
      <w:r>
        <w:t>mple errors.</w:t>
      </w:r>
    </w:p>
    <w:p w:rsidR="00042BA4" w:rsidRDefault="00EE6B85" w:rsidP="00717558">
      <w:pPr>
        <w:pStyle w:val="StyleMaintextGillSansMT"/>
        <w:numPr>
          <w:ilvl w:val="0"/>
          <w:numId w:val="0"/>
        </w:numPr>
        <w:rPr>
          <w:rFonts w:cs="Arial"/>
          <w:b/>
        </w:rPr>
      </w:pPr>
      <w:r>
        <w:rPr>
          <w:rFonts w:cs="Arial"/>
          <w:b/>
        </w:rPr>
        <w:br w:type="page"/>
      </w:r>
      <w:r w:rsidR="00717558">
        <w:rPr>
          <w:rFonts w:cs="Arial"/>
          <w:b/>
        </w:rPr>
        <w:t xml:space="preserve"> </w:t>
      </w:r>
    </w:p>
    <w:p w:rsidR="00042BA4" w:rsidRDefault="00042BA4" w:rsidP="00EE6B85">
      <w:pPr>
        <w:pStyle w:val="StyleMaintextGillSansMT"/>
        <w:numPr>
          <w:ilvl w:val="0"/>
          <w:numId w:val="0"/>
        </w:numPr>
        <w:ind w:firstLine="709"/>
        <w:rPr>
          <w:rFonts w:cs="Arial"/>
          <w:b/>
        </w:rPr>
      </w:pPr>
    </w:p>
    <w:p w:rsidR="00EE6B85" w:rsidRPr="006A5CD6" w:rsidRDefault="00EE6B85" w:rsidP="00042BA4">
      <w:pPr>
        <w:pStyle w:val="StyleMaintextGillSansMT"/>
        <w:numPr>
          <w:ilvl w:val="0"/>
          <w:numId w:val="0"/>
        </w:numPr>
        <w:rPr>
          <w:rFonts w:ascii="Arial" w:hAnsi="Arial" w:cs="Arial"/>
        </w:rPr>
      </w:pPr>
      <w:r w:rsidRPr="006A5CD6">
        <w:rPr>
          <w:rFonts w:ascii="Arial" w:hAnsi="Arial" w:cs="Arial"/>
          <w:b/>
        </w:rPr>
        <w:t>Table A</w:t>
      </w:r>
      <w:r w:rsidR="001B3D63" w:rsidRPr="006A5CD6">
        <w:rPr>
          <w:rFonts w:ascii="Arial" w:hAnsi="Arial" w:cs="Arial"/>
          <w:b/>
        </w:rPr>
        <w:t>1</w:t>
      </w:r>
      <w:r w:rsidRPr="006A5CD6">
        <w:rPr>
          <w:rFonts w:ascii="Arial" w:hAnsi="Arial" w:cs="Arial"/>
        </w:rPr>
        <w:tab/>
        <w:t>Households surveyed, response rates and sample errors</w:t>
      </w:r>
    </w:p>
    <w:tbl>
      <w:tblPr>
        <w:tblW w:w="9418" w:type="dxa"/>
        <w:tblInd w:w="93" w:type="dxa"/>
        <w:tblLook w:val="04A0" w:firstRow="1" w:lastRow="0" w:firstColumn="1" w:lastColumn="0" w:noHBand="0" w:noVBand="1"/>
      </w:tblPr>
      <w:tblGrid>
        <w:gridCol w:w="2567"/>
        <w:gridCol w:w="1150"/>
        <w:gridCol w:w="1261"/>
        <w:gridCol w:w="993"/>
        <w:gridCol w:w="1275"/>
        <w:gridCol w:w="1172"/>
        <w:gridCol w:w="1000"/>
      </w:tblGrid>
      <w:tr w:rsidR="001B3D63" w:rsidRPr="001B3D63" w:rsidTr="001B3D63">
        <w:trPr>
          <w:trHeight w:val="600"/>
        </w:trPr>
        <w:tc>
          <w:tcPr>
            <w:tcW w:w="2567"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1B3D63" w:rsidRPr="001B3D63" w:rsidRDefault="0083534C" w:rsidP="001B3D63">
            <w:pPr>
              <w:spacing w:before="0" w:after="0"/>
              <w:rPr>
                <w:rFonts w:cs="Arial"/>
                <w:b/>
                <w:bCs/>
                <w:color w:val="FFFFFF"/>
                <w:sz w:val="20"/>
                <w:szCs w:val="20"/>
                <w:lang w:eastAsia="en-GB"/>
              </w:rPr>
            </w:pPr>
            <w:r>
              <w:rPr>
                <w:rFonts w:cs="Arial"/>
                <w:b/>
                <w:bCs/>
                <w:color w:val="FFFFFF"/>
                <w:sz w:val="20"/>
                <w:szCs w:val="20"/>
                <w:lang w:eastAsia="en-GB"/>
              </w:rPr>
              <w:t>Survey area</w:t>
            </w:r>
          </w:p>
        </w:tc>
        <w:tc>
          <w:tcPr>
            <w:tcW w:w="1150" w:type="dxa"/>
            <w:tcBorders>
              <w:top w:val="single" w:sz="4" w:space="0" w:color="auto"/>
              <w:left w:val="nil"/>
              <w:bottom w:val="single" w:sz="4" w:space="0" w:color="auto"/>
              <w:right w:val="single" w:sz="4" w:space="0" w:color="auto"/>
            </w:tcBorders>
            <w:shd w:val="clear" w:color="000000" w:fill="008080"/>
            <w:vAlign w:val="bottom"/>
            <w:hideMark/>
          </w:tcPr>
          <w:p w:rsidR="001B3D63" w:rsidRPr="001B3D63" w:rsidRDefault="001B3D63" w:rsidP="001B3D63">
            <w:pPr>
              <w:spacing w:before="0" w:after="0"/>
              <w:jc w:val="center"/>
              <w:rPr>
                <w:rFonts w:cs="Arial"/>
                <w:b/>
                <w:bCs/>
                <w:color w:val="FFFFFF"/>
                <w:sz w:val="20"/>
                <w:szCs w:val="20"/>
                <w:lang w:eastAsia="en-GB"/>
              </w:rPr>
            </w:pPr>
            <w:r w:rsidRPr="001B3D63">
              <w:rPr>
                <w:rFonts w:cs="Arial"/>
                <w:b/>
                <w:bCs/>
                <w:color w:val="FFFFFF"/>
                <w:sz w:val="20"/>
                <w:szCs w:val="20"/>
                <w:lang w:eastAsia="en-GB"/>
              </w:rPr>
              <w:t>Total Dwellings</w:t>
            </w:r>
          </w:p>
        </w:tc>
        <w:tc>
          <w:tcPr>
            <w:tcW w:w="1261" w:type="dxa"/>
            <w:tcBorders>
              <w:top w:val="single" w:sz="4" w:space="0" w:color="auto"/>
              <w:left w:val="nil"/>
              <w:bottom w:val="single" w:sz="4" w:space="0" w:color="auto"/>
              <w:right w:val="single" w:sz="4" w:space="0" w:color="auto"/>
            </w:tcBorders>
            <w:shd w:val="clear" w:color="000000" w:fill="008080"/>
            <w:vAlign w:val="bottom"/>
            <w:hideMark/>
          </w:tcPr>
          <w:p w:rsidR="001B3D63" w:rsidRPr="001B3D63" w:rsidRDefault="001B3D63" w:rsidP="001B3D63">
            <w:pPr>
              <w:spacing w:before="0" w:after="0"/>
              <w:jc w:val="center"/>
              <w:rPr>
                <w:rFonts w:cs="Arial"/>
                <w:b/>
                <w:bCs/>
                <w:color w:val="FFFFFF"/>
                <w:sz w:val="20"/>
                <w:szCs w:val="20"/>
                <w:lang w:eastAsia="en-GB"/>
              </w:rPr>
            </w:pPr>
            <w:r w:rsidRPr="001B3D63">
              <w:rPr>
                <w:rFonts w:cs="Arial"/>
                <w:b/>
                <w:bCs/>
                <w:color w:val="FFFFFF"/>
                <w:sz w:val="20"/>
                <w:szCs w:val="20"/>
                <w:lang w:eastAsia="en-GB"/>
              </w:rPr>
              <w:t>Total Occupied</w:t>
            </w:r>
          </w:p>
        </w:tc>
        <w:tc>
          <w:tcPr>
            <w:tcW w:w="993" w:type="dxa"/>
            <w:tcBorders>
              <w:top w:val="single" w:sz="4" w:space="0" w:color="auto"/>
              <w:left w:val="nil"/>
              <w:bottom w:val="single" w:sz="4" w:space="0" w:color="auto"/>
              <w:right w:val="single" w:sz="4" w:space="0" w:color="auto"/>
            </w:tcBorders>
            <w:shd w:val="clear" w:color="000000" w:fill="008080"/>
            <w:vAlign w:val="bottom"/>
            <w:hideMark/>
          </w:tcPr>
          <w:p w:rsidR="001B3D63" w:rsidRPr="001B3D63" w:rsidRDefault="001B3D63" w:rsidP="001B3D63">
            <w:pPr>
              <w:spacing w:before="0" w:after="0"/>
              <w:jc w:val="center"/>
              <w:rPr>
                <w:rFonts w:cs="Arial"/>
                <w:b/>
                <w:bCs/>
                <w:color w:val="FFFFFF"/>
                <w:sz w:val="20"/>
                <w:szCs w:val="20"/>
                <w:lang w:eastAsia="en-GB"/>
              </w:rPr>
            </w:pPr>
            <w:r w:rsidRPr="001B3D63">
              <w:rPr>
                <w:rFonts w:cs="Arial"/>
                <w:b/>
                <w:bCs/>
                <w:color w:val="FFFFFF"/>
                <w:sz w:val="20"/>
                <w:szCs w:val="20"/>
                <w:lang w:eastAsia="en-GB"/>
              </w:rPr>
              <w:t>Mail out</w:t>
            </w:r>
          </w:p>
        </w:tc>
        <w:tc>
          <w:tcPr>
            <w:tcW w:w="1275" w:type="dxa"/>
            <w:tcBorders>
              <w:top w:val="single" w:sz="4" w:space="0" w:color="auto"/>
              <w:left w:val="nil"/>
              <w:bottom w:val="single" w:sz="4" w:space="0" w:color="auto"/>
              <w:right w:val="single" w:sz="4" w:space="0" w:color="auto"/>
            </w:tcBorders>
            <w:shd w:val="clear" w:color="000000" w:fill="008080"/>
            <w:vAlign w:val="bottom"/>
            <w:hideMark/>
          </w:tcPr>
          <w:p w:rsidR="001B3D63" w:rsidRPr="001B3D63" w:rsidRDefault="001B3D63" w:rsidP="001B3D63">
            <w:pPr>
              <w:spacing w:before="0" w:after="0"/>
              <w:jc w:val="center"/>
              <w:rPr>
                <w:rFonts w:cs="Arial"/>
                <w:b/>
                <w:bCs/>
                <w:color w:val="FFFFFF"/>
                <w:sz w:val="20"/>
                <w:szCs w:val="20"/>
                <w:lang w:eastAsia="en-GB"/>
              </w:rPr>
            </w:pPr>
            <w:r w:rsidRPr="001B3D63">
              <w:rPr>
                <w:rFonts w:cs="Arial"/>
                <w:b/>
                <w:bCs/>
                <w:color w:val="FFFFFF"/>
                <w:sz w:val="20"/>
                <w:szCs w:val="20"/>
                <w:lang w:eastAsia="en-GB"/>
              </w:rPr>
              <w:t>Actual returns</w:t>
            </w:r>
          </w:p>
        </w:tc>
        <w:tc>
          <w:tcPr>
            <w:tcW w:w="1172" w:type="dxa"/>
            <w:tcBorders>
              <w:top w:val="single" w:sz="4" w:space="0" w:color="auto"/>
              <w:left w:val="nil"/>
              <w:bottom w:val="single" w:sz="4" w:space="0" w:color="auto"/>
              <w:right w:val="single" w:sz="4" w:space="0" w:color="auto"/>
            </w:tcBorders>
            <w:shd w:val="clear" w:color="000000" w:fill="008080"/>
            <w:vAlign w:val="bottom"/>
            <w:hideMark/>
          </w:tcPr>
          <w:p w:rsidR="001B3D63" w:rsidRPr="001B3D63" w:rsidRDefault="001B3D63" w:rsidP="001B3D63">
            <w:pPr>
              <w:spacing w:before="0" w:after="0"/>
              <w:jc w:val="center"/>
              <w:rPr>
                <w:rFonts w:cs="Arial"/>
                <w:b/>
                <w:bCs/>
                <w:color w:val="FFFFFF"/>
                <w:sz w:val="20"/>
                <w:szCs w:val="20"/>
                <w:lang w:eastAsia="en-GB"/>
              </w:rPr>
            </w:pPr>
            <w:r w:rsidRPr="001B3D63">
              <w:rPr>
                <w:rFonts w:cs="Arial"/>
                <w:b/>
                <w:bCs/>
                <w:color w:val="FFFFFF"/>
                <w:sz w:val="20"/>
                <w:szCs w:val="20"/>
                <w:lang w:eastAsia="en-GB"/>
              </w:rPr>
              <w:t>Response rate (%)</w:t>
            </w:r>
          </w:p>
        </w:tc>
        <w:tc>
          <w:tcPr>
            <w:tcW w:w="1000" w:type="dxa"/>
            <w:tcBorders>
              <w:top w:val="single" w:sz="4" w:space="0" w:color="auto"/>
              <w:left w:val="nil"/>
              <w:bottom w:val="single" w:sz="4" w:space="0" w:color="auto"/>
              <w:right w:val="single" w:sz="4" w:space="0" w:color="auto"/>
            </w:tcBorders>
            <w:shd w:val="clear" w:color="000000" w:fill="008080"/>
            <w:vAlign w:val="bottom"/>
            <w:hideMark/>
          </w:tcPr>
          <w:p w:rsidR="001B3D63" w:rsidRPr="001B3D63" w:rsidRDefault="001B3D63" w:rsidP="001B3D63">
            <w:pPr>
              <w:spacing w:before="0" w:after="0"/>
              <w:jc w:val="center"/>
              <w:rPr>
                <w:rFonts w:cs="Arial"/>
                <w:b/>
                <w:bCs/>
                <w:color w:val="FFFFFF"/>
                <w:sz w:val="20"/>
                <w:szCs w:val="20"/>
                <w:lang w:eastAsia="en-GB"/>
              </w:rPr>
            </w:pPr>
            <w:r w:rsidRPr="001B3D63">
              <w:rPr>
                <w:rFonts w:cs="Arial"/>
                <w:b/>
                <w:bCs/>
                <w:color w:val="FFFFFF"/>
                <w:sz w:val="20"/>
                <w:szCs w:val="20"/>
                <w:lang w:eastAsia="en-GB"/>
              </w:rPr>
              <w:t>Sample error</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Barnard Castle</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4624</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4317</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2113</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446</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21.1</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4.4%</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Bishop Auckland</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22694</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21155</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2240</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341</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15.2</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5.3%</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Central</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23980</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22894</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2247</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427</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19.0</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4.7%</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Chester-le-Street</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22475</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21521</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2240</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441</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19.7</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4.6%</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Consett</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21316</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20245</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2240</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397</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17.7</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4.9%</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Crook and Willington</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11439</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10775</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2207</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334</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15.1</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5.3%</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Durham City</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18226</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17285</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2233</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439</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19.7</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4.6%</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Easington and Peterlee</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22379</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21345</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2240</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365</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16.3</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5.1%</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Newton Aycliffe</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11928</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11576</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2213</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375</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16.9</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5.0%</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Seaham</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19362</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18441</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2240</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362</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16.2</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5.1%</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Sedgefield</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7133</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6809</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2167</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415</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19.2</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4.7%</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Spennymoor</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17649</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16580</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2233</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369</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16.5</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5.0%</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Stanley</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15464</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14693</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2227</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404</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18.1</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4.8%</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Upper Teesdale</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1925</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1774</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1774</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348</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19.6</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4.7%</w:t>
            </w:r>
          </w:p>
        </w:tc>
      </w:tr>
      <w:tr w:rsidR="001B3D63" w:rsidRPr="001B3D63" w:rsidTr="001B3D63">
        <w:trPr>
          <w:trHeight w:val="27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Weardale</w:t>
            </w:r>
          </w:p>
        </w:tc>
        <w:tc>
          <w:tcPr>
            <w:tcW w:w="115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6140</w:t>
            </w:r>
          </w:p>
        </w:tc>
        <w:tc>
          <w:tcPr>
            <w:tcW w:w="1261"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5534</w:t>
            </w:r>
          </w:p>
        </w:tc>
        <w:tc>
          <w:tcPr>
            <w:tcW w:w="993"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2147</w:t>
            </w:r>
          </w:p>
        </w:tc>
        <w:tc>
          <w:tcPr>
            <w:tcW w:w="1275"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397</w:t>
            </w:r>
          </w:p>
        </w:tc>
        <w:tc>
          <w:tcPr>
            <w:tcW w:w="1172"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18.5</w:t>
            </w:r>
          </w:p>
        </w:tc>
        <w:tc>
          <w:tcPr>
            <w:tcW w:w="1000" w:type="dxa"/>
            <w:tcBorders>
              <w:top w:val="nil"/>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4.7%</w:t>
            </w:r>
          </w:p>
        </w:tc>
      </w:tr>
      <w:tr w:rsidR="001B3D63" w:rsidRPr="001B3D63" w:rsidTr="001B3D63">
        <w:trPr>
          <w:trHeight w:val="285"/>
        </w:trPr>
        <w:tc>
          <w:tcPr>
            <w:tcW w:w="2567" w:type="dxa"/>
            <w:tcBorders>
              <w:top w:val="nil"/>
              <w:left w:val="single" w:sz="4" w:space="0" w:color="auto"/>
              <w:bottom w:val="nil"/>
              <w:right w:val="single" w:sz="4" w:space="0" w:color="auto"/>
            </w:tcBorders>
            <w:shd w:val="clear" w:color="auto" w:fill="auto"/>
            <w:noWrap/>
            <w:vAlign w:val="bottom"/>
            <w:hideMark/>
          </w:tcPr>
          <w:p w:rsidR="001B3D63" w:rsidRPr="001B3D63" w:rsidRDefault="001B3D63" w:rsidP="001B3D63">
            <w:pPr>
              <w:spacing w:before="0" w:after="0"/>
              <w:rPr>
                <w:rFonts w:cs="Arial"/>
                <w:sz w:val="20"/>
                <w:szCs w:val="20"/>
                <w:lang w:eastAsia="en-GB"/>
              </w:rPr>
            </w:pPr>
            <w:r w:rsidRPr="001B3D63">
              <w:rPr>
                <w:rFonts w:cs="Arial"/>
                <w:sz w:val="20"/>
                <w:szCs w:val="20"/>
                <w:lang w:eastAsia="en-GB"/>
              </w:rPr>
              <w:t>Wingate</w:t>
            </w:r>
          </w:p>
        </w:tc>
        <w:tc>
          <w:tcPr>
            <w:tcW w:w="1150" w:type="dxa"/>
            <w:tcBorders>
              <w:top w:val="nil"/>
              <w:left w:val="nil"/>
              <w:bottom w:val="nil"/>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8625</w:t>
            </w:r>
          </w:p>
        </w:tc>
        <w:tc>
          <w:tcPr>
            <w:tcW w:w="1261" w:type="dxa"/>
            <w:tcBorders>
              <w:top w:val="nil"/>
              <w:left w:val="nil"/>
              <w:bottom w:val="nil"/>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8137</w:t>
            </w:r>
          </w:p>
        </w:tc>
        <w:tc>
          <w:tcPr>
            <w:tcW w:w="993" w:type="dxa"/>
            <w:tcBorders>
              <w:top w:val="nil"/>
              <w:left w:val="nil"/>
              <w:bottom w:val="nil"/>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2187</w:t>
            </w:r>
          </w:p>
        </w:tc>
        <w:tc>
          <w:tcPr>
            <w:tcW w:w="1275" w:type="dxa"/>
            <w:tcBorders>
              <w:top w:val="nil"/>
              <w:left w:val="nil"/>
              <w:bottom w:val="nil"/>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356</w:t>
            </w:r>
          </w:p>
        </w:tc>
        <w:tc>
          <w:tcPr>
            <w:tcW w:w="1172" w:type="dxa"/>
            <w:tcBorders>
              <w:top w:val="nil"/>
              <w:left w:val="nil"/>
              <w:bottom w:val="nil"/>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16.3</w:t>
            </w:r>
          </w:p>
        </w:tc>
        <w:tc>
          <w:tcPr>
            <w:tcW w:w="1000" w:type="dxa"/>
            <w:tcBorders>
              <w:top w:val="nil"/>
              <w:left w:val="nil"/>
              <w:bottom w:val="nil"/>
              <w:right w:val="single" w:sz="4" w:space="0" w:color="auto"/>
            </w:tcBorders>
            <w:shd w:val="clear" w:color="auto" w:fill="auto"/>
            <w:noWrap/>
            <w:vAlign w:val="bottom"/>
            <w:hideMark/>
          </w:tcPr>
          <w:p w:rsidR="001B3D63" w:rsidRPr="001B3D63" w:rsidRDefault="001B3D63" w:rsidP="001B3D63">
            <w:pPr>
              <w:spacing w:before="0" w:after="0"/>
              <w:jc w:val="center"/>
              <w:rPr>
                <w:rFonts w:cs="Arial"/>
                <w:sz w:val="20"/>
                <w:szCs w:val="20"/>
                <w:lang w:eastAsia="en-GB"/>
              </w:rPr>
            </w:pPr>
            <w:r w:rsidRPr="001B3D63">
              <w:rPr>
                <w:rFonts w:cs="Arial"/>
                <w:sz w:val="20"/>
                <w:szCs w:val="20"/>
                <w:lang w:eastAsia="en-GB"/>
              </w:rPr>
              <w:t>5.1%</w:t>
            </w:r>
          </w:p>
        </w:tc>
      </w:tr>
      <w:tr w:rsidR="001B3D63" w:rsidRPr="001B3D63" w:rsidTr="001B3D63">
        <w:trPr>
          <w:trHeight w:val="300"/>
        </w:trPr>
        <w:tc>
          <w:tcPr>
            <w:tcW w:w="256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rPr>
                <w:rFonts w:cs="Arial"/>
                <w:b/>
                <w:bCs/>
                <w:color w:val="000000"/>
                <w:sz w:val="20"/>
                <w:szCs w:val="20"/>
                <w:lang w:eastAsia="en-GB"/>
              </w:rPr>
            </w:pPr>
            <w:r w:rsidRPr="001B3D63">
              <w:rPr>
                <w:rFonts w:cs="Arial"/>
                <w:b/>
                <w:bCs/>
                <w:color w:val="000000"/>
                <w:sz w:val="20"/>
                <w:szCs w:val="20"/>
                <w:lang w:eastAsia="en-GB"/>
              </w:rPr>
              <w:t>Total</w:t>
            </w:r>
          </w:p>
        </w:tc>
        <w:tc>
          <w:tcPr>
            <w:tcW w:w="1150" w:type="dxa"/>
            <w:tcBorders>
              <w:top w:val="single" w:sz="8" w:space="0" w:color="auto"/>
              <w:left w:val="nil"/>
              <w:bottom w:val="single" w:sz="4" w:space="0" w:color="auto"/>
              <w:right w:val="single" w:sz="4" w:space="0" w:color="auto"/>
            </w:tcBorders>
            <w:shd w:val="clear" w:color="auto" w:fill="auto"/>
            <w:noWrap/>
            <w:vAlign w:val="bottom"/>
            <w:hideMark/>
          </w:tcPr>
          <w:p w:rsidR="001B3D63" w:rsidRPr="001B3D63" w:rsidRDefault="005B5D15" w:rsidP="001B3D63">
            <w:pPr>
              <w:spacing w:before="0" w:after="0"/>
              <w:jc w:val="center"/>
              <w:rPr>
                <w:rFonts w:cs="Arial"/>
                <w:b/>
                <w:bCs/>
                <w:color w:val="000000"/>
                <w:sz w:val="20"/>
                <w:szCs w:val="20"/>
                <w:lang w:eastAsia="en-GB"/>
              </w:rPr>
            </w:pPr>
            <w:r>
              <w:rPr>
                <w:rFonts w:cs="Arial"/>
                <w:b/>
                <w:bCs/>
                <w:color w:val="000000"/>
                <w:sz w:val="20"/>
                <w:szCs w:val="20"/>
                <w:lang w:eastAsia="en-GB"/>
              </w:rPr>
              <w:t>235360</w:t>
            </w:r>
          </w:p>
        </w:tc>
        <w:tc>
          <w:tcPr>
            <w:tcW w:w="1261" w:type="dxa"/>
            <w:tcBorders>
              <w:top w:val="single" w:sz="8" w:space="0" w:color="auto"/>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b/>
                <w:bCs/>
                <w:color w:val="000000"/>
                <w:sz w:val="20"/>
                <w:szCs w:val="20"/>
                <w:lang w:eastAsia="en-GB"/>
              </w:rPr>
            </w:pPr>
            <w:r w:rsidRPr="001B3D63">
              <w:rPr>
                <w:rFonts w:cs="Arial"/>
                <w:b/>
                <w:bCs/>
                <w:color w:val="000000"/>
                <w:sz w:val="20"/>
                <w:szCs w:val="20"/>
                <w:lang w:eastAsia="en-GB"/>
              </w:rPr>
              <w:t>223081</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b/>
                <w:bCs/>
                <w:color w:val="000000"/>
                <w:sz w:val="20"/>
                <w:szCs w:val="20"/>
                <w:lang w:eastAsia="en-GB"/>
              </w:rPr>
            </w:pPr>
            <w:r w:rsidRPr="001B3D63">
              <w:rPr>
                <w:rFonts w:cs="Arial"/>
                <w:b/>
                <w:bCs/>
                <w:color w:val="000000"/>
                <w:sz w:val="20"/>
                <w:szCs w:val="20"/>
                <w:lang w:eastAsia="en-GB"/>
              </w:rPr>
              <w:t>34948</w:t>
            </w:r>
          </w:p>
        </w:tc>
        <w:tc>
          <w:tcPr>
            <w:tcW w:w="1275" w:type="dxa"/>
            <w:tcBorders>
              <w:top w:val="single" w:sz="8" w:space="0" w:color="auto"/>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b/>
                <w:bCs/>
                <w:color w:val="000000"/>
                <w:sz w:val="20"/>
                <w:szCs w:val="20"/>
                <w:lang w:eastAsia="en-GB"/>
              </w:rPr>
            </w:pPr>
            <w:r w:rsidRPr="001B3D63">
              <w:rPr>
                <w:rFonts w:cs="Arial"/>
                <w:b/>
                <w:bCs/>
                <w:color w:val="000000"/>
                <w:sz w:val="20"/>
                <w:szCs w:val="20"/>
                <w:lang w:eastAsia="en-GB"/>
              </w:rPr>
              <w:t>6216</w:t>
            </w:r>
          </w:p>
        </w:tc>
        <w:tc>
          <w:tcPr>
            <w:tcW w:w="1172" w:type="dxa"/>
            <w:tcBorders>
              <w:top w:val="single" w:sz="8" w:space="0" w:color="auto"/>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b/>
                <w:bCs/>
                <w:sz w:val="20"/>
                <w:szCs w:val="20"/>
                <w:lang w:eastAsia="en-GB"/>
              </w:rPr>
            </w:pPr>
            <w:r w:rsidRPr="001B3D63">
              <w:rPr>
                <w:rFonts w:cs="Arial"/>
                <w:b/>
                <w:bCs/>
                <w:sz w:val="20"/>
                <w:szCs w:val="20"/>
                <w:lang w:eastAsia="en-GB"/>
              </w:rPr>
              <w:t>17.8</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1B3D63" w:rsidRPr="001B3D63" w:rsidRDefault="001B3D63" w:rsidP="001B3D63">
            <w:pPr>
              <w:spacing w:before="0" w:after="0"/>
              <w:jc w:val="center"/>
              <w:rPr>
                <w:rFonts w:cs="Arial"/>
                <w:b/>
                <w:bCs/>
                <w:sz w:val="20"/>
                <w:szCs w:val="20"/>
                <w:lang w:eastAsia="en-GB"/>
              </w:rPr>
            </w:pPr>
            <w:r w:rsidRPr="001B3D63">
              <w:rPr>
                <w:rFonts w:cs="Arial"/>
                <w:b/>
                <w:bCs/>
                <w:sz w:val="20"/>
                <w:szCs w:val="20"/>
                <w:lang w:eastAsia="en-GB"/>
              </w:rPr>
              <w:t>1.2%</w:t>
            </w:r>
          </w:p>
        </w:tc>
      </w:tr>
    </w:tbl>
    <w:p w:rsidR="00EE6B85" w:rsidRPr="006A5CD6" w:rsidRDefault="00EE6B85" w:rsidP="00EE6B85">
      <w:pPr>
        <w:pStyle w:val="StyleMaintextGillSansMT"/>
        <w:numPr>
          <w:ilvl w:val="0"/>
          <w:numId w:val="0"/>
        </w:numPr>
        <w:ind w:left="-567" w:firstLine="567"/>
        <w:rPr>
          <w:rFonts w:ascii="Arial" w:hAnsi="Arial" w:cs="Arial"/>
        </w:rPr>
      </w:pPr>
      <w:r w:rsidRPr="006A5CD6">
        <w:rPr>
          <w:rFonts w:ascii="Arial" w:hAnsi="Arial" w:cs="Arial"/>
          <w:color w:val="000000"/>
        </w:rPr>
        <w:t xml:space="preserve">Source: Council Tax Data </w:t>
      </w:r>
    </w:p>
    <w:p w:rsidR="00EE6B85" w:rsidRDefault="00EE6B85" w:rsidP="007E46FA">
      <w:pPr>
        <w:pStyle w:val="FootnoteText"/>
        <w:numPr>
          <w:ilvl w:val="0"/>
          <w:numId w:val="26"/>
        </w:numPr>
        <w:ind w:left="360"/>
      </w:pPr>
      <w:r w:rsidRPr="00720015">
        <w:t xml:space="preserve">Where ‘sample’ is indicated in the column this means that a random sample of households were selected for that </w:t>
      </w:r>
      <w:r>
        <w:t>area and issued with a survey.</w:t>
      </w:r>
    </w:p>
    <w:p w:rsidR="00EE6B85" w:rsidRDefault="00EE6B85" w:rsidP="007E46FA">
      <w:pPr>
        <w:pStyle w:val="FootnoteText"/>
        <w:numPr>
          <w:ilvl w:val="0"/>
          <w:numId w:val="26"/>
        </w:numPr>
        <w:ind w:left="360"/>
      </w:pPr>
      <w:r w:rsidRPr="00720015">
        <w:t>Sample error is based on the 95% confidence interval which is the industry standard to establish result accuracy</w:t>
      </w:r>
    </w:p>
    <w:p w:rsidR="00EE6B85" w:rsidRDefault="00EE6B85" w:rsidP="00EE6B85">
      <w:pPr>
        <w:pStyle w:val="StyleMaintextGillSansMT"/>
        <w:numPr>
          <w:ilvl w:val="0"/>
          <w:numId w:val="0"/>
        </w:numPr>
        <w:ind w:firstLine="709"/>
        <w:rPr>
          <w:rFonts w:cs="Arial"/>
          <w:b/>
        </w:rPr>
      </w:pPr>
    </w:p>
    <w:p w:rsidR="00EE6B85" w:rsidRDefault="00EE6B85" w:rsidP="00EE6B85">
      <w:pPr>
        <w:pStyle w:val="StyleMaintextGillSansMT"/>
        <w:numPr>
          <w:ilvl w:val="0"/>
          <w:numId w:val="0"/>
        </w:numPr>
        <w:rPr>
          <w:rFonts w:cs="Arial"/>
          <w:b/>
        </w:rPr>
        <w:sectPr w:rsidR="00EE6B85" w:rsidSect="00176832">
          <w:pgSz w:w="11907" w:h="16840" w:code="9"/>
          <w:pgMar w:top="1304" w:right="1304" w:bottom="1559" w:left="1304" w:header="720" w:footer="567" w:gutter="0"/>
          <w:cols w:space="708"/>
          <w:noEndnote/>
          <w:docGrid w:linePitch="326"/>
        </w:sectPr>
      </w:pPr>
    </w:p>
    <w:p w:rsidR="00642BD6" w:rsidRPr="00642BD6" w:rsidRDefault="00642BD6" w:rsidP="00642BD6">
      <w:pPr>
        <w:pStyle w:val="Maintext"/>
        <w:numPr>
          <w:ilvl w:val="0"/>
          <w:numId w:val="0"/>
        </w:numPr>
        <w:ind w:left="709"/>
        <w:rPr>
          <w:rFonts w:cs="Arial"/>
          <w:b/>
        </w:rPr>
      </w:pPr>
      <w:r w:rsidRPr="00642BD6">
        <w:rPr>
          <w:rFonts w:cs="Arial"/>
          <w:b/>
        </w:rPr>
        <w:t>Weighting and grossing</w:t>
      </w:r>
    </w:p>
    <w:p w:rsidR="00EE6B85" w:rsidRDefault="00582920" w:rsidP="007E46FA">
      <w:pPr>
        <w:pStyle w:val="Maintext"/>
        <w:numPr>
          <w:ilvl w:val="1"/>
          <w:numId w:val="22"/>
        </w:numPr>
        <w:rPr>
          <w:rFonts w:cs="Arial"/>
        </w:rPr>
      </w:pPr>
      <w:r>
        <w:t xml:space="preserve">In order to proceed with data analysis, it is critical that survey data is weighted to take into account non-response bias and grossed up to reflect the total number of households.  </w:t>
      </w:r>
      <w:r w:rsidR="00EE6B85">
        <w:t xml:space="preserve">Weighting for each </w:t>
      </w:r>
      <w:r w:rsidR="0083534C">
        <w:t>survey area</w:t>
      </w:r>
      <w:r w:rsidR="00EE6B85">
        <w:t xml:space="preserve"> was based on:</w:t>
      </w:r>
    </w:p>
    <w:p w:rsidR="00EE6B85" w:rsidRDefault="00EE6B85" w:rsidP="007E46FA">
      <w:pPr>
        <w:pStyle w:val="Maintext"/>
        <w:numPr>
          <w:ilvl w:val="2"/>
          <w:numId w:val="22"/>
        </w:numPr>
        <w:rPr>
          <w:rFonts w:cs="Arial"/>
        </w:rPr>
      </w:pPr>
      <w:r>
        <w:rPr>
          <w:b/>
        </w:rPr>
        <w:t>tenure</w:t>
      </w:r>
      <w:r>
        <w:t xml:space="preserve"> (the proportion of affordable (social rented and intermediate tenure) and ope</w:t>
      </w:r>
      <w:r w:rsidR="00642BD6">
        <w:t xml:space="preserve">n market dwellings based on </w:t>
      </w:r>
      <w:r w:rsidR="00004E0C">
        <w:t>2011 census data</w:t>
      </w:r>
      <w:r>
        <w:t>);</w:t>
      </w:r>
    </w:p>
    <w:p w:rsidR="001D4694" w:rsidRPr="001D4694" w:rsidRDefault="00EE6B85" w:rsidP="007E46FA">
      <w:pPr>
        <w:pStyle w:val="Maintext"/>
        <w:numPr>
          <w:ilvl w:val="2"/>
          <w:numId w:val="22"/>
        </w:numPr>
        <w:rPr>
          <w:rFonts w:cs="Arial"/>
        </w:rPr>
      </w:pPr>
      <w:r>
        <w:rPr>
          <w:b/>
        </w:rPr>
        <w:t>age of household reference person</w:t>
      </w:r>
      <w:r>
        <w:t xml:space="preserve"> based on the proportions of household reference people aged under 6</w:t>
      </w:r>
      <w:r w:rsidR="00004E0C">
        <w:t>5</w:t>
      </w:r>
      <w:r>
        <w:t xml:space="preserve"> and 6</w:t>
      </w:r>
      <w:r w:rsidR="00004E0C">
        <w:t>5</w:t>
      </w:r>
      <w:r>
        <w:t xml:space="preserve"> or over living in affordable and open market provision derived from </w:t>
      </w:r>
      <w:r w:rsidR="00004E0C">
        <w:t>2011 census data</w:t>
      </w:r>
      <w:r>
        <w:t xml:space="preserve">. </w:t>
      </w:r>
    </w:p>
    <w:p w:rsidR="001D4694" w:rsidRDefault="001D4694" w:rsidP="007E46FA">
      <w:pPr>
        <w:pStyle w:val="Maintext"/>
        <w:numPr>
          <w:ilvl w:val="1"/>
          <w:numId w:val="22"/>
        </w:numPr>
        <w:rPr>
          <w:rFonts w:cs="Arial"/>
        </w:rPr>
      </w:pPr>
      <w:r>
        <w:rPr>
          <w:rFonts w:cs="Arial"/>
        </w:rPr>
        <w:t>The 20</w:t>
      </w:r>
      <w:r w:rsidR="00004E0C">
        <w:rPr>
          <w:rFonts w:cs="Arial"/>
        </w:rPr>
        <w:t>1</w:t>
      </w:r>
      <w:r>
        <w:rPr>
          <w:rFonts w:cs="Arial"/>
        </w:rPr>
        <w:t xml:space="preserve">1 census </w:t>
      </w:r>
      <w:r w:rsidR="00004E0C">
        <w:rPr>
          <w:rFonts w:cs="Arial"/>
        </w:rPr>
        <w:t>is</w:t>
      </w:r>
      <w:r>
        <w:rPr>
          <w:rFonts w:cs="Arial"/>
        </w:rPr>
        <w:t xml:space="preserve"> the most comprehensive source of data for weighting which was available when the research was carried out.</w:t>
      </w:r>
    </w:p>
    <w:p w:rsidR="00642BD6" w:rsidRDefault="00642BD6" w:rsidP="007E46FA">
      <w:pPr>
        <w:pStyle w:val="Maintext"/>
        <w:numPr>
          <w:ilvl w:val="1"/>
          <w:numId w:val="22"/>
        </w:numPr>
        <w:rPr>
          <w:rFonts w:cs="Arial"/>
        </w:rPr>
      </w:pPr>
      <w:r>
        <w:rPr>
          <w:rFonts w:cs="Arial"/>
        </w:rPr>
        <w:t>The actual number of responses by tenure and age group is summarised in Table A2.</w:t>
      </w:r>
    </w:p>
    <w:p w:rsidR="00642BD6" w:rsidRPr="00642BD6" w:rsidRDefault="00642BD6" w:rsidP="00642BD6">
      <w:pPr>
        <w:pStyle w:val="Maintext"/>
        <w:numPr>
          <w:ilvl w:val="0"/>
          <w:numId w:val="0"/>
        </w:numPr>
        <w:ind w:left="709"/>
        <w:rPr>
          <w:rFonts w:cs="Arial"/>
          <w:b/>
        </w:rPr>
      </w:pPr>
    </w:p>
    <w:p w:rsidR="00642BD6" w:rsidRDefault="00642BD6" w:rsidP="00642BD6">
      <w:pPr>
        <w:pStyle w:val="Maintext"/>
        <w:numPr>
          <w:ilvl w:val="0"/>
          <w:numId w:val="0"/>
        </w:numPr>
        <w:ind w:left="709"/>
        <w:rPr>
          <w:rFonts w:cs="Arial"/>
        </w:rPr>
      </w:pPr>
      <w:r w:rsidRPr="00642BD6">
        <w:rPr>
          <w:rFonts w:cs="Arial"/>
          <w:b/>
        </w:rPr>
        <w:t>Table A2</w:t>
      </w:r>
      <w:r>
        <w:rPr>
          <w:rFonts w:cs="Arial"/>
        </w:rPr>
        <w:tab/>
        <w:t>Responses by survey area, age group and tenure group</w:t>
      </w:r>
    </w:p>
    <w:tbl>
      <w:tblPr>
        <w:tblW w:w="9400" w:type="dxa"/>
        <w:tblInd w:w="88" w:type="dxa"/>
        <w:tblLook w:val="04A0" w:firstRow="1" w:lastRow="0" w:firstColumn="1" w:lastColumn="0" w:noHBand="0" w:noVBand="1"/>
      </w:tblPr>
      <w:tblGrid>
        <w:gridCol w:w="2158"/>
        <w:gridCol w:w="1328"/>
        <w:gridCol w:w="861"/>
        <w:gridCol w:w="1128"/>
        <w:gridCol w:w="1559"/>
        <w:gridCol w:w="861"/>
        <w:gridCol w:w="1128"/>
        <w:gridCol w:w="951"/>
      </w:tblGrid>
      <w:tr w:rsidR="009F7EE4" w:rsidRPr="009F7EE4" w:rsidTr="009F7EE4">
        <w:trPr>
          <w:trHeight w:val="255"/>
        </w:trPr>
        <w:tc>
          <w:tcPr>
            <w:tcW w:w="2158" w:type="dxa"/>
            <w:tcBorders>
              <w:top w:val="single" w:sz="4" w:space="0" w:color="auto"/>
              <w:left w:val="single" w:sz="4" w:space="0" w:color="auto"/>
              <w:bottom w:val="nil"/>
              <w:right w:val="single" w:sz="4" w:space="0" w:color="auto"/>
            </w:tcBorders>
            <w:shd w:val="clear" w:color="000000" w:fill="008080"/>
            <w:noWrap/>
            <w:vAlign w:val="bottom"/>
            <w:hideMark/>
          </w:tcPr>
          <w:p w:rsidR="009F7EE4" w:rsidRPr="009F7EE4" w:rsidRDefault="009F7EE4" w:rsidP="009F7EE4">
            <w:pPr>
              <w:spacing w:before="0" w:after="0"/>
              <w:rPr>
                <w:rFonts w:cs="Arial"/>
                <w:b/>
                <w:bCs/>
                <w:color w:val="FFFFFF"/>
                <w:sz w:val="20"/>
                <w:szCs w:val="20"/>
                <w:lang w:eastAsia="en-GB"/>
              </w:rPr>
            </w:pPr>
            <w:r w:rsidRPr="009F7EE4">
              <w:rPr>
                <w:rFonts w:cs="Arial"/>
                <w:b/>
                <w:bCs/>
                <w:color w:val="FFFFFF"/>
                <w:sz w:val="20"/>
                <w:szCs w:val="20"/>
                <w:lang w:eastAsia="en-GB"/>
              </w:rPr>
              <w:t>Delivery Area</w:t>
            </w:r>
          </w:p>
        </w:tc>
        <w:tc>
          <w:tcPr>
            <w:tcW w:w="4508" w:type="dxa"/>
            <w:gridSpan w:val="4"/>
            <w:tcBorders>
              <w:top w:val="single" w:sz="4" w:space="0" w:color="auto"/>
              <w:left w:val="single" w:sz="4" w:space="0" w:color="auto"/>
              <w:bottom w:val="single" w:sz="4" w:space="0" w:color="auto"/>
              <w:right w:val="nil"/>
            </w:tcBorders>
            <w:shd w:val="clear" w:color="000000" w:fill="008080"/>
            <w:noWrap/>
            <w:vAlign w:val="bottom"/>
            <w:hideMark/>
          </w:tcPr>
          <w:p w:rsidR="009F7EE4" w:rsidRPr="009F7EE4" w:rsidRDefault="009F7EE4" w:rsidP="009F7EE4">
            <w:pPr>
              <w:spacing w:before="0" w:after="0"/>
              <w:rPr>
                <w:rFonts w:cs="Arial"/>
                <w:b/>
                <w:bCs/>
                <w:color w:val="FFFFFF"/>
                <w:sz w:val="20"/>
                <w:szCs w:val="20"/>
                <w:lang w:eastAsia="en-GB"/>
              </w:rPr>
            </w:pPr>
            <w:r w:rsidRPr="009F7EE4">
              <w:rPr>
                <w:rFonts w:cs="Arial"/>
                <w:b/>
                <w:bCs/>
                <w:color w:val="FFFFFF"/>
                <w:sz w:val="20"/>
                <w:szCs w:val="20"/>
                <w:lang w:eastAsia="en-GB"/>
              </w:rPr>
              <w:t>Household Reference Person and Tenure</w:t>
            </w:r>
          </w:p>
        </w:tc>
        <w:tc>
          <w:tcPr>
            <w:tcW w:w="832" w:type="dxa"/>
            <w:tcBorders>
              <w:top w:val="single" w:sz="4" w:space="0" w:color="auto"/>
              <w:left w:val="nil"/>
              <w:bottom w:val="single" w:sz="4" w:space="0" w:color="auto"/>
              <w:right w:val="nil"/>
            </w:tcBorders>
            <w:shd w:val="clear" w:color="000000" w:fill="008080"/>
            <w:noWrap/>
            <w:vAlign w:val="bottom"/>
            <w:hideMark/>
          </w:tcPr>
          <w:p w:rsidR="009F7EE4" w:rsidRPr="009F7EE4" w:rsidRDefault="009F7EE4" w:rsidP="009F7EE4">
            <w:pPr>
              <w:spacing w:before="0" w:after="0"/>
              <w:rPr>
                <w:rFonts w:cs="Arial"/>
                <w:b/>
                <w:bCs/>
                <w:color w:val="FFFFFF"/>
                <w:sz w:val="20"/>
                <w:szCs w:val="20"/>
                <w:lang w:eastAsia="en-GB"/>
              </w:rPr>
            </w:pPr>
            <w:r w:rsidRPr="009F7EE4">
              <w:rPr>
                <w:rFonts w:cs="Arial"/>
                <w:b/>
                <w:bCs/>
                <w:color w:val="FFFFFF"/>
                <w:sz w:val="20"/>
                <w:szCs w:val="20"/>
                <w:lang w:eastAsia="en-GB"/>
              </w:rPr>
              <w:t> </w:t>
            </w:r>
          </w:p>
        </w:tc>
        <w:tc>
          <w:tcPr>
            <w:tcW w:w="951" w:type="dxa"/>
            <w:tcBorders>
              <w:top w:val="single" w:sz="4" w:space="0" w:color="auto"/>
              <w:left w:val="nil"/>
              <w:bottom w:val="single" w:sz="4" w:space="0" w:color="auto"/>
              <w:right w:val="nil"/>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c>
          <w:tcPr>
            <w:tcW w:w="951" w:type="dxa"/>
            <w:tcBorders>
              <w:top w:val="single" w:sz="4" w:space="0" w:color="auto"/>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r>
      <w:tr w:rsidR="009F7EE4" w:rsidRPr="009F7EE4" w:rsidTr="009F7EE4">
        <w:trPr>
          <w:trHeight w:val="255"/>
        </w:trPr>
        <w:tc>
          <w:tcPr>
            <w:tcW w:w="2158" w:type="dxa"/>
            <w:tcBorders>
              <w:top w:val="nil"/>
              <w:left w:val="single" w:sz="4" w:space="0" w:color="auto"/>
              <w:bottom w:val="nil"/>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c>
          <w:tcPr>
            <w:tcW w:w="1328" w:type="dxa"/>
            <w:tcBorders>
              <w:top w:val="nil"/>
              <w:left w:val="single" w:sz="4" w:space="0" w:color="auto"/>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HRP Under 65</w:t>
            </w:r>
          </w:p>
        </w:tc>
        <w:tc>
          <w:tcPr>
            <w:tcW w:w="678" w:type="dxa"/>
            <w:tcBorders>
              <w:top w:val="nil"/>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c>
          <w:tcPr>
            <w:tcW w:w="943" w:type="dxa"/>
            <w:tcBorders>
              <w:top w:val="nil"/>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c>
          <w:tcPr>
            <w:tcW w:w="1559" w:type="dxa"/>
            <w:tcBorders>
              <w:top w:val="nil"/>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HRP 65 and over</w:t>
            </w:r>
          </w:p>
        </w:tc>
        <w:tc>
          <w:tcPr>
            <w:tcW w:w="832" w:type="dxa"/>
            <w:tcBorders>
              <w:top w:val="nil"/>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c>
          <w:tcPr>
            <w:tcW w:w="951" w:type="dxa"/>
            <w:tcBorders>
              <w:top w:val="nil"/>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c>
          <w:tcPr>
            <w:tcW w:w="951" w:type="dxa"/>
            <w:tcBorders>
              <w:top w:val="nil"/>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Total</w:t>
            </w:r>
          </w:p>
        </w:tc>
      </w:tr>
      <w:tr w:rsidR="009F7EE4" w:rsidRPr="009F7EE4" w:rsidTr="009F7EE4">
        <w:trPr>
          <w:trHeight w:val="510"/>
        </w:trPr>
        <w:tc>
          <w:tcPr>
            <w:tcW w:w="2158" w:type="dxa"/>
            <w:tcBorders>
              <w:top w:val="nil"/>
              <w:left w:val="single" w:sz="4" w:space="0" w:color="auto"/>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rPr>
                <w:rFonts w:cs="Arial"/>
                <w:color w:val="FFFFFF"/>
                <w:sz w:val="20"/>
                <w:szCs w:val="20"/>
                <w:lang w:eastAsia="en-GB"/>
              </w:rPr>
            </w:pPr>
            <w:r w:rsidRPr="009F7EE4">
              <w:rPr>
                <w:rFonts w:cs="Arial"/>
                <w:color w:val="FFFFFF"/>
                <w:sz w:val="20"/>
                <w:szCs w:val="20"/>
                <w:lang w:eastAsia="en-GB"/>
              </w:rPr>
              <w:t> </w:t>
            </w:r>
          </w:p>
        </w:tc>
        <w:tc>
          <w:tcPr>
            <w:tcW w:w="1328" w:type="dxa"/>
            <w:tcBorders>
              <w:top w:val="nil"/>
              <w:left w:val="single" w:sz="4" w:space="0" w:color="auto"/>
              <w:bottom w:val="single" w:sz="4" w:space="0" w:color="auto"/>
              <w:right w:val="single" w:sz="4" w:space="0" w:color="auto"/>
            </w:tcBorders>
            <w:shd w:val="clear" w:color="000000" w:fill="008080"/>
            <w:vAlign w:val="bottom"/>
            <w:hideMark/>
          </w:tcPr>
          <w:p w:rsidR="009F7EE4" w:rsidRPr="009F7EE4" w:rsidRDefault="009F7EE4" w:rsidP="009F7EE4">
            <w:pPr>
              <w:spacing w:before="0" w:after="0"/>
              <w:jc w:val="center"/>
              <w:rPr>
                <w:rFonts w:cs="Arial"/>
                <w:color w:val="FFFFFF"/>
                <w:sz w:val="20"/>
                <w:szCs w:val="20"/>
                <w:lang w:eastAsia="en-GB"/>
              </w:rPr>
            </w:pPr>
            <w:r w:rsidRPr="009F7EE4">
              <w:rPr>
                <w:rFonts w:cs="Arial"/>
                <w:color w:val="FFFFFF"/>
                <w:sz w:val="20"/>
                <w:szCs w:val="20"/>
                <w:lang w:eastAsia="en-GB"/>
              </w:rPr>
              <w:t>Owner Occupied</w:t>
            </w:r>
          </w:p>
        </w:tc>
        <w:tc>
          <w:tcPr>
            <w:tcW w:w="678" w:type="dxa"/>
            <w:tcBorders>
              <w:top w:val="nil"/>
              <w:left w:val="nil"/>
              <w:bottom w:val="single" w:sz="4" w:space="0" w:color="auto"/>
              <w:right w:val="single" w:sz="4" w:space="0" w:color="auto"/>
            </w:tcBorders>
            <w:shd w:val="clear" w:color="000000" w:fill="008080"/>
            <w:vAlign w:val="bottom"/>
            <w:hideMark/>
          </w:tcPr>
          <w:p w:rsidR="009F7EE4" w:rsidRPr="009F7EE4" w:rsidRDefault="009F7EE4" w:rsidP="009F7EE4">
            <w:pPr>
              <w:spacing w:before="0" w:after="0"/>
              <w:jc w:val="center"/>
              <w:rPr>
                <w:rFonts w:cs="Arial"/>
                <w:color w:val="FFFFFF"/>
                <w:sz w:val="20"/>
                <w:szCs w:val="20"/>
                <w:lang w:eastAsia="en-GB"/>
              </w:rPr>
            </w:pPr>
            <w:r w:rsidRPr="009F7EE4">
              <w:rPr>
                <w:rFonts w:cs="Arial"/>
                <w:color w:val="FFFFFF"/>
                <w:sz w:val="20"/>
                <w:szCs w:val="20"/>
                <w:lang w:eastAsia="en-GB"/>
              </w:rPr>
              <w:t>Private Rented</w:t>
            </w:r>
          </w:p>
        </w:tc>
        <w:tc>
          <w:tcPr>
            <w:tcW w:w="943" w:type="dxa"/>
            <w:tcBorders>
              <w:top w:val="nil"/>
              <w:left w:val="nil"/>
              <w:bottom w:val="single" w:sz="4" w:space="0" w:color="auto"/>
              <w:right w:val="single" w:sz="4" w:space="0" w:color="auto"/>
            </w:tcBorders>
            <w:shd w:val="clear" w:color="000000" w:fill="008080"/>
            <w:vAlign w:val="bottom"/>
            <w:hideMark/>
          </w:tcPr>
          <w:p w:rsidR="009F7EE4" w:rsidRPr="009F7EE4" w:rsidRDefault="009F7EE4" w:rsidP="009F7EE4">
            <w:pPr>
              <w:spacing w:before="0" w:after="0"/>
              <w:jc w:val="center"/>
              <w:rPr>
                <w:rFonts w:cs="Arial"/>
                <w:color w:val="FFFFFF"/>
                <w:sz w:val="20"/>
                <w:szCs w:val="20"/>
                <w:lang w:eastAsia="en-GB"/>
              </w:rPr>
            </w:pPr>
            <w:r w:rsidRPr="009F7EE4">
              <w:rPr>
                <w:rFonts w:cs="Arial"/>
                <w:color w:val="FFFFFF"/>
                <w:sz w:val="20"/>
                <w:szCs w:val="20"/>
                <w:lang w:eastAsia="en-GB"/>
              </w:rPr>
              <w:t>Affordable</w:t>
            </w:r>
          </w:p>
        </w:tc>
        <w:tc>
          <w:tcPr>
            <w:tcW w:w="1559" w:type="dxa"/>
            <w:tcBorders>
              <w:top w:val="nil"/>
              <w:left w:val="nil"/>
              <w:bottom w:val="single" w:sz="4" w:space="0" w:color="auto"/>
              <w:right w:val="single" w:sz="4" w:space="0" w:color="auto"/>
            </w:tcBorders>
            <w:shd w:val="clear" w:color="000000" w:fill="008080"/>
            <w:vAlign w:val="bottom"/>
            <w:hideMark/>
          </w:tcPr>
          <w:p w:rsidR="009F7EE4" w:rsidRPr="009F7EE4" w:rsidRDefault="009F7EE4" w:rsidP="009F7EE4">
            <w:pPr>
              <w:spacing w:before="0" w:after="0"/>
              <w:jc w:val="center"/>
              <w:rPr>
                <w:rFonts w:cs="Arial"/>
                <w:color w:val="FFFFFF"/>
                <w:sz w:val="20"/>
                <w:szCs w:val="20"/>
                <w:lang w:eastAsia="en-GB"/>
              </w:rPr>
            </w:pPr>
            <w:r w:rsidRPr="009F7EE4">
              <w:rPr>
                <w:rFonts w:cs="Arial"/>
                <w:color w:val="FFFFFF"/>
                <w:sz w:val="20"/>
                <w:szCs w:val="20"/>
                <w:lang w:eastAsia="en-GB"/>
              </w:rPr>
              <w:t>Owner Occupied</w:t>
            </w:r>
          </w:p>
        </w:tc>
        <w:tc>
          <w:tcPr>
            <w:tcW w:w="832" w:type="dxa"/>
            <w:tcBorders>
              <w:top w:val="nil"/>
              <w:left w:val="nil"/>
              <w:bottom w:val="single" w:sz="4" w:space="0" w:color="auto"/>
              <w:right w:val="single" w:sz="4" w:space="0" w:color="auto"/>
            </w:tcBorders>
            <w:shd w:val="clear" w:color="000000" w:fill="008080"/>
            <w:vAlign w:val="bottom"/>
            <w:hideMark/>
          </w:tcPr>
          <w:p w:rsidR="009F7EE4" w:rsidRPr="009F7EE4" w:rsidRDefault="009F7EE4" w:rsidP="009F7EE4">
            <w:pPr>
              <w:spacing w:before="0" w:after="0"/>
              <w:jc w:val="center"/>
              <w:rPr>
                <w:rFonts w:cs="Arial"/>
                <w:color w:val="FFFFFF"/>
                <w:sz w:val="20"/>
                <w:szCs w:val="20"/>
                <w:lang w:eastAsia="en-GB"/>
              </w:rPr>
            </w:pPr>
            <w:r w:rsidRPr="009F7EE4">
              <w:rPr>
                <w:rFonts w:cs="Arial"/>
                <w:color w:val="FFFFFF"/>
                <w:sz w:val="20"/>
                <w:szCs w:val="20"/>
                <w:lang w:eastAsia="en-GB"/>
              </w:rPr>
              <w:t>Private Rented</w:t>
            </w:r>
          </w:p>
        </w:tc>
        <w:tc>
          <w:tcPr>
            <w:tcW w:w="951" w:type="dxa"/>
            <w:tcBorders>
              <w:top w:val="nil"/>
              <w:left w:val="nil"/>
              <w:bottom w:val="single" w:sz="4" w:space="0" w:color="auto"/>
              <w:right w:val="single" w:sz="4" w:space="0" w:color="auto"/>
            </w:tcBorders>
            <w:shd w:val="clear" w:color="000000" w:fill="008080"/>
            <w:vAlign w:val="bottom"/>
            <w:hideMark/>
          </w:tcPr>
          <w:p w:rsidR="009F7EE4" w:rsidRPr="009F7EE4" w:rsidRDefault="009F7EE4" w:rsidP="009F7EE4">
            <w:pPr>
              <w:spacing w:before="0" w:after="0"/>
              <w:jc w:val="center"/>
              <w:rPr>
                <w:rFonts w:cs="Arial"/>
                <w:color w:val="FFFFFF"/>
                <w:sz w:val="20"/>
                <w:szCs w:val="20"/>
                <w:lang w:eastAsia="en-GB"/>
              </w:rPr>
            </w:pPr>
            <w:r w:rsidRPr="009F7EE4">
              <w:rPr>
                <w:rFonts w:cs="Arial"/>
                <w:color w:val="FFFFFF"/>
                <w:sz w:val="20"/>
                <w:szCs w:val="20"/>
                <w:lang w:eastAsia="en-GB"/>
              </w:rPr>
              <w:t>Affordable</w:t>
            </w:r>
          </w:p>
        </w:tc>
        <w:tc>
          <w:tcPr>
            <w:tcW w:w="951" w:type="dxa"/>
            <w:tcBorders>
              <w:top w:val="nil"/>
              <w:left w:val="nil"/>
              <w:bottom w:val="single" w:sz="4" w:space="0" w:color="auto"/>
              <w:right w:val="single" w:sz="4" w:space="0" w:color="auto"/>
            </w:tcBorders>
            <w:shd w:val="clear" w:color="000000" w:fill="008080"/>
            <w:noWrap/>
            <w:vAlign w:val="bottom"/>
            <w:hideMark/>
          </w:tcPr>
          <w:p w:rsidR="009F7EE4" w:rsidRPr="009F7EE4" w:rsidRDefault="009F7EE4" w:rsidP="009F7EE4">
            <w:pPr>
              <w:spacing w:before="0" w:after="0"/>
              <w:jc w:val="center"/>
              <w:rPr>
                <w:rFonts w:cs="Arial"/>
                <w:color w:val="FFFFFF"/>
                <w:sz w:val="20"/>
                <w:szCs w:val="20"/>
                <w:lang w:eastAsia="en-GB"/>
              </w:rPr>
            </w:pPr>
            <w:r w:rsidRPr="009F7EE4">
              <w:rPr>
                <w:rFonts w:cs="Arial"/>
                <w:color w:val="FFFFFF"/>
                <w:sz w:val="20"/>
                <w:szCs w:val="20"/>
                <w:lang w:eastAsia="en-GB"/>
              </w:rPr>
              <w:t> </w:t>
            </w:r>
          </w:p>
        </w:tc>
      </w:tr>
      <w:tr w:rsidR="009F7EE4" w:rsidRPr="009F7EE4" w:rsidTr="009F7EE4">
        <w:trPr>
          <w:trHeight w:val="255"/>
        </w:trPr>
        <w:tc>
          <w:tcPr>
            <w:tcW w:w="2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rPr>
                <w:rFonts w:cs="Arial"/>
                <w:sz w:val="20"/>
                <w:szCs w:val="20"/>
                <w:lang w:eastAsia="en-GB"/>
              </w:rPr>
            </w:pPr>
            <w:r w:rsidRPr="009F7EE4">
              <w:rPr>
                <w:rFonts w:cs="Arial"/>
                <w:sz w:val="20"/>
                <w:szCs w:val="20"/>
                <w:lang w:eastAsia="en-GB"/>
              </w:rPr>
              <w:t>Central Durham</w:t>
            </w:r>
          </w:p>
        </w:tc>
        <w:tc>
          <w:tcPr>
            <w:tcW w:w="132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445</w:t>
            </w:r>
          </w:p>
        </w:tc>
        <w:tc>
          <w:tcPr>
            <w:tcW w:w="67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50</w:t>
            </w:r>
          </w:p>
        </w:tc>
        <w:tc>
          <w:tcPr>
            <w:tcW w:w="943"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77</w:t>
            </w:r>
          </w:p>
        </w:tc>
        <w:tc>
          <w:tcPr>
            <w:tcW w:w="1559"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258</w:t>
            </w:r>
          </w:p>
        </w:tc>
        <w:tc>
          <w:tcPr>
            <w:tcW w:w="832"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7</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104</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941</w:t>
            </w:r>
          </w:p>
        </w:tc>
      </w:tr>
      <w:tr w:rsidR="009F7EE4" w:rsidRPr="009F7EE4" w:rsidTr="009F7EE4">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rPr>
                <w:rFonts w:cs="Arial"/>
                <w:sz w:val="20"/>
                <w:szCs w:val="20"/>
                <w:lang w:eastAsia="en-GB"/>
              </w:rPr>
            </w:pPr>
            <w:r w:rsidRPr="009F7EE4">
              <w:rPr>
                <w:rFonts w:cs="Arial"/>
                <w:sz w:val="20"/>
                <w:szCs w:val="20"/>
                <w:lang w:eastAsia="en-GB"/>
              </w:rPr>
              <w:t>North Durham</w:t>
            </w:r>
          </w:p>
        </w:tc>
        <w:tc>
          <w:tcPr>
            <w:tcW w:w="132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681</w:t>
            </w:r>
          </w:p>
        </w:tc>
        <w:tc>
          <w:tcPr>
            <w:tcW w:w="67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50</w:t>
            </w:r>
          </w:p>
        </w:tc>
        <w:tc>
          <w:tcPr>
            <w:tcW w:w="943"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142</w:t>
            </w:r>
          </w:p>
        </w:tc>
        <w:tc>
          <w:tcPr>
            <w:tcW w:w="1559"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470</w:t>
            </w:r>
          </w:p>
        </w:tc>
        <w:tc>
          <w:tcPr>
            <w:tcW w:w="832"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170</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1528</w:t>
            </w:r>
          </w:p>
        </w:tc>
      </w:tr>
      <w:tr w:rsidR="009F7EE4" w:rsidRPr="009F7EE4" w:rsidTr="009F7EE4">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rPr>
                <w:rFonts w:cs="Arial"/>
                <w:sz w:val="20"/>
                <w:szCs w:val="20"/>
                <w:lang w:eastAsia="en-GB"/>
              </w:rPr>
            </w:pPr>
            <w:r w:rsidRPr="009F7EE4">
              <w:rPr>
                <w:rFonts w:cs="Arial"/>
                <w:sz w:val="20"/>
                <w:szCs w:val="20"/>
                <w:lang w:eastAsia="en-GB"/>
              </w:rPr>
              <w:t>East Durham</w:t>
            </w:r>
          </w:p>
        </w:tc>
        <w:tc>
          <w:tcPr>
            <w:tcW w:w="132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364</w:t>
            </w:r>
          </w:p>
        </w:tc>
        <w:tc>
          <w:tcPr>
            <w:tcW w:w="67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38</w:t>
            </w:r>
          </w:p>
        </w:tc>
        <w:tc>
          <w:tcPr>
            <w:tcW w:w="943"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110</w:t>
            </w:r>
          </w:p>
        </w:tc>
        <w:tc>
          <w:tcPr>
            <w:tcW w:w="1559"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247</w:t>
            </w:r>
          </w:p>
        </w:tc>
        <w:tc>
          <w:tcPr>
            <w:tcW w:w="832"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4</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123</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886</w:t>
            </w:r>
          </w:p>
        </w:tc>
      </w:tr>
      <w:tr w:rsidR="009F7EE4" w:rsidRPr="009F7EE4" w:rsidTr="009F7EE4">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rPr>
                <w:rFonts w:cs="Arial"/>
                <w:sz w:val="20"/>
                <w:szCs w:val="20"/>
                <w:lang w:eastAsia="en-GB"/>
              </w:rPr>
            </w:pPr>
            <w:r w:rsidRPr="009F7EE4">
              <w:rPr>
                <w:rFonts w:cs="Arial"/>
                <w:sz w:val="20"/>
                <w:szCs w:val="20"/>
                <w:lang w:eastAsia="en-GB"/>
              </w:rPr>
              <w:t>South Durham</w:t>
            </w:r>
          </w:p>
        </w:tc>
        <w:tc>
          <w:tcPr>
            <w:tcW w:w="132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778</w:t>
            </w:r>
          </w:p>
        </w:tc>
        <w:tc>
          <w:tcPr>
            <w:tcW w:w="67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76</w:t>
            </w:r>
          </w:p>
        </w:tc>
        <w:tc>
          <w:tcPr>
            <w:tcW w:w="943"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171</w:t>
            </w:r>
          </w:p>
        </w:tc>
        <w:tc>
          <w:tcPr>
            <w:tcW w:w="1559"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533</w:t>
            </w:r>
          </w:p>
        </w:tc>
        <w:tc>
          <w:tcPr>
            <w:tcW w:w="832"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234</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1807</w:t>
            </w:r>
          </w:p>
        </w:tc>
      </w:tr>
      <w:tr w:rsidR="009F7EE4" w:rsidRPr="009F7EE4" w:rsidTr="009F7EE4">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rPr>
                <w:rFonts w:cs="Arial"/>
                <w:sz w:val="20"/>
                <w:szCs w:val="20"/>
                <w:lang w:eastAsia="en-GB"/>
              </w:rPr>
            </w:pPr>
            <w:r w:rsidRPr="009F7EE4">
              <w:rPr>
                <w:rFonts w:cs="Arial"/>
                <w:sz w:val="20"/>
                <w:szCs w:val="20"/>
                <w:lang w:eastAsia="en-GB"/>
              </w:rPr>
              <w:t>The Dales</w:t>
            </w:r>
          </w:p>
        </w:tc>
        <w:tc>
          <w:tcPr>
            <w:tcW w:w="132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451</w:t>
            </w:r>
          </w:p>
        </w:tc>
        <w:tc>
          <w:tcPr>
            <w:tcW w:w="67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72</w:t>
            </w:r>
          </w:p>
        </w:tc>
        <w:tc>
          <w:tcPr>
            <w:tcW w:w="943"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48</w:t>
            </w:r>
          </w:p>
        </w:tc>
        <w:tc>
          <w:tcPr>
            <w:tcW w:w="1559"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383</w:t>
            </w:r>
          </w:p>
        </w:tc>
        <w:tc>
          <w:tcPr>
            <w:tcW w:w="832"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31</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69</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sz w:val="20"/>
                <w:szCs w:val="20"/>
                <w:lang w:eastAsia="en-GB"/>
              </w:rPr>
            </w:pPr>
            <w:r w:rsidRPr="009F7EE4">
              <w:rPr>
                <w:rFonts w:cs="Arial"/>
                <w:sz w:val="20"/>
                <w:szCs w:val="20"/>
                <w:lang w:eastAsia="en-GB"/>
              </w:rPr>
              <w:t>1054</w:t>
            </w:r>
          </w:p>
        </w:tc>
      </w:tr>
      <w:tr w:rsidR="009F7EE4" w:rsidRPr="009F7EE4" w:rsidTr="009F7EE4">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rPr>
                <w:rFonts w:cs="Arial"/>
                <w:b/>
                <w:bCs/>
                <w:sz w:val="20"/>
                <w:szCs w:val="20"/>
                <w:lang w:eastAsia="en-GB"/>
              </w:rPr>
            </w:pPr>
            <w:r w:rsidRPr="009F7EE4">
              <w:rPr>
                <w:rFonts w:cs="Arial"/>
                <w:b/>
                <w:bCs/>
                <w:sz w:val="20"/>
                <w:szCs w:val="20"/>
                <w:lang w:eastAsia="en-GB"/>
              </w:rPr>
              <w:t>Total</w:t>
            </w:r>
          </w:p>
        </w:tc>
        <w:tc>
          <w:tcPr>
            <w:tcW w:w="132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b/>
                <w:bCs/>
                <w:sz w:val="20"/>
                <w:szCs w:val="20"/>
                <w:lang w:eastAsia="en-GB"/>
              </w:rPr>
            </w:pPr>
            <w:r w:rsidRPr="009F7EE4">
              <w:rPr>
                <w:rFonts w:cs="Arial"/>
                <w:b/>
                <w:bCs/>
                <w:sz w:val="20"/>
                <w:szCs w:val="20"/>
                <w:lang w:eastAsia="en-GB"/>
              </w:rPr>
              <w:t>2719</w:t>
            </w:r>
          </w:p>
        </w:tc>
        <w:tc>
          <w:tcPr>
            <w:tcW w:w="678"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b/>
                <w:bCs/>
                <w:sz w:val="20"/>
                <w:szCs w:val="20"/>
                <w:lang w:eastAsia="en-GB"/>
              </w:rPr>
            </w:pPr>
            <w:r w:rsidRPr="009F7EE4">
              <w:rPr>
                <w:rFonts w:cs="Arial"/>
                <w:b/>
                <w:bCs/>
                <w:sz w:val="20"/>
                <w:szCs w:val="20"/>
                <w:lang w:eastAsia="en-GB"/>
              </w:rPr>
              <w:t>286</w:t>
            </w:r>
          </w:p>
        </w:tc>
        <w:tc>
          <w:tcPr>
            <w:tcW w:w="943"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b/>
                <w:bCs/>
                <w:sz w:val="20"/>
                <w:szCs w:val="20"/>
                <w:lang w:eastAsia="en-GB"/>
              </w:rPr>
            </w:pPr>
            <w:r w:rsidRPr="009F7EE4">
              <w:rPr>
                <w:rFonts w:cs="Arial"/>
                <w:b/>
                <w:bCs/>
                <w:sz w:val="20"/>
                <w:szCs w:val="20"/>
                <w:lang w:eastAsia="en-GB"/>
              </w:rPr>
              <w:t>548</w:t>
            </w:r>
          </w:p>
        </w:tc>
        <w:tc>
          <w:tcPr>
            <w:tcW w:w="1559"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b/>
                <w:bCs/>
                <w:sz w:val="20"/>
                <w:szCs w:val="20"/>
                <w:lang w:eastAsia="en-GB"/>
              </w:rPr>
            </w:pPr>
            <w:r w:rsidRPr="009F7EE4">
              <w:rPr>
                <w:rFonts w:cs="Arial"/>
                <w:b/>
                <w:bCs/>
                <w:sz w:val="20"/>
                <w:szCs w:val="20"/>
                <w:lang w:eastAsia="en-GB"/>
              </w:rPr>
              <w:t>1891</w:t>
            </w:r>
          </w:p>
        </w:tc>
        <w:tc>
          <w:tcPr>
            <w:tcW w:w="832"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b/>
                <w:bCs/>
                <w:sz w:val="20"/>
                <w:szCs w:val="20"/>
                <w:lang w:eastAsia="en-GB"/>
              </w:rPr>
            </w:pPr>
            <w:r w:rsidRPr="009F7EE4">
              <w:rPr>
                <w:rFonts w:cs="Arial"/>
                <w:b/>
                <w:bCs/>
                <w:sz w:val="20"/>
                <w:szCs w:val="20"/>
                <w:lang w:eastAsia="en-GB"/>
              </w:rPr>
              <w:t>72</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b/>
                <w:bCs/>
                <w:sz w:val="20"/>
                <w:szCs w:val="20"/>
                <w:lang w:eastAsia="en-GB"/>
              </w:rPr>
            </w:pPr>
            <w:r w:rsidRPr="009F7EE4">
              <w:rPr>
                <w:rFonts w:cs="Arial"/>
                <w:b/>
                <w:bCs/>
                <w:sz w:val="20"/>
                <w:szCs w:val="20"/>
                <w:lang w:eastAsia="en-GB"/>
              </w:rPr>
              <w:t>700</w:t>
            </w:r>
          </w:p>
        </w:tc>
        <w:tc>
          <w:tcPr>
            <w:tcW w:w="951" w:type="dxa"/>
            <w:tcBorders>
              <w:top w:val="nil"/>
              <w:left w:val="nil"/>
              <w:bottom w:val="single" w:sz="4" w:space="0" w:color="auto"/>
              <w:right w:val="single" w:sz="4" w:space="0" w:color="auto"/>
            </w:tcBorders>
            <w:shd w:val="clear" w:color="auto" w:fill="auto"/>
            <w:noWrap/>
            <w:vAlign w:val="bottom"/>
            <w:hideMark/>
          </w:tcPr>
          <w:p w:rsidR="009F7EE4" w:rsidRPr="009F7EE4" w:rsidRDefault="009F7EE4" w:rsidP="009F7EE4">
            <w:pPr>
              <w:spacing w:before="0" w:after="0"/>
              <w:jc w:val="center"/>
              <w:rPr>
                <w:rFonts w:cs="Arial"/>
                <w:b/>
                <w:bCs/>
                <w:sz w:val="20"/>
                <w:szCs w:val="20"/>
                <w:lang w:eastAsia="en-GB"/>
              </w:rPr>
            </w:pPr>
            <w:r w:rsidRPr="009F7EE4">
              <w:rPr>
                <w:rFonts w:cs="Arial"/>
                <w:b/>
                <w:bCs/>
                <w:sz w:val="20"/>
                <w:szCs w:val="20"/>
                <w:lang w:eastAsia="en-GB"/>
              </w:rPr>
              <w:t>6216</w:t>
            </w:r>
          </w:p>
        </w:tc>
      </w:tr>
    </w:tbl>
    <w:p w:rsidR="00642BD6" w:rsidRDefault="00642BD6" w:rsidP="00642BD6">
      <w:pPr>
        <w:pStyle w:val="Maintext"/>
        <w:numPr>
          <w:ilvl w:val="0"/>
          <w:numId w:val="0"/>
        </w:numPr>
        <w:ind w:left="709"/>
      </w:pPr>
    </w:p>
    <w:p w:rsidR="00642BD6" w:rsidRDefault="00582920" w:rsidP="00642BD6">
      <w:pPr>
        <w:pStyle w:val="Maintext"/>
        <w:numPr>
          <w:ilvl w:val="1"/>
          <w:numId w:val="22"/>
        </w:numPr>
        <w:rPr>
          <w:rFonts w:cs="Arial"/>
        </w:rPr>
      </w:pPr>
      <w:r>
        <w:rPr>
          <w:rFonts w:cs="Arial"/>
        </w:rPr>
        <w:t>The responses were compared with baseline i</w:t>
      </w:r>
      <w:r w:rsidR="006A5CD6">
        <w:rPr>
          <w:rFonts w:cs="Arial"/>
        </w:rPr>
        <w:t xml:space="preserve">nformation derived from the 2011 census </w:t>
      </w:r>
      <w:r>
        <w:rPr>
          <w:rFonts w:cs="Arial"/>
        </w:rPr>
        <w:t>(Table A3) to derive the weighting/grossing figure to be applied to survey responses (Table A4).</w:t>
      </w:r>
    </w:p>
    <w:p w:rsidR="00642BD6" w:rsidRDefault="00642BD6" w:rsidP="00642BD6">
      <w:pPr>
        <w:pStyle w:val="Maintext"/>
        <w:numPr>
          <w:ilvl w:val="0"/>
          <w:numId w:val="0"/>
        </w:numPr>
        <w:ind w:left="709"/>
        <w:rPr>
          <w:rFonts w:cs="Arial"/>
        </w:rPr>
      </w:pPr>
    </w:p>
    <w:p w:rsidR="006A5CD6" w:rsidRDefault="00642BD6" w:rsidP="006A5CD6">
      <w:pPr>
        <w:pStyle w:val="Maintext"/>
        <w:numPr>
          <w:ilvl w:val="0"/>
          <w:numId w:val="0"/>
        </w:numPr>
        <w:ind w:left="709"/>
        <w:rPr>
          <w:rFonts w:cs="Arial"/>
        </w:rPr>
      </w:pPr>
      <w:r>
        <w:rPr>
          <w:rFonts w:cs="Arial"/>
          <w:b/>
        </w:rPr>
        <w:br w:type="page"/>
      </w:r>
      <w:r w:rsidRPr="00642BD6">
        <w:rPr>
          <w:rFonts w:cs="Arial"/>
          <w:b/>
        </w:rPr>
        <w:t>Table A</w:t>
      </w:r>
      <w:r>
        <w:rPr>
          <w:rFonts w:cs="Arial"/>
          <w:b/>
        </w:rPr>
        <w:t>3</w:t>
      </w:r>
      <w:r w:rsidR="006A5CD6">
        <w:rPr>
          <w:rFonts w:cs="Arial"/>
        </w:rPr>
        <w:tab/>
        <w:t>Baseline households by delivery</w:t>
      </w:r>
      <w:r>
        <w:rPr>
          <w:rFonts w:cs="Arial"/>
        </w:rPr>
        <w:t xml:space="preserve"> area, age group and tenure group</w:t>
      </w:r>
    </w:p>
    <w:tbl>
      <w:tblPr>
        <w:tblW w:w="9974" w:type="dxa"/>
        <w:tblInd w:w="88" w:type="dxa"/>
        <w:tblLook w:val="04A0" w:firstRow="1" w:lastRow="0" w:firstColumn="1" w:lastColumn="0" w:noHBand="0" w:noVBand="1"/>
      </w:tblPr>
      <w:tblGrid>
        <w:gridCol w:w="2158"/>
        <w:gridCol w:w="1328"/>
        <w:gridCol w:w="861"/>
        <w:gridCol w:w="1128"/>
        <w:gridCol w:w="1559"/>
        <w:gridCol w:w="861"/>
        <w:gridCol w:w="1128"/>
        <w:gridCol w:w="951"/>
      </w:tblGrid>
      <w:tr w:rsidR="006A5CD6" w:rsidRPr="006A5CD6" w:rsidTr="00004E0C">
        <w:trPr>
          <w:trHeight w:val="255"/>
        </w:trPr>
        <w:tc>
          <w:tcPr>
            <w:tcW w:w="2158" w:type="dxa"/>
            <w:tcBorders>
              <w:top w:val="single" w:sz="4" w:space="0" w:color="auto"/>
              <w:left w:val="single" w:sz="4" w:space="0" w:color="auto"/>
              <w:bottom w:val="nil"/>
              <w:right w:val="single" w:sz="4" w:space="0" w:color="auto"/>
            </w:tcBorders>
            <w:shd w:val="clear" w:color="000000" w:fill="008080"/>
            <w:noWrap/>
            <w:vAlign w:val="bottom"/>
            <w:hideMark/>
          </w:tcPr>
          <w:p w:rsidR="006A5CD6" w:rsidRPr="006A5CD6" w:rsidRDefault="006A5CD6" w:rsidP="006A5CD6">
            <w:pPr>
              <w:spacing w:before="0" w:after="0"/>
              <w:rPr>
                <w:rFonts w:cs="Arial"/>
                <w:b/>
                <w:bCs/>
                <w:color w:val="FFFFFF"/>
                <w:sz w:val="20"/>
                <w:szCs w:val="20"/>
                <w:lang w:eastAsia="en-GB"/>
              </w:rPr>
            </w:pPr>
            <w:r w:rsidRPr="006A5CD6">
              <w:rPr>
                <w:rFonts w:cs="Arial"/>
                <w:b/>
                <w:bCs/>
                <w:color w:val="FFFFFF"/>
                <w:sz w:val="20"/>
                <w:szCs w:val="20"/>
                <w:lang w:eastAsia="en-GB"/>
              </w:rPr>
              <w:t>Delivery Area</w:t>
            </w:r>
          </w:p>
        </w:tc>
        <w:tc>
          <w:tcPr>
            <w:tcW w:w="4876" w:type="dxa"/>
            <w:gridSpan w:val="4"/>
            <w:tcBorders>
              <w:top w:val="single" w:sz="4" w:space="0" w:color="auto"/>
              <w:left w:val="single" w:sz="4" w:space="0" w:color="auto"/>
              <w:bottom w:val="single" w:sz="4" w:space="0" w:color="auto"/>
              <w:right w:val="nil"/>
            </w:tcBorders>
            <w:shd w:val="clear" w:color="000000" w:fill="008080"/>
            <w:noWrap/>
            <w:vAlign w:val="bottom"/>
            <w:hideMark/>
          </w:tcPr>
          <w:p w:rsidR="006A5CD6" w:rsidRPr="006A5CD6" w:rsidRDefault="006A5CD6" w:rsidP="006A5CD6">
            <w:pPr>
              <w:spacing w:before="0" w:after="0"/>
              <w:rPr>
                <w:rFonts w:cs="Arial"/>
                <w:b/>
                <w:bCs/>
                <w:color w:val="FFFFFF"/>
                <w:sz w:val="20"/>
                <w:szCs w:val="20"/>
                <w:lang w:eastAsia="en-GB"/>
              </w:rPr>
            </w:pPr>
            <w:r w:rsidRPr="006A5CD6">
              <w:rPr>
                <w:rFonts w:cs="Arial"/>
                <w:b/>
                <w:bCs/>
                <w:color w:val="FFFFFF"/>
                <w:sz w:val="20"/>
                <w:szCs w:val="20"/>
                <w:lang w:eastAsia="en-GB"/>
              </w:rPr>
              <w:t>Household Reference Person and Tenure</w:t>
            </w:r>
          </w:p>
        </w:tc>
        <w:tc>
          <w:tcPr>
            <w:tcW w:w="861" w:type="dxa"/>
            <w:tcBorders>
              <w:top w:val="single" w:sz="4" w:space="0" w:color="auto"/>
              <w:left w:val="nil"/>
              <w:bottom w:val="single" w:sz="4" w:space="0" w:color="auto"/>
              <w:right w:val="nil"/>
            </w:tcBorders>
            <w:shd w:val="clear" w:color="000000" w:fill="008080"/>
            <w:noWrap/>
            <w:vAlign w:val="bottom"/>
            <w:hideMark/>
          </w:tcPr>
          <w:p w:rsidR="006A5CD6" w:rsidRPr="006A5CD6" w:rsidRDefault="006A5CD6" w:rsidP="006A5CD6">
            <w:pPr>
              <w:spacing w:before="0" w:after="0"/>
              <w:rPr>
                <w:rFonts w:cs="Arial"/>
                <w:b/>
                <w:bCs/>
                <w:color w:val="FFFFFF"/>
                <w:sz w:val="20"/>
                <w:szCs w:val="20"/>
                <w:lang w:eastAsia="en-GB"/>
              </w:rPr>
            </w:pPr>
            <w:r w:rsidRPr="006A5CD6">
              <w:rPr>
                <w:rFonts w:cs="Arial"/>
                <w:b/>
                <w:bCs/>
                <w:color w:val="FFFFFF"/>
                <w:sz w:val="20"/>
                <w:szCs w:val="20"/>
                <w:lang w:eastAsia="en-GB"/>
              </w:rPr>
              <w:t> </w:t>
            </w:r>
          </w:p>
        </w:tc>
        <w:tc>
          <w:tcPr>
            <w:tcW w:w="1128" w:type="dxa"/>
            <w:tcBorders>
              <w:top w:val="single" w:sz="4" w:space="0" w:color="auto"/>
              <w:left w:val="nil"/>
              <w:bottom w:val="single" w:sz="4" w:space="0" w:color="auto"/>
              <w:right w:val="nil"/>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r w:rsidRPr="006A5CD6">
              <w:rPr>
                <w:rFonts w:cs="Arial"/>
                <w:color w:val="FFFFFF"/>
                <w:sz w:val="20"/>
                <w:szCs w:val="20"/>
                <w:lang w:eastAsia="en-GB"/>
              </w:rPr>
              <w:t> </w:t>
            </w:r>
          </w:p>
        </w:tc>
        <w:tc>
          <w:tcPr>
            <w:tcW w:w="951" w:type="dxa"/>
            <w:tcBorders>
              <w:top w:val="single" w:sz="4" w:space="0" w:color="auto"/>
              <w:left w:val="nil"/>
              <w:bottom w:val="single" w:sz="4" w:space="0" w:color="auto"/>
              <w:right w:val="single" w:sz="4" w:space="0" w:color="auto"/>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r w:rsidRPr="006A5CD6">
              <w:rPr>
                <w:rFonts w:cs="Arial"/>
                <w:color w:val="FFFFFF"/>
                <w:sz w:val="20"/>
                <w:szCs w:val="20"/>
                <w:lang w:eastAsia="en-GB"/>
              </w:rPr>
              <w:t> </w:t>
            </w:r>
          </w:p>
        </w:tc>
      </w:tr>
      <w:tr w:rsidR="00004E0C" w:rsidRPr="006A5CD6" w:rsidTr="00004E0C">
        <w:trPr>
          <w:trHeight w:val="255"/>
        </w:trPr>
        <w:tc>
          <w:tcPr>
            <w:tcW w:w="2158" w:type="dxa"/>
            <w:tcBorders>
              <w:top w:val="nil"/>
              <w:left w:val="single" w:sz="4" w:space="0" w:color="auto"/>
              <w:bottom w:val="nil"/>
              <w:right w:val="single" w:sz="4" w:space="0" w:color="auto"/>
            </w:tcBorders>
            <w:shd w:val="clear" w:color="000000" w:fill="008080"/>
            <w:noWrap/>
            <w:vAlign w:val="bottom"/>
            <w:hideMark/>
          </w:tcPr>
          <w:p w:rsidR="00004E0C" w:rsidRPr="006A5CD6" w:rsidRDefault="00004E0C" w:rsidP="006A5CD6">
            <w:pPr>
              <w:spacing w:before="0" w:after="0"/>
              <w:rPr>
                <w:rFonts w:cs="Arial"/>
                <w:color w:val="FFFFFF"/>
                <w:sz w:val="20"/>
                <w:szCs w:val="20"/>
                <w:lang w:eastAsia="en-GB"/>
              </w:rPr>
            </w:pPr>
          </w:p>
        </w:tc>
        <w:tc>
          <w:tcPr>
            <w:tcW w:w="3317" w:type="dxa"/>
            <w:gridSpan w:val="3"/>
            <w:tcBorders>
              <w:top w:val="nil"/>
              <w:left w:val="single" w:sz="4" w:space="0" w:color="auto"/>
              <w:bottom w:val="single" w:sz="4" w:space="0" w:color="auto"/>
              <w:right w:val="single" w:sz="4" w:space="0" w:color="auto"/>
            </w:tcBorders>
            <w:shd w:val="clear" w:color="000000" w:fill="008080"/>
            <w:noWrap/>
            <w:vAlign w:val="bottom"/>
            <w:hideMark/>
          </w:tcPr>
          <w:p w:rsidR="00004E0C" w:rsidRPr="006A5CD6" w:rsidRDefault="00004E0C" w:rsidP="006A5CD6">
            <w:pPr>
              <w:spacing w:before="0" w:after="0"/>
              <w:rPr>
                <w:rFonts w:cs="Arial"/>
                <w:color w:val="FFFFFF"/>
                <w:sz w:val="20"/>
                <w:szCs w:val="20"/>
                <w:lang w:eastAsia="en-GB"/>
              </w:rPr>
            </w:pPr>
            <w:r w:rsidRPr="006A5CD6">
              <w:rPr>
                <w:rFonts w:cs="Arial"/>
                <w:color w:val="FFFFFF"/>
                <w:sz w:val="20"/>
                <w:szCs w:val="20"/>
                <w:lang w:eastAsia="en-GB"/>
              </w:rPr>
              <w:t>HRP Under 65</w:t>
            </w:r>
          </w:p>
        </w:tc>
        <w:tc>
          <w:tcPr>
            <w:tcW w:w="3548" w:type="dxa"/>
            <w:gridSpan w:val="3"/>
            <w:tcBorders>
              <w:top w:val="nil"/>
              <w:left w:val="nil"/>
              <w:bottom w:val="single" w:sz="4" w:space="0" w:color="auto"/>
              <w:right w:val="single" w:sz="4" w:space="0" w:color="auto"/>
            </w:tcBorders>
            <w:shd w:val="clear" w:color="000000" w:fill="008080"/>
            <w:noWrap/>
            <w:vAlign w:val="bottom"/>
            <w:hideMark/>
          </w:tcPr>
          <w:p w:rsidR="00004E0C" w:rsidRPr="006A5CD6" w:rsidRDefault="00004E0C" w:rsidP="006A5CD6">
            <w:pPr>
              <w:spacing w:before="0" w:after="0"/>
              <w:rPr>
                <w:rFonts w:cs="Arial"/>
                <w:color w:val="FFFFFF"/>
                <w:sz w:val="20"/>
                <w:szCs w:val="20"/>
                <w:lang w:eastAsia="en-GB"/>
              </w:rPr>
            </w:pPr>
            <w:r w:rsidRPr="006A5CD6">
              <w:rPr>
                <w:rFonts w:cs="Arial"/>
                <w:color w:val="FFFFFF"/>
                <w:sz w:val="20"/>
                <w:szCs w:val="20"/>
                <w:lang w:eastAsia="en-GB"/>
              </w:rPr>
              <w:t>HRP 65 and over</w:t>
            </w:r>
          </w:p>
        </w:tc>
        <w:tc>
          <w:tcPr>
            <w:tcW w:w="951" w:type="dxa"/>
            <w:tcBorders>
              <w:top w:val="nil"/>
              <w:left w:val="nil"/>
              <w:bottom w:val="single" w:sz="4" w:space="0" w:color="auto"/>
              <w:right w:val="single" w:sz="4" w:space="0" w:color="auto"/>
            </w:tcBorders>
            <w:shd w:val="clear" w:color="000000" w:fill="008080"/>
            <w:noWrap/>
            <w:vAlign w:val="bottom"/>
            <w:hideMark/>
          </w:tcPr>
          <w:p w:rsidR="00004E0C" w:rsidRPr="006A5CD6" w:rsidRDefault="00004E0C" w:rsidP="006A5CD6">
            <w:pPr>
              <w:spacing w:before="0" w:after="0"/>
              <w:rPr>
                <w:rFonts w:cs="Arial"/>
                <w:color w:val="FFFFFF"/>
                <w:sz w:val="20"/>
                <w:szCs w:val="20"/>
                <w:lang w:eastAsia="en-GB"/>
              </w:rPr>
            </w:pPr>
            <w:r w:rsidRPr="006A5CD6">
              <w:rPr>
                <w:rFonts w:cs="Arial"/>
                <w:color w:val="FFFFFF"/>
                <w:sz w:val="20"/>
                <w:szCs w:val="20"/>
                <w:lang w:eastAsia="en-GB"/>
              </w:rPr>
              <w:t>Total</w:t>
            </w:r>
          </w:p>
        </w:tc>
      </w:tr>
      <w:tr w:rsidR="006A5CD6" w:rsidRPr="006A5CD6" w:rsidTr="00004E0C">
        <w:trPr>
          <w:trHeight w:val="510"/>
        </w:trPr>
        <w:tc>
          <w:tcPr>
            <w:tcW w:w="2158" w:type="dxa"/>
            <w:tcBorders>
              <w:top w:val="nil"/>
              <w:left w:val="single" w:sz="4" w:space="0" w:color="auto"/>
              <w:bottom w:val="single" w:sz="4" w:space="0" w:color="auto"/>
              <w:right w:val="single" w:sz="4" w:space="0" w:color="auto"/>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p>
        </w:tc>
        <w:tc>
          <w:tcPr>
            <w:tcW w:w="1328" w:type="dxa"/>
            <w:tcBorders>
              <w:top w:val="nil"/>
              <w:left w:val="single" w:sz="4" w:space="0" w:color="auto"/>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Owner Occupied</w:t>
            </w:r>
          </w:p>
        </w:tc>
        <w:tc>
          <w:tcPr>
            <w:tcW w:w="861"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Private Rented</w:t>
            </w:r>
          </w:p>
        </w:tc>
        <w:tc>
          <w:tcPr>
            <w:tcW w:w="1128"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Affordable</w:t>
            </w:r>
          </w:p>
        </w:tc>
        <w:tc>
          <w:tcPr>
            <w:tcW w:w="1559"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Owner Occupied</w:t>
            </w:r>
          </w:p>
        </w:tc>
        <w:tc>
          <w:tcPr>
            <w:tcW w:w="861"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Private Rented</w:t>
            </w:r>
          </w:p>
        </w:tc>
        <w:tc>
          <w:tcPr>
            <w:tcW w:w="1128"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Affordable</w:t>
            </w:r>
          </w:p>
        </w:tc>
        <w:tc>
          <w:tcPr>
            <w:tcW w:w="951" w:type="dxa"/>
            <w:tcBorders>
              <w:top w:val="nil"/>
              <w:left w:val="nil"/>
              <w:bottom w:val="single" w:sz="4" w:space="0" w:color="auto"/>
              <w:right w:val="single" w:sz="4" w:space="0" w:color="auto"/>
            </w:tcBorders>
            <w:shd w:val="clear" w:color="000000" w:fill="008080"/>
            <w:noWrap/>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 </w:t>
            </w:r>
          </w:p>
        </w:tc>
      </w:tr>
      <w:tr w:rsidR="006A5CD6" w:rsidRPr="006A5CD6" w:rsidTr="00004E0C">
        <w:trPr>
          <w:trHeight w:val="255"/>
        </w:trPr>
        <w:tc>
          <w:tcPr>
            <w:tcW w:w="21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Central Durham</w:t>
            </w:r>
          </w:p>
        </w:tc>
        <w:tc>
          <w:tcPr>
            <w:tcW w:w="13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19998</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6065</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5095</w:t>
            </w:r>
          </w:p>
        </w:tc>
        <w:tc>
          <w:tcPr>
            <w:tcW w:w="1559"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8197</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440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3110</w:t>
            </w:r>
          </w:p>
        </w:tc>
        <w:tc>
          <w:tcPr>
            <w:tcW w:w="9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42905</w:t>
            </w:r>
          </w:p>
        </w:tc>
      </w:tr>
      <w:tr w:rsidR="006A5CD6" w:rsidRPr="006A5CD6" w:rsidTr="00004E0C">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North Durham</w:t>
            </w:r>
          </w:p>
        </w:tc>
        <w:tc>
          <w:tcPr>
            <w:tcW w:w="13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29879</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6757</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6933</w:t>
            </w:r>
          </w:p>
        </w:tc>
        <w:tc>
          <w:tcPr>
            <w:tcW w:w="1559"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11294</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837</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4451</w:t>
            </w:r>
          </w:p>
        </w:tc>
        <w:tc>
          <w:tcPr>
            <w:tcW w:w="9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60151</w:t>
            </w:r>
          </w:p>
        </w:tc>
      </w:tr>
      <w:tr w:rsidR="006A5CD6" w:rsidRPr="006A5CD6" w:rsidTr="00004E0C">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East Durham</w:t>
            </w:r>
          </w:p>
        </w:tc>
        <w:tc>
          <w:tcPr>
            <w:tcW w:w="13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19186</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4843</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6034</w:t>
            </w:r>
          </w:p>
        </w:tc>
        <w:tc>
          <w:tcPr>
            <w:tcW w:w="1559"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7288</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653</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3412</w:t>
            </w:r>
          </w:p>
        </w:tc>
        <w:tc>
          <w:tcPr>
            <w:tcW w:w="9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41416</w:t>
            </w:r>
          </w:p>
        </w:tc>
      </w:tr>
      <w:tr w:rsidR="006A5CD6" w:rsidRPr="006A5CD6" w:rsidTr="00004E0C">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South Durham</w:t>
            </w:r>
          </w:p>
        </w:tc>
        <w:tc>
          <w:tcPr>
            <w:tcW w:w="13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30006</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7739</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8882</w:t>
            </w:r>
          </w:p>
        </w:tc>
        <w:tc>
          <w:tcPr>
            <w:tcW w:w="1559"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11182</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999</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5712</w:t>
            </w:r>
          </w:p>
        </w:tc>
        <w:tc>
          <w:tcPr>
            <w:tcW w:w="9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64520</w:t>
            </w:r>
          </w:p>
        </w:tc>
      </w:tr>
      <w:tr w:rsidR="006A5CD6" w:rsidRPr="006A5CD6" w:rsidTr="00004E0C">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Dales</w:t>
            </w:r>
          </w:p>
        </w:tc>
        <w:tc>
          <w:tcPr>
            <w:tcW w:w="13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6769</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2020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1126</w:t>
            </w:r>
          </w:p>
        </w:tc>
        <w:tc>
          <w:tcPr>
            <w:tcW w:w="1559"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3548</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611</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737</w:t>
            </w:r>
          </w:p>
        </w:tc>
        <w:tc>
          <w:tcPr>
            <w:tcW w:w="9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sz w:val="20"/>
                <w:szCs w:val="20"/>
                <w:lang w:eastAsia="en-GB"/>
              </w:rPr>
            </w:pPr>
            <w:r w:rsidRPr="006A5CD6">
              <w:rPr>
                <w:rFonts w:cs="Arial"/>
                <w:sz w:val="20"/>
                <w:szCs w:val="20"/>
                <w:lang w:eastAsia="en-GB"/>
              </w:rPr>
              <w:t>14811</w:t>
            </w:r>
          </w:p>
        </w:tc>
      </w:tr>
      <w:tr w:rsidR="006A5CD6" w:rsidRPr="006A5CD6" w:rsidTr="00004E0C">
        <w:trPr>
          <w:trHeight w:val="255"/>
        </w:trPr>
        <w:tc>
          <w:tcPr>
            <w:tcW w:w="2158"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b/>
                <w:bCs/>
                <w:sz w:val="20"/>
                <w:szCs w:val="20"/>
                <w:lang w:eastAsia="en-GB"/>
              </w:rPr>
            </w:pPr>
            <w:r w:rsidRPr="006A5CD6">
              <w:rPr>
                <w:rFonts w:cs="Arial"/>
                <w:b/>
                <w:bCs/>
                <w:sz w:val="20"/>
                <w:szCs w:val="20"/>
                <w:lang w:eastAsia="en-GB"/>
              </w:rPr>
              <w:t>Total</w:t>
            </w:r>
          </w:p>
        </w:tc>
        <w:tc>
          <w:tcPr>
            <w:tcW w:w="13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b/>
                <w:bCs/>
                <w:sz w:val="20"/>
                <w:szCs w:val="20"/>
                <w:lang w:eastAsia="en-GB"/>
              </w:rPr>
            </w:pPr>
            <w:r w:rsidRPr="006A5CD6">
              <w:rPr>
                <w:rFonts w:cs="Arial"/>
                <w:b/>
                <w:bCs/>
                <w:sz w:val="20"/>
                <w:szCs w:val="20"/>
                <w:lang w:eastAsia="en-GB"/>
              </w:rPr>
              <w:t>105838</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b/>
                <w:bCs/>
                <w:sz w:val="20"/>
                <w:szCs w:val="20"/>
                <w:lang w:eastAsia="en-GB"/>
              </w:rPr>
            </w:pPr>
            <w:r w:rsidRPr="006A5CD6">
              <w:rPr>
                <w:rFonts w:cs="Arial"/>
                <w:b/>
                <w:bCs/>
                <w:sz w:val="20"/>
                <w:szCs w:val="20"/>
                <w:lang w:eastAsia="en-GB"/>
              </w:rPr>
              <w:t>27424</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b/>
                <w:bCs/>
                <w:sz w:val="20"/>
                <w:szCs w:val="20"/>
                <w:lang w:eastAsia="en-GB"/>
              </w:rPr>
            </w:pPr>
            <w:r w:rsidRPr="006A5CD6">
              <w:rPr>
                <w:rFonts w:cs="Arial"/>
                <w:b/>
                <w:bCs/>
                <w:sz w:val="20"/>
                <w:szCs w:val="20"/>
                <w:lang w:eastAsia="en-GB"/>
              </w:rPr>
              <w:t>28070</w:t>
            </w:r>
          </w:p>
        </w:tc>
        <w:tc>
          <w:tcPr>
            <w:tcW w:w="1559"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b/>
                <w:bCs/>
                <w:sz w:val="20"/>
                <w:szCs w:val="20"/>
                <w:lang w:eastAsia="en-GB"/>
              </w:rPr>
            </w:pPr>
            <w:r w:rsidRPr="006A5CD6">
              <w:rPr>
                <w:rFonts w:cs="Arial"/>
                <w:b/>
                <w:bCs/>
                <w:sz w:val="20"/>
                <w:szCs w:val="20"/>
                <w:lang w:eastAsia="en-GB"/>
              </w:rPr>
              <w:t>41509</w:t>
            </w:r>
          </w:p>
        </w:tc>
        <w:tc>
          <w:tcPr>
            <w:tcW w:w="86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b/>
                <w:bCs/>
                <w:sz w:val="20"/>
                <w:szCs w:val="20"/>
                <w:lang w:eastAsia="en-GB"/>
              </w:rPr>
            </w:pPr>
            <w:r w:rsidRPr="006A5CD6">
              <w:rPr>
                <w:rFonts w:cs="Arial"/>
                <w:b/>
                <w:bCs/>
                <w:sz w:val="20"/>
                <w:szCs w:val="20"/>
                <w:lang w:eastAsia="en-GB"/>
              </w:rPr>
              <w:t>3540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b/>
                <w:bCs/>
                <w:sz w:val="20"/>
                <w:szCs w:val="20"/>
                <w:lang w:eastAsia="en-GB"/>
              </w:rPr>
            </w:pPr>
            <w:r w:rsidRPr="006A5CD6">
              <w:rPr>
                <w:rFonts w:cs="Arial"/>
                <w:b/>
                <w:bCs/>
                <w:sz w:val="20"/>
                <w:szCs w:val="20"/>
                <w:lang w:eastAsia="en-GB"/>
              </w:rPr>
              <w:t>17422</w:t>
            </w:r>
          </w:p>
        </w:tc>
        <w:tc>
          <w:tcPr>
            <w:tcW w:w="9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center"/>
              <w:rPr>
                <w:rFonts w:cs="Arial"/>
                <w:b/>
                <w:bCs/>
                <w:sz w:val="20"/>
                <w:szCs w:val="20"/>
                <w:lang w:eastAsia="en-GB"/>
              </w:rPr>
            </w:pPr>
            <w:r w:rsidRPr="006A5CD6">
              <w:rPr>
                <w:rFonts w:cs="Arial"/>
                <w:b/>
                <w:bCs/>
                <w:sz w:val="20"/>
                <w:szCs w:val="20"/>
                <w:lang w:eastAsia="en-GB"/>
              </w:rPr>
              <w:t>223803</w:t>
            </w:r>
          </w:p>
        </w:tc>
      </w:tr>
    </w:tbl>
    <w:p w:rsidR="006A5CD6" w:rsidRDefault="006A5CD6" w:rsidP="00642BD6">
      <w:pPr>
        <w:pStyle w:val="Maintext"/>
        <w:numPr>
          <w:ilvl w:val="0"/>
          <w:numId w:val="0"/>
        </w:numPr>
        <w:ind w:left="709"/>
        <w:rPr>
          <w:rFonts w:cs="Arial"/>
          <w:b/>
        </w:rPr>
      </w:pPr>
    </w:p>
    <w:p w:rsidR="00642BD6" w:rsidRDefault="00642BD6" w:rsidP="00642BD6">
      <w:pPr>
        <w:pStyle w:val="Maintext"/>
        <w:numPr>
          <w:ilvl w:val="0"/>
          <w:numId w:val="0"/>
        </w:numPr>
        <w:ind w:left="709"/>
        <w:rPr>
          <w:rFonts w:cs="Arial"/>
        </w:rPr>
      </w:pPr>
      <w:r w:rsidRPr="00642BD6">
        <w:rPr>
          <w:rFonts w:cs="Arial"/>
          <w:b/>
        </w:rPr>
        <w:t>Table A</w:t>
      </w:r>
      <w:r>
        <w:rPr>
          <w:rFonts w:cs="Arial"/>
          <w:b/>
        </w:rPr>
        <w:t>4</w:t>
      </w:r>
      <w:r>
        <w:rPr>
          <w:rFonts w:cs="Arial"/>
        </w:rPr>
        <w:tab/>
        <w:t xml:space="preserve">Weighting/grossing applied to responses by </w:t>
      </w:r>
      <w:r w:rsidR="006A5CD6">
        <w:rPr>
          <w:rFonts w:cs="Arial"/>
        </w:rPr>
        <w:t>delivery</w:t>
      </w:r>
      <w:r>
        <w:rPr>
          <w:rFonts w:cs="Arial"/>
        </w:rPr>
        <w:t xml:space="preserve"> area, age group and tenure group</w:t>
      </w:r>
    </w:p>
    <w:tbl>
      <w:tblPr>
        <w:tblW w:w="9519" w:type="dxa"/>
        <w:tblInd w:w="88" w:type="dxa"/>
        <w:tblLook w:val="04A0" w:firstRow="1" w:lastRow="0" w:firstColumn="1" w:lastColumn="0" w:noHBand="0" w:noVBand="1"/>
      </w:tblPr>
      <w:tblGrid>
        <w:gridCol w:w="2116"/>
        <w:gridCol w:w="1305"/>
        <w:gridCol w:w="1260"/>
        <w:gridCol w:w="1128"/>
        <w:gridCol w:w="1531"/>
        <w:gridCol w:w="1051"/>
        <w:gridCol w:w="1128"/>
      </w:tblGrid>
      <w:tr w:rsidR="006A5CD6" w:rsidRPr="006A5CD6" w:rsidTr="006A5CD6">
        <w:trPr>
          <w:trHeight w:val="255"/>
        </w:trPr>
        <w:tc>
          <w:tcPr>
            <w:tcW w:w="2116" w:type="dxa"/>
            <w:tcBorders>
              <w:top w:val="single" w:sz="4" w:space="0" w:color="auto"/>
              <w:left w:val="single" w:sz="4" w:space="0" w:color="auto"/>
              <w:bottom w:val="nil"/>
              <w:right w:val="single" w:sz="4" w:space="0" w:color="auto"/>
            </w:tcBorders>
            <w:shd w:val="clear" w:color="000000" w:fill="008080"/>
            <w:noWrap/>
            <w:vAlign w:val="bottom"/>
            <w:hideMark/>
          </w:tcPr>
          <w:p w:rsidR="006A5CD6" w:rsidRPr="006A5CD6" w:rsidRDefault="006A5CD6" w:rsidP="006A5CD6">
            <w:pPr>
              <w:spacing w:before="0" w:after="0"/>
              <w:rPr>
                <w:rFonts w:cs="Arial"/>
                <w:b/>
                <w:bCs/>
                <w:color w:val="FFFFFF"/>
                <w:sz w:val="20"/>
                <w:szCs w:val="20"/>
                <w:lang w:eastAsia="en-GB"/>
              </w:rPr>
            </w:pPr>
            <w:r w:rsidRPr="006A5CD6">
              <w:rPr>
                <w:rFonts w:cs="Arial"/>
                <w:b/>
                <w:bCs/>
                <w:color w:val="FFFFFF"/>
                <w:sz w:val="20"/>
                <w:szCs w:val="20"/>
                <w:lang w:eastAsia="en-GB"/>
              </w:rPr>
              <w:t>Delivery Area</w:t>
            </w:r>
          </w:p>
        </w:tc>
        <w:tc>
          <w:tcPr>
            <w:tcW w:w="5224" w:type="dxa"/>
            <w:gridSpan w:val="4"/>
            <w:tcBorders>
              <w:top w:val="single" w:sz="4" w:space="0" w:color="auto"/>
              <w:left w:val="single" w:sz="4" w:space="0" w:color="auto"/>
              <w:bottom w:val="single" w:sz="4" w:space="0" w:color="auto"/>
              <w:right w:val="nil"/>
            </w:tcBorders>
            <w:shd w:val="clear" w:color="000000" w:fill="008080"/>
            <w:noWrap/>
            <w:vAlign w:val="bottom"/>
            <w:hideMark/>
          </w:tcPr>
          <w:p w:rsidR="006A5CD6" w:rsidRPr="006A5CD6" w:rsidRDefault="006A5CD6" w:rsidP="006A5CD6">
            <w:pPr>
              <w:spacing w:before="0" w:after="0"/>
              <w:rPr>
                <w:rFonts w:cs="Arial"/>
                <w:b/>
                <w:bCs/>
                <w:color w:val="FFFFFF"/>
                <w:sz w:val="20"/>
                <w:szCs w:val="20"/>
                <w:lang w:eastAsia="en-GB"/>
              </w:rPr>
            </w:pPr>
            <w:r w:rsidRPr="006A5CD6">
              <w:rPr>
                <w:rFonts w:cs="Arial"/>
                <w:b/>
                <w:bCs/>
                <w:color w:val="FFFFFF"/>
                <w:sz w:val="20"/>
                <w:szCs w:val="20"/>
                <w:lang w:eastAsia="en-GB"/>
              </w:rPr>
              <w:t>Household Reference Person and Tenure</w:t>
            </w:r>
          </w:p>
        </w:tc>
        <w:tc>
          <w:tcPr>
            <w:tcW w:w="1051" w:type="dxa"/>
            <w:tcBorders>
              <w:top w:val="single" w:sz="4" w:space="0" w:color="auto"/>
              <w:left w:val="nil"/>
              <w:bottom w:val="single" w:sz="4" w:space="0" w:color="auto"/>
              <w:right w:val="nil"/>
            </w:tcBorders>
            <w:shd w:val="clear" w:color="000000" w:fill="008080"/>
            <w:noWrap/>
            <w:vAlign w:val="bottom"/>
            <w:hideMark/>
          </w:tcPr>
          <w:p w:rsidR="006A5CD6" w:rsidRPr="006A5CD6" w:rsidRDefault="006A5CD6" w:rsidP="006A5CD6">
            <w:pPr>
              <w:spacing w:before="0" w:after="0"/>
              <w:rPr>
                <w:rFonts w:cs="Arial"/>
                <w:b/>
                <w:bCs/>
                <w:color w:val="FFFFFF"/>
                <w:sz w:val="20"/>
                <w:szCs w:val="20"/>
                <w:lang w:eastAsia="en-GB"/>
              </w:rPr>
            </w:pPr>
            <w:r w:rsidRPr="006A5CD6">
              <w:rPr>
                <w:rFonts w:cs="Arial"/>
                <w:b/>
                <w:bCs/>
                <w:color w:val="FFFFFF"/>
                <w:sz w:val="20"/>
                <w:szCs w:val="20"/>
                <w:lang w:eastAsia="en-GB"/>
              </w:rPr>
              <w:t> </w:t>
            </w:r>
          </w:p>
        </w:tc>
        <w:tc>
          <w:tcPr>
            <w:tcW w:w="1128" w:type="dxa"/>
            <w:tcBorders>
              <w:top w:val="single" w:sz="4" w:space="0" w:color="auto"/>
              <w:left w:val="nil"/>
              <w:bottom w:val="single" w:sz="4" w:space="0" w:color="auto"/>
              <w:right w:val="nil"/>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r w:rsidRPr="006A5CD6">
              <w:rPr>
                <w:rFonts w:cs="Arial"/>
                <w:color w:val="FFFFFF"/>
                <w:sz w:val="20"/>
                <w:szCs w:val="20"/>
                <w:lang w:eastAsia="en-GB"/>
              </w:rPr>
              <w:t> </w:t>
            </w:r>
          </w:p>
        </w:tc>
      </w:tr>
      <w:tr w:rsidR="006A5CD6" w:rsidRPr="006A5CD6" w:rsidTr="007E2BC0">
        <w:trPr>
          <w:trHeight w:val="255"/>
        </w:trPr>
        <w:tc>
          <w:tcPr>
            <w:tcW w:w="2116" w:type="dxa"/>
            <w:tcBorders>
              <w:top w:val="nil"/>
              <w:left w:val="single" w:sz="4" w:space="0" w:color="auto"/>
              <w:bottom w:val="nil"/>
              <w:right w:val="single" w:sz="4" w:space="0" w:color="auto"/>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r w:rsidRPr="006A5CD6">
              <w:rPr>
                <w:rFonts w:cs="Arial"/>
                <w:color w:val="FFFFFF"/>
                <w:sz w:val="20"/>
                <w:szCs w:val="20"/>
                <w:lang w:eastAsia="en-GB"/>
              </w:rPr>
              <w:t> </w:t>
            </w:r>
          </w:p>
        </w:tc>
        <w:tc>
          <w:tcPr>
            <w:tcW w:w="3693" w:type="dxa"/>
            <w:gridSpan w:val="3"/>
            <w:tcBorders>
              <w:top w:val="nil"/>
              <w:left w:val="single" w:sz="4" w:space="0" w:color="auto"/>
              <w:bottom w:val="single" w:sz="4" w:space="0" w:color="auto"/>
              <w:right w:val="single" w:sz="4" w:space="0" w:color="auto"/>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r w:rsidRPr="006A5CD6">
              <w:rPr>
                <w:rFonts w:cs="Arial"/>
                <w:color w:val="FFFFFF"/>
                <w:sz w:val="20"/>
                <w:szCs w:val="20"/>
                <w:lang w:eastAsia="en-GB"/>
              </w:rPr>
              <w:t>HRP Under 65 </w:t>
            </w:r>
          </w:p>
        </w:tc>
        <w:tc>
          <w:tcPr>
            <w:tcW w:w="3710" w:type="dxa"/>
            <w:gridSpan w:val="3"/>
            <w:tcBorders>
              <w:top w:val="nil"/>
              <w:left w:val="nil"/>
              <w:bottom w:val="single" w:sz="4" w:space="0" w:color="auto"/>
              <w:right w:val="single" w:sz="4" w:space="0" w:color="auto"/>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r w:rsidRPr="006A5CD6">
              <w:rPr>
                <w:rFonts w:cs="Arial"/>
                <w:color w:val="FFFFFF"/>
                <w:sz w:val="20"/>
                <w:szCs w:val="20"/>
                <w:lang w:eastAsia="en-GB"/>
              </w:rPr>
              <w:t>HRP 65 and over</w:t>
            </w:r>
          </w:p>
        </w:tc>
      </w:tr>
      <w:tr w:rsidR="006A5CD6" w:rsidRPr="006A5CD6" w:rsidTr="006A5CD6">
        <w:trPr>
          <w:trHeight w:val="510"/>
        </w:trPr>
        <w:tc>
          <w:tcPr>
            <w:tcW w:w="2116" w:type="dxa"/>
            <w:tcBorders>
              <w:top w:val="nil"/>
              <w:left w:val="single" w:sz="4" w:space="0" w:color="auto"/>
              <w:bottom w:val="single" w:sz="4" w:space="0" w:color="auto"/>
              <w:right w:val="single" w:sz="4" w:space="0" w:color="auto"/>
            </w:tcBorders>
            <w:shd w:val="clear" w:color="000000" w:fill="008080"/>
            <w:noWrap/>
            <w:vAlign w:val="bottom"/>
            <w:hideMark/>
          </w:tcPr>
          <w:p w:rsidR="006A5CD6" w:rsidRPr="006A5CD6" w:rsidRDefault="006A5CD6" w:rsidP="006A5CD6">
            <w:pPr>
              <w:spacing w:before="0" w:after="0"/>
              <w:rPr>
                <w:rFonts w:cs="Arial"/>
                <w:color w:val="FFFFFF"/>
                <w:sz w:val="20"/>
                <w:szCs w:val="20"/>
                <w:lang w:eastAsia="en-GB"/>
              </w:rPr>
            </w:pPr>
            <w:r w:rsidRPr="006A5CD6">
              <w:rPr>
                <w:rFonts w:cs="Arial"/>
                <w:color w:val="FFFFFF"/>
                <w:sz w:val="20"/>
                <w:szCs w:val="20"/>
                <w:lang w:eastAsia="en-GB"/>
              </w:rPr>
              <w:t> </w:t>
            </w:r>
          </w:p>
        </w:tc>
        <w:tc>
          <w:tcPr>
            <w:tcW w:w="1305" w:type="dxa"/>
            <w:tcBorders>
              <w:top w:val="nil"/>
              <w:left w:val="single" w:sz="4" w:space="0" w:color="auto"/>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Owner Occupied</w:t>
            </w:r>
          </w:p>
        </w:tc>
        <w:tc>
          <w:tcPr>
            <w:tcW w:w="1260"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Private Rented</w:t>
            </w:r>
          </w:p>
        </w:tc>
        <w:tc>
          <w:tcPr>
            <w:tcW w:w="1128"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Affordable</w:t>
            </w:r>
          </w:p>
        </w:tc>
        <w:tc>
          <w:tcPr>
            <w:tcW w:w="1531"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Owner Occupied</w:t>
            </w:r>
          </w:p>
        </w:tc>
        <w:tc>
          <w:tcPr>
            <w:tcW w:w="1051"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Private Rented</w:t>
            </w:r>
          </w:p>
        </w:tc>
        <w:tc>
          <w:tcPr>
            <w:tcW w:w="1128" w:type="dxa"/>
            <w:tcBorders>
              <w:top w:val="nil"/>
              <w:left w:val="nil"/>
              <w:bottom w:val="single" w:sz="4" w:space="0" w:color="auto"/>
              <w:right w:val="single" w:sz="4" w:space="0" w:color="auto"/>
            </w:tcBorders>
            <w:shd w:val="clear" w:color="000000" w:fill="008080"/>
            <w:vAlign w:val="bottom"/>
            <w:hideMark/>
          </w:tcPr>
          <w:p w:rsidR="006A5CD6" w:rsidRPr="006A5CD6" w:rsidRDefault="006A5CD6" w:rsidP="006A5CD6">
            <w:pPr>
              <w:spacing w:before="0" w:after="0"/>
              <w:jc w:val="center"/>
              <w:rPr>
                <w:rFonts w:cs="Arial"/>
                <w:color w:val="FFFFFF"/>
                <w:sz w:val="20"/>
                <w:szCs w:val="20"/>
                <w:lang w:eastAsia="en-GB"/>
              </w:rPr>
            </w:pPr>
            <w:r w:rsidRPr="006A5CD6">
              <w:rPr>
                <w:rFonts w:cs="Arial"/>
                <w:color w:val="FFFFFF"/>
                <w:sz w:val="20"/>
                <w:szCs w:val="20"/>
                <w:lang w:eastAsia="en-GB"/>
              </w:rPr>
              <w:t>Affordable</w:t>
            </w:r>
          </w:p>
        </w:tc>
      </w:tr>
      <w:tr w:rsidR="006A5CD6" w:rsidRPr="006A5CD6" w:rsidTr="006A5CD6">
        <w:trPr>
          <w:trHeight w:val="255"/>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Central Durham</w:t>
            </w:r>
          </w:p>
        </w:tc>
        <w:tc>
          <w:tcPr>
            <w:tcW w:w="1305"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44.9393</w:t>
            </w:r>
          </w:p>
        </w:tc>
        <w:tc>
          <w:tcPr>
            <w:tcW w:w="1260"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121.3000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66.1688</w:t>
            </w:r>
          </w:p>
        </w:tc>
        <w:tc>
          <w:tcPr>
            <w:tcW w:w="153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31.7713</w:t>
            </w:r>
          </w:p>
        </w:tc>
        <w:tc>
          <w:tcPr>
            <w:tcW w:w="10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62.8571</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29.9038</w:t>
            </w:r>
          </w:p>
        </w:tc>
      </w:tr>
      <w:tr w:rsidR="006A5CD6" w:rsidRPr="006A5CD6" w:rsidTr="006A5CD6">
        <w:trPr>
          <w:trHeight w:val="255"/>
        </w:trPr>
        <w:tc>
          <w:tcPr>
            <w:tcW w:w="2116"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North Durham</w:t>
            </w:r>
          </w:p>
        </w:tc>
        <w:tc>
          <w:tcPr>
            <w:tcW w:w="1305"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43.8752</w:t>
            </w:r>
          </w:p>
        </w:tc>
        <w:tc>
          <w:tcPr>
            <w:tcW w:w="1260"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135.1400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48.8239</w:t>
            </w:r>
          </w:p>
        </w:tc>
        <w:tc>
          <w:tcPr>
            <w:tcW w:w="153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24.0298</w:t>
            </w:r>
          </w:p>
        </w:tc>
        <w:tc>
          <w:tcPr>
            <w:tcW w:w="10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55.8000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26.1824</w:t>
            </w:r>
          </w:p>
        </w:tc>
      </w:tr>
      <w:tr w:rsidR="006A5CD6" w:rsidRPr="006A5CD6" w:rsidTr="006A5CD6">
        <w:trPr>
          <w:trHeight w:val="255"/>
        </w:trPr>
        <w:tc>
          <w:tcPr>
            <w:tcW w:w="2116"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East Durham</w:t>
            </w:r>
          </w:p>
        </w:tc>
        <w:tc>
          <w:tcPr>
            <w:tcW w:w="1305"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52.7088</w:t>
            </w:r>
          </w:p>
        </w:tc>
        <w:tc>
          <w:tcPr>
            <w:tcW w:w="1260"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127.4474</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54.8545</w:t>
            </w:r>
          </w:p>
        </w:tc>
        <w:tc>
          <w:tcPr>
            <w:tcW w:w="153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29.5061</w:t>
            </w:r>
          </w:p>
        </w:tc>
        <w:tc>
          <w:tcPr>
            <w:tcW w:w="10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163.2500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27.7398</w:t>
            </w:r>
          </w:p>
        </w:tc>
      </w:tr>
      <w:tr w:rsidR="006A5CD6" w:rsidRPr="006A5CD6" w:rsidTr="006A5CD6">
        <w:trPr>
          <w:trHeight w:val="255"/>
        </w:trPr>
        <w:tc>
          <w:tcPr>
            <w:tcW w:w="2116"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South Durham</w:t>
            </w:r>
          </w:p>
        </w:tc>
        <w:tc>
          <w:tcPr>
            <w:tcW w:w="1305"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38.5681</w:t>
            </w:r>
          </w:p>
        </w:tc>
        <w:tc>
          <w:tcPr>
            <w:tcW w:w="1260"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101.8289</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51.9415</w:t>
            </w:r>
          </w:p>
        </w:tc>
        <w:tc>
          <w:tcPr>
            <w:tcW w:w="153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20.9794</w:t>
            </w:r>
          </w:p>
        </w:tc>
        <w:tc>
          <w:tcPr>
            <w:tcW w:w="10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66.6000</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24.4103</w:t>
            </w:r>
          </w:p>
        </w:tc>
      </w:tr>
      <w:tr w:rsidR="006A5CD6" w:rsidRPr="006A5CD6" w:rsidTr="006A5CD6">
        <w:trPr>
          <w:trHeight w:val="255"/>
        </w:trPr>
        <w:tc>
          <w:tcPr>
            <w:tcW w:w="2116" w:type="dxa"/>
            <w:tcBorders>
              <w:top w:val="nil"/>
              <w:left w:val="single" w:sz="4" w:space="0" w:color="auto"/>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rPr>
                <w:rFonts w:cs="Arial"/>
                <w:sz w:val="20"/>
                <w:szCs w:val="20"/>
                <w:lang w:eastAsia="en-GB"/>
              </w:rPr>
            </w:pPr>
            <w:r w:rsidRPr="006A5CD6">
              <w:rPr>
                <w:rFonts w:cs="Arial"/>
                <w:sz w:val="20"/>
                <w:szCs w:val="20"/>
                <w:lang w:eastAsia="en-GB"/>
              </w:rPr>
              <w:t>The Dales</w:t>
            </w:r>
          </w:p>
        </w:tc>
        <w:tc>
          <w:tcPr>
            <w:tcW w:w="1305"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15.0089</w:t>
            </w:r>
          </w:p>
        </w:tc>
        <w:tc>
          <w:tcPr>
            <w:tcW w:w="1260"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28.0556</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23.4583</w:t>
            </w:r>
          </w:p>
        </w:tc>
        <w:tc>
          <w:tcPr>
            <w:tcW w:w="153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9.2637</w:t>
            </w:r>
          </w:p>
        </w:tc>
        <w:tc>
          <w:tcPr>
            <w:tcW w:w="1051"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19.7097</w:t>
            </w:r>
          </w:p>
        </w:tc>
        <w:tc>
          <w:tcPr>
            <w:tcW w:w="1128" w:type="dxa"/>
            <w:tcBorders>
              <w:top w:val="nil"/>
              <w:left w:val="nil"/>
              <w:bottom w:val="single" w:sz="4" w:space="0" w:color="auto"/>
              <w:right w:val="single" w:sz="4" w:space="0" w:color="auto"/>
            </w:tcBorders>
            <w:shd w:val="clear" w:color="auto" w:fill="auto"/>
            <w:noWrap/>
            <w:vAlign w:val="bottom"/>
            <w:hideMark/>
          </w:tcPr>
          <w:p w:rsidR="006A5CD6" w:rsidRPr="006A5CD6" w:rsidRDefault="006A5CD6" w:rsidP="006A5CD6">
            <w:pPr>
              <w:spacing w:before="0" w:after="0"/>
              <w:jc w:val="right"/>
              <w:rPr>
                <w:rFonts w:cs="Arial"/>
                <w:sz w:val="20"/>
                <w:szCs w:val="20"/>
                <w:lang w:eastAsia="en-GB"/>
              </w:rPr>
            </w:pPr>
            <w:r w:rsidRPr="006A5CD6">
              <w:rPr>
                <w:rFonts w:cs="Arial"/>
                <w:sz w:val="20"/>
                <w:szCs w:val="20"/>
                <w:lang w:eastAsia="en-GB"/>
              </w:rPr>
              <w:t>10.6812</w:t>
            </w:r>
          </w:p>
        </w:tc>
      </w:tr>
    </w:tbl>
    <w:p w:rsidR="00004E0C" w:rsidRPr="00004E0C" w:rsidRDefault="00004E0C" w:rsidP="00004E0C">
      <w:pPr>
        <w:pStyle w:val="Maintext"/>
        <w:numPr>
          <w:ilvl w:val="0"/>
          <w:numId w:val="0"/>
        </w:numPr>
        <w:ind w:left="709" w:hanging="709"/>
        <w:rPr>
          <w:rFonts w:cs="Arial"/>
        </w:rPr>
      </w:pPr>
    </w:p>
    <w:p w:rsidR="00EE6B85" w:rsidRDefault="00EE6B85" w:rsidP="007E46FA">
      <w:pPr>
        <w:pStyle w:val="Maintext"/>
        <w:numPr>
          <w:ilvl w:val="1"/>
          <w:numId w:val="22"/>
        </w:numPr>
        <w:rPr>
          <w:rFonts w:cs="Arial"/>
        </w:rPr>
      </w:pPr>
      <w:r>
        <w:t xml:space="preserve">Ultimately, the survey element of the assessment is sufficiently statistically robust to undertake detailed analysis and underpin core outputs of the study down to the </w:t>
      </w:r>
      <w:r w:rsidR="0083534C">
        <w:t>survey area</w:t>
      </w:r>
      <w:r w:rsidR="00717558">
        <w:t>s</w:t>
      </w:r>
      <w:r>
        <w:t xml:space="preserve"> presented in Table A1. Furthermore, the survey findings are enhanced and corroborated through analysis of secondary data and stakeholder consultation.</w:t>
      </w:r>
    </w:p>
    <w:p w:rsidR="00EE6B85" w:rsidRDefault="00EE6B85" w:rsidP="00EE6B85">
      <w:pPr>
        <w:pStyle w:val="Heading2"/>
        <w:ind w:left="0"/>
      </w:pPr>
      <w:bookmarkStart w:id="172" w:name="_Toc184200208"/>
    </w:p>
    <w:p w:rsidR="00EE6B85" w:rsidRDefault="00EE6B85" w:rsidP="00EE6B85">
      <w:pPr>
        <w:pStyle w:val="Heading2"/>
      </w:pPr>
      <w:bookmarkStart w:id="173" w:name="_Toc273698041"/>
      <w:bookmarkStart w:id="174" w:name="_Toc273708374"/>
      <w:bookmarkStart w:id="175" w:name="_Toc276144632"/>
      <w:bookmarkStart w:id="176" w:name="_Toc280272444"/>
      <w:bookmarkStart w:id="177" w:name="_Toc318323429"/>
      <w:bookmarkStart w:id="178" w:name="_Toc320271446"/>
      <w:bookmarkStart w:id="179" w:name="_Toc326077241"/>
      <w:bookmarkStart w:id="180" w:name="_Toc333507782"/>
      <w:r>
        <w:t>List of stakeholders interviewed as part of the SHMA process</w:t>
      </w:r>
      <w:bookmarkEnd w:id="173"/>
      <w:bookmarkEnd w:id="174"/>
      <w:bookmarkEnd w:id="175"/>
      <w:bookmarkEnd w:id="176"/>
      <w:bookmarkEnd w:id="177"/>
      <w:bookmarkEnd w:id="178"/>
      <w:bookmarkEnd w:id="179"/>
      <w:bookmarkEnd w:id="180"/>
    </w:p>
    <w:p w:rsidR="00EE6B85" w:rsidRPr="00384F41" w:rsidRDefault="00EE6B85" w:rsidP="007E46FA">
      <w:pPr>
        <w:pStyle w:val="Maintext"/>
        <w:numPr>
          <w:ilvl w:val="1"/>
          <w:numId w:val="22"/>
        </w:numPr>
      </w:pPr>
      <w:r>
        <w:t>An online survey and telephone/face to face interviews were carried out with a range of stakeholders drawn from:</w:t>
      </w:r>
    </w:p>
    <w:p w:rsidR="00EE6B85" w:rsidRPr="00384F41" w:rsidRDefault="00EE6B85" w:rsidP="007E46FA">
      <w:pPr>
        <w:numPr>
          <w:ilvl w:val="0"/>
          <w:numId w:val="27"/>
        </w:numPr>
      </w:pPr>
      <w:r w:rsidRPr="00384F41">
        <w:t xml:space="preserve">Local Authority Planning , Housing and Economic Regeneration Officers </w:t>
      </w:r>
    </w:p>
    <w:p w:rsidR="00EE6B85" w:rsidRPr="00384F41" w:rsidRDefault="00EE6B85" w:rsidP="007E46FA">
      <w:pPr>
        <w:numPr>
          <w:ilvl w:val="0"/>
          <w:numId w:val="27"/>
        </w:numPr>
      </w:pPr>
      <w:r w:rsidRPr="00384F41">
        <w:t>Housing Associations/ALMO</w:t>
      </w:r>
      <w:r>
        <w:t>s;</w:t>
      </w:r>
    </w:p>
    <w:p w:rsidR="00EE6B85" w:rsidRPr="00384F41" w:rsidRDefault="00EE6B85" w:rsidP="007E46FA">
      <w:pPr>
        <w:numPr>
          <w:ilvl w:val="0"/>
          <w:numId w:val="27"/>
        </w:numPr>
      </w:pPr>
      <w:r w:rsidRPr="00384F41">
        <w:t>Estate Agents / Lettings Agents</w:t>
      </w:r>
      <w:r>
        <w:t>;</w:t>
      </w:r>
    </w:p>
    <w:p w:rsidR="00EE6B85" w:rsidRPr="00384F41" w:rsidRDefault="00EE6B85" w:rsidP="007E46FA">
      <w:pPr>
        <w:numPr>
          <w:ilvl w:val="0"/>
          <w:numId w:val="27"/>
        </w:numPr>
        <w:rPr>
          <w:rFonts w:cs="Arial"/>
        </w:rPr>
      </w:pPr>
      <w:bookmarkStart w:id="181" w:name="_Toc273698042"/>
      <w:bookmarkStart w:id="182" w:name="_Toc273708375"/>
      <w:bookmarkStart w:id="183" w:name="_Toc276144633"/>
      <w:bookmarkStart w:id="184" w:name="_Toc279671501"/>
      <w:bookmarkStart w:id="185" w:name="_Toc280272445"/>
      <w:r w:rsidRPr="00384F41">
        <w:rPr>
          <w:rFonts w:cs="Arial"/>
        </w:rPr>
        <w:t>Developers</w:t>
      </w:r>
      <w:bookmarkStart w:id="186" w:name="_Toc273698043"/>
      <w:bookmarkStart w:id="187" w:name="_Toc273708376"/>
      <w:bookmarkStart w:id="188" w:name="_Toc276144634"/>
      <w:bookmarkStart w:id="189" w:name="_Toc279671502"/>
      <w:bookmarkStart w:id="190" w:name="_Toc280272446"/>
      <w:bookmarkEnd w:id="181"/>
      <w:bookmarkEnd w:id="182"/>
      <w:bookmarkEnd w:id="183"/>
      <w:bookmarkEnd w:id="184"/>
      <w:bookmarkEnd w:id="185"/>
      <w:r>
        <w:rPr>
          <w:rFonts w:cs="Arial"/>
        </w:rPr>
        <w:t>; and</w:t>
      </w:r>
    </w:p>
    <w:p w:rsidR="00EE6B85" w:rsidRPr="00384F41" w:rsidRDefault="00EE6B85" w:rsidP="007E46FA">
      <w:pPr>
        <w:numPr>
          <w:ilvl w:val="0"/>
          <w:numId w:val="27"/>
        </w:numPr>
        <w:rPr>
          <w:rFonts w:cs="Arial"/>
        </w:rPr>
      </w:pPr>
      <w:r w:rsidRPr="00384F41">
        <w:rPr>
          <w:rFonts w:cs="Arial"/>
        </w:rPr>
        <w:t>Supporting People</w:t>
      </w:r>
      <w:bookmarkStart w:id="191" w:name="_Toc225941555"/>
      <w:bookmarkStart w:id="192" w:name="_Toc273708377"/>
      <w:bookmarkEnd w:id="186"/>
      <w:bookmarkEnd w:id="187"/>
      <w:bookmarkEnd w:id="188"/>
      <w:bookmarkEnd w:id="189"/>
      <w:bookmarkEnd w:id="190"/>
      <w:r w:rsidRPr="00384F41">
        <w:rPr>
          <w:rFonts w:cs="Arial"/>
        </w:rPr>
        <w:t xml:space="preserve"> representatives</w:t>
      </w:r>
      <w:r>
        <w:rPr>
          <w:rFonts w:cs="Arial"/>
        </w:rPr>
        <w:t>.</w:t>
      </w:r>
    </w:p>
    <w:p w:rsidR="00EE6B85" w:rsidRPr="009053E8" w:rsidRDefault="00EE6B85" w:rsidP="00EE6B85">
      <w:r>
        <w:t>.</w:t>
      </w:r>
    </w:p>
    <w:p w:rsidR="00EE6B85" w:rsidRDefault="00EE6B85" w:rsidP="00EE6B85">
      <w:pPr>
        <w:pStyle w:val="Heading1"/>
        <w:numPr>
          <w:ilvl w:val="0"/>
          <w:numId w:val="0"/>
        </w:numPr>
      </w:pPr>
      <w:r>
        <w:br w:type="page"/>
      </w:r>
      <w:bookmarkStart w:id="193" w:name="_Toc318323430"/>
      <w:bookmarkStart w:id="194" w:name="_Toc333507783"/>
      <w:bookmarkStart w:id="195" w:name="_Toc305102401"/>
      <w:bookmarkStart w:id="196" w:name="_Toc280272447"/>
      <w:r>
        <w:t>Technical Appendix B: The Current Housing Market</w:t>
      </w:r>
      <w:bookmarkEnd w:id="193"/>
      <w:bookmarkEnd w:id="194"/>
    </w:p>
    <w:p w:rsidR="00EE6B85" w:rsidRDefault="00EE6B85" w:rsidP="00EE6B85">
      <w:pPr>
        <w:pStyle w:val="Maintext"/>
        <w:numPr>
          <w:ilvl w:val="0"/>
          <w:numId w:val="0"/>
        </w:numPr>
        <w:rPr>
          <w:b/>
        </w:rPr>
      </w:pPr>
      <w:r>
        <w:rPr>
          <w:b/>
        </w:rPr>
        <w:t>Underpins core outputs 1 and 2</w:t>
      </w:r>
    </w:p>
    <w:p w:rsidR="00EE6B85" w:rsidRDefault="00EE6B85" w:rsidP="00EE6B85"/>
    <w:p w:rsidR="00EE6B85" w:rsidRDefault="00EE6B85" w:rsidP="00EE6B85">
      <w:pPr>
        <w:pStyle w:val="Heading2"/>
      </w:pPr>
      <w:bookmarkStart w:id="197" w:name="_Toc225941556"/>
      <w:bookmarkStart w:id="198" w:name="_Toc273698045"/>
      <w:bookmarkStart w:id="199" w:name="_Toc273708378"/>
      <w:bookmarkStart w:id="200" w:name="_Toc280272448"/>
      <w:bookmarkStart w:id="201" w:name="_Toc318323431"/>
      <w:bookmarkStart w:id="202" w:name="_Toc320271448"/>
      <w:bookmarkStart w:id="203" w:name="_Toc326077243"/>
      <w:bookmarkStart w:id="204" w:name="_Toc333507784"/>
      <w:r>
        <w:t>Summary of contents</w:t>
      </w:r>
      <w:bookmarkEnd w:id="197"/>
      <w:bookmarkEnd w:id="198"/>
      <w:bookmarkEnd w:id="199"/>
      <w:bookmarkEnd w:id="200"/>
      <w:bookmarkEnd w:id="201"/>
      <w:bookmarkEnd w:id="202"/>
      <w:bookmarkEnd w:id="203"/>
      <w:bookmarkEnd w:id="204"/>
    </w:p>
    <w:p w:rsidR="00EE6B85" w:rsidRDefault="00EE6B85" w:rsidP="00EE6B85">
      <w:pPr>
        <w:pStyle w:val="Maintext"/>
        <w:numPr>
          <w:ilvl w:val="0"/>
          <w:numId w:val="0"/>
        </w:numPr>
      </w:pPr>
    </w:p>
    <w:tbl>
      <w:tblPr>
        <w:tblW w:w="0" w:type="auto"/>
        <w:jc w:val="center"/>
        <w:tblLook w:val="01E0" w:firstRow="1" w:lastRow="1" w:firstColumn="1" w:lastColumn="1" w:noHBand="0" w:noVBand="0"/>
      </w:tblPr>
      <w:tblGrid>
        <w:gridCol w:w="1653"/>
        <w:gridCol w:w="5340"/>
      </w:tblGrid>
      <w:tr w:rsidR="00EE6B85" w:rsidTr="00176832">
        <w:trPr>
          <w:jc w:val="center"/>
        </w:trPr>
        <w:tc>
          <w:tcPr>
            <w:tcW w:w="6993" w:type="dxa"/>
            <w:gridSpan w:val="2"/>
          </w:tcPr>
          <w:p w:rsidR="00EE6B85" w:rsidRDefault="00EE6B85" w:rsidP="00176832">
            <w:pPr>
              <w:pStyle w:val="Maintext"/>
              <w:numPr>
                <w:ilvl w:val="0"/>
                <w:numId w:val="0"/>
              </w:numPr>
              <w:rPr>
                <w:b/>
                <w:color w:val="008080"/>
              </w:rPr>
            </w:pPr>
            <w:r>
              <w:rPr>
                <w:b/>
                <w:color w:val="008080"/>
              </w:rPr>
              <w:t>Stage 1: Demographic and economic context</w:t>
            </w:r>
          </w:p>
        </w:tc>
      </w:tr>
      <w:tr w:rsidR="00EE6B85" w:rsidTr="00176832">
        <w:trPr>
          <w:jc w:val="center"/>
        </w:trPr>
        <w:tc>
          <w:tcPr>
            <w:tcW w:w="1653" w:type="dxa"/>
          </w:tcPr>
          <w:p w:rsidR="00EE6B85" w:rsidRDefault="00EE6B85" w:rsidP="00176832">
            <w:pPr>
              <w:pStyle w:val="Maintext"/>
              <w:numPr>
                <w:ilvl w:val="0"/>
                <w:numId w:val="0"/>
              </w:numPr>
            </w:pPr>
            <w:r>
              <w:t>Step 1.1</w:t>
            </w:r>
          </w:p>
        </w:tc>
        <w:tc>
          <w:tcPr>
            <w:tcW w:w="5340" w:type="dxa"/>
          </w:tcPr>
          <w:p w:rsidR="00EE6B85" w:rsidRDefault="00EE6B85" w:rsidP="00176832">
            <w:pPr>
              <w:pStyle w:val="Maintext"/>
              <w:numPr>
                <w:ilvl w:val="0"/>
                <w:numId w:val="0"/>
              </w:numPr>
            </w:pPr>
            <w:r>
              <w:t>Demography and household types</w:t>
            </w:r>
          </w:p>
        </w:tc>
      </w:tr>
      <w:tr w:rsidR="00EE6B85" w:rsidTr="00176832">
        <w:trPr>
          <w:jc w:val="center"/>
        </w:trPr>
        <w:tc>
          <w:tcPr>
            <w:tcW w:w="1653" w:type="dxa"/>
          </w:tcPr>
          <w:p w:rsidR="00EE6B85" w:rsidRDefault="00EE6B85" w:rsidP="00176832">
            <w:pPr>
              <w:pStyle w:val="Maintext"/>
              <w:numPr>
                <w:ilvl w:val="0"/>
                <w:numId w:val="0"/>
              </w:numPr>
            </w:pPr>
            <w:r>
              <w:t>Step 1.2</w:t>
            </w:r>
          </w:p>
        </w:tc>
        <w:tc>
          <w:tcPr>
            <w:tcW w:w="5340" w:type="dxa"/>
          </w:tcPr>
          <w:p w:rsidR="00EE6B85" w:rsidRDefault="00EE6B85" w:rsidP="00176832">
            <w:pPr>
              <w:pStyle w:val="Maintext"/>
              <w:numPr>
                <w:ilvl w:val="0"/>
                <w:numId w:val="0"/>
              </w:numPr>
            </w:pPr>
            <w:r>
              <w:t>National and regional economic policy</w:t>
            </w:r>
          </w:p>
        </w:tc>
      </w:tr>
      <w:tr w:rsidR="00EE6B85" w:rsidTr="00176832">
        <w:trPr>
          <w:jc w:val="center"/>
        </w:trPr>
        <w:tc>
          <w:tcPr>
            <w:tcW w:w="1653" w:type="dxa"/>
          </w:tcPr>
          <w:p w:rsidR="00EE6B85" w:rsidRDefault="00EE6B85" w:rsidP="00176832">
            <w:pPr>
              <w:pStyle w:val="Maintext"/>
              <w:numPr>
                <w:ilvl w:val="0"/>
                <w:numId w:val="0"/>
              </w:numPr>
            </w:pPr>
            <w:r>
              <w:t>Step 1.3</w:t>
            </w:r>
          </w:p>
        </w:tc>
        <w:tc>
          <w:tcPr>
            <w:tcW w:w="5340" w:type="dxa"/>
          </w:tcPr>
          <w:p w:rsidR="00EE6B85" w:rsidRDefault="00EE6B85" w:rsidP="00176832">
            <w:pPr>
              <w:pStyle w:val="Maintext"/>
              <w:numPr>
                <w:ilvl w:val="0"/>
                <w:numId w:val="0"/>
              </w:numPr>
            </w:pPr>
            <w:r>
              <w:t>Employment levels and structure</w:t>
            </w:r>
          </w:p>
        </w:tc>
      </w:tr>
      <w:tr w:rsidR="00EE6B85" w:rsidTr="00176832">
        <w:trPr>
          <w:jc w:val="center"/>
        </w:trPr>
        <w:tc>
          <w:tcPr>
            <w:tcW w:w="1653" w:type="dxa"/>
          </w:tcPr>
          <w:p w:rsidR="00EE6B85" w:rsidRDefault="00EE6B85" w:rsidP="00176832">
            <w:pPr>
              <w:pStyle w:val="Maintext"/>
              <w:numPr>
                <w:ilvl w:val="0"/>
                <w:numId w:val="0"/>
              </w:numPr>
            </w:pPr>
            <w:r>
              <w:t>Step 1.4</w:t>
            </w:r>
          </w:p>
        </w:tc>
        <w:tc>
          <w:tcPr>
            <w:tcW w:w="5340" w:type="dxa"/>
          </w:tcPr>
          <w:p w:rsidR="00EE6B85" w:rsidRDefault="00EE6B85" w:rsidP="00176832">
            <w:pPr>
              <w:pStyle w:val="Maintext"/>
              <w:numPr>
                <w:ilvl w:val="0"/>
                <w:numId w:val="0"/>
              </w:numPr>
            </w:pPr>
            <w:r>
              <w:t>Incomes and earnings</w:t>
            </w:r>
          </w:p>
        </w:tc>
      </w:tr>
      <w:tr w:rsidR="00EE6B85" w:rsidTr="00176832">
        <w:trPr>
          <w:jc w:val="center"/>
        </w:trPr>
        <w:tc>
          <w:tcPr>
            <w:tcW w:w="6993" w:type="dxa"/>
            <w:gridSpan w:val="2"/>
          </w:tcPr>
          <w:p w:rsidR="00EE6B85" w:rsidRDefault="00EE6B85" w:rsidP="00176832">
            <w:pPr>
              <w:pStyle w:val="Maintext"/>
              <w:numPr>
                <w:ilvl w:val="0"/>
                <w:numId w:val="0"/>
              </w:numPr>
              <w:rPr>
                <w:color w:val="008080"/>
              </w:rPr>
            </w:pPr>
            <w:r>
              <w:rPr>
                <w:b/>
                <w:color w:val="008080"/>
              </w:rPr>
              <w:t>Stage 2: The housing stock</w:t>
            </w:r>
          </w:p>
        </w:tc>
      </w:tr>
      <w:tr w:rsidR="00EE6B85" w:rsidTr="00176832">
        <w:trPr>
          <w:jc w:val="center"/>
        </w:trPr>
        <w:tc>
          <w:tcPr>
            <w:tcW w:w="1653" w:type="dxa"/>
          </w:tcPr>
          <w:p w:rsidR="00EE6B85" w:rsidRDefault="00EE6B85" w:rsidP="00176832">
            <w:pPr>
              <w:pStyle w:val="Maintext"/>
              <w:numPr>
                <w:ilvl w:val="0"/>
                <w:numId w:val="0"/>
              </w:numPr>
            </w:pPr>
            <w:r>
              <w:t>Step 2.1</w:t>
            </w:r>
          </w:p>
        </w:tc>
        <w:tc>
          <w:tcPr>
            <w:tcW w:w="5340" w:type="dxa"/>
          </w:tcPr>
          <w:p w:rsidR="00EE6B85" w:rsidRDefault="00EE6B85" w:rsidP="00176832">
            <w:pPr>
              <w:pStyle w:val="Maintext"/>
              <w:numPr>
                <w:ilvl w:val="0"/>
                <w:numId w:val="0"/>
              </w:numPr>
              <w:ind w:left="709" w:hanging="709"/>
            </w:pPr>
            <w:r>
              <w:t>Dwelling profile</w:t>
            </w:r>
          </w:p>
        </w:tc>
      </w:tr>
      <w:tr w:rsidR="00EE6B85" w:rsidTr="00176832">
        <w:trPr>
          <w:jc w:val="center"/>
        </w:trPr>
        <w:tc>
          <w:tcPr>
            <w:tcW w:w="1653" w:type="dxa"/>
          </w:tcPr>
          <w:p w:rsidR="00EE6B85" w:rsidRDefault="00EE6B85" w:rsidP="00176832">
            <w:pPr>
              <w:pStyle w:val="Maintext"/>
              <w:numPr>
                <w:ilvl w:val="0"/>
                <w:numId w:val="0"/>
              </w:numPr>
            </w:pPr>
            <w:r>
              <w:t>Step 2.2</w:t>
            </w:r>
          </w:p>
        </w:tc>
        <w:tc>
          <w:tcPr>
            <w:tcW w:w="5340" w:type="dxa"/>
          </w:tcPr>
          <w:p w:rsidR="00EE6B85" w:rsidRDefault="00EE6B85" w:rsidP="00176832">
            <w:pPr>
              <w:pStyle w:val="Maintext"/>
              <w:numPr>
                <w:ilvl w:val="0"/>
                <w:numId w:val="0"/>
              </w:numPr>
            </w:pPr>
            <w:r>
              <w:t>Stock condition</w:t>
            </w:r>
          </w:p>
        </w:tc>
      </w:tr>
      <w:tr w:rsidR="00EE6B85" w:rsidTr="00176832">
        <w:trPr>
          <w:jc w:val="center"/>
        </w:trPr>
        <w:tc>
          <w:tcPr>
            <w:tcW w:w="1653" w:type="dxa"/>
          </w:tcPr>
          <w:p w:rsidR="00EE6B85" w:rsidRDefault="00EE6B85" w:rsidP="00176832">
            <w:pPr>
              <w:pStyle w:val="Maintext"/>
              <w:numPr>
                <w:ilvl w:val="0"/>
                <w:numId w:val="0"/>
              </w:numPr>
            </w:pPr>
            <w:r>
              <w:t>Step 2.3</w:t>
            </w:r>
          </w:p>
        </w:tc>
        <w:tc>
          <w:tcPr>
            <w:tcW w:w="5340" w:type="dxa"/>
          </w:tcPr>
          <w:p w:rsidR="00EE6B85" w:rsidRDefault="00EE6B85" w:rsidP="00176832">
            <w:pPr>
              <w:pStyle w:val="Maintext"/>
              <w:numPr>
                <w:ilvl w:val="0"/>
                <w:numId w:val="0"/>
              </w:numPr>
            </w:pPr>
            <w:r>
              <w:t>Shared housing and communal establishments</w:t>
            </w:r>
          </w:p>
        </w:tc>
      </w:tr>
      <w:tr w:rsidR="00EE6B85" w:rsidTr="00176832">
        <w:trPr>
          <w:jc w:val="center"/>
        </w:trPr>
        <w:tc>
          <w:tcPr>
            <w:tcW w:w="6993" w:type="dxa"/>
            <w:gridSpan w:val="2"/>
          </w:tcPr>
          <w:p w:rsidR="00EE6B85" w:rsidRDefault="00EE6B85" w:rsidP="00176832">
            <w:pPr>
              <w:pStyle w:val="Maintext"/>
              <w:numPr>
                <w:ilvl w:val="0"/>
                <w:numId w:val="0"/>
              </w:numPr>
            </w:pPr>
            <w:r>
              <w:rPr>
                <w:b/>
                <w:color w:val="008080"/>
              </w:rPr>
              <w:t>Stage 3: The active market</w:t>
            </w:r>
          </w:p>
        </w:tc>
      </w:tr>
      <w:tr w:rsidR="00EE6B85" w:rsidTr="00176832">
        <w:trPr>
          <w:jc w:val="center"/>
        </w:trPr>
        <w:tc>
          <w:tcPr>
            <w:tcW w:w="1653" w:type="dxa"/>
          </w:tcPr>
          <w:p w:rsidR="00EE6B85" w:rsidRDefault="00EE6B85" w:rsidP="00176832">
            <w:pPr>
              <w:pStyle w:val="Maintext"/>
              <w:numPr>
                <w:ilvl w:val="0"/>
                <w:numId w:val="0"/>
              </w:numPr>
            </w:pPr>
            <w:r>
              <w:t>Step 3.1</w:t>
            </w:r>
          </w:p>
        </w:tc>
        <w:tc>
          <w:tcPr>
            <w:tcW w:w="5340" w:type="dxa"/>
          </w:tcPr>
          <w:p w:rsidR="00EE6B85" w:rsidRDefault="00EE6B85" w:rsidP="00176832">
            <w:pPr>
              <w:pStyle w:val="Maintext"/>
              <w:numPr>
                <w:ilvl w:val="0"/>
                <w:numId w:val="0"/>
              </w:numPr>
            </w:pPr>
            <w:r>
              <w:t>The cost of buying or renting a property</w:t>
            </w:r>
          </w:p>
        </w:tc>
      </w:tr>
      <w:tr w:rsidR="00EE6B85" w:rsidTr="00176832">
        <w:trPr>
          <w:jc w:val="center"/>
        </w:trPr>
        <w:tc>
          <w:tcPr>
            <w:tcW w:w="1653" w:type="dxa"/>
          </w:tcPr>
          <w:p w:rsidR="00EE6B85" w:rsidRDefault="00EE6B85" w:rsidP="00176832">
            <w:pPr>
              <w:pStyle w:val="Maintext"/>
              <w:numPr>
                <w:ilvl w:val="0"/>
                <w:numId w:val="0"/>
              </w:numPr>
            </w:pPr>
            <w:r>
              <w:t>Step 3.2</w:t>
            </w:r>
          </w:p>
        </w:tc>
        <w:tc>
          <w:tcPr>
            <w:tcW w:w="5340" w:type="dxa"/>
          </w:tcPr>
          <w:p w:rsidR="00EE6B85" w:rsidRDefault="00EE6B85" w:rsidP="00176832">
            <w:pPr>
              <w:pStyle w:val="Maintext"/>
              <w:numPr>
                <w:ilvl w:val="0"/>
                <w:numId w:val="0"/>
              </w:numPr>
            </w:pPr>
            <w:r>
              <w:t>Affordability of housing</w:t>
            </w:r>
          </w:p>
        </w:tc>
      </w:tr>
      <w:tr w:rsidR="00EE6B85" w:rsidTr="00176832">
        <w:trPr>
          <w:jc w:val="center"/>
        </w:trPr>
        <w:tc>
          <w:tcPr>
            <w:tcW w:w="1653" w:type="dxa"/>
          </w:tcPr>
          <w:p w:rsidR="00EE6B85" w:rsidRDefault="00EE6B85" w:rsidP="00176832">
            <w:pPr>
              <w:pStyle w:val="Maintext"/>
              <w:numPr>
                <w:ilvl w:val="0"/>
                <w:numId w:val="0"/>
              </w:numPr>
            </w:pPr>
            <w:r>
              <w:t>Step 3.3</w:t>
            </w:r>
          </w:p>
        </w:tc>
        <w:tc>
          <w:tcPr>
            <w:tcW w:w="5340" w:type="dxa"/>
          </w:tcPr>
          <w:p w:rsidR="00EE6B85" w:rsidRDefault="00EE6B85" w:rsidP="00176832">
            <w:pPr>
              <w:pStyle w:val="Maintext"/>
              <w:numPr>
                <w:ilvl w:val="0"/>
                <w:numId w:val="0"/>
              </w:numPr>
            </w:pPr>
            <w:r>
              <w:t>Overcrowding and under-occupation</w:t>
            </w:r>
          </w:p>
        </w:tc>
      </w:tr>
      <w:tr w:rsidR="00EE6B85" w:rsidTr="00176832">
        <w:trPr>
          <w:jc w:val="center"/>
        </w:trPr>
        <w:tc>
          <w:tcPr>
            <w:tcW w:w="1653" w:type="dxa"/>
          </w:tcPr>
          <w:p w:rsidR="00EE6B85" w:rsidRDefault="00EE6B85" w:rsidP="00176832">
            <w:pPr>
              <w:pStyle w:val="Maintext"/>
              <w:numPr>
                <w:ilvl w:val="0"/>
                <w:numId w:val="0"/>
              </w:numPr>
            </w:pPr>
            <w:r>
              <w:t>Step 3.4</w:t>
            </w:r>
          </w:p>
        </w:tc>
        <w:tc>
          <w:tcPr>
            <w:tcW w:w="5340" w:type="dxa"/>
          </w:tcPr>
          <w:p w:rsidR="00EE6B85" w:rsidRDefault="00EE6B85" w:rsidP="00176832">
            <w:pPr>
              <w:pStyle w:val="Maintext"/>
              <w:numPr>
                <w:ilvl w:val="0"/>
                <w:numId w:val="0"/>
              </w:numPr>
            </w:pPr>
            <w:r>
              <w:t>Vacancies, turnover rates and available supply by tenure</w:t>
            </w:r>
          </w:p>
        </w:tc>
      </w:tr>
      <w:tr w:rsidR="00EE6B85" w:rsidTr="00176832">
        <w:trPr>
          <w:jc w:val="center"/>
        </w:trPr>
        <w:tc>
          <w:tcPr>
            <w:tcW w:w="6993" w:type="dxa"/>
            <w:gridSpan w:val="2"/>
          </w:tcPr>
          <w:p w:rsidR="00EE6B85" w:rsidRDefault="00EE6B85" w:rsidP="00176832">
            <w:pPr>
              <w:pStyle w:val="Maintext"/>
              <w:numPr>
                <w:ilvl w:val="0"/>
                <w:numId w:val="0"/>
              </w:numPr>
            </w:pPr>
            <w:r>
              <w:rPr>
                <w:b/>
                <w:color w:val="008080"/>
              </w:rPr>
              <w:t>Stage 4: Bringing the evidence together</w:t>
            </w:r>
          </w:p>
        </w:tc>
      </w:tr>
      <w:tr w:rsidR="00EE6B85" w:rsidTr="00176832">
        <w:trPr>
          <w:jc w:val="center"/>
        </w:trPr>
        <w:tc>
          <w:tcPr>
            <w:tcW w:w="1653" w:type="dxa"/>
          </w:tcPr>
          <w:p w:rsidR="00EE6B85" w:rsidRDefault="00EE6B85" w:rsidP="00176832">
            <w:pPr>
              <w:pStyle w:val="Maintext"/>
              <w:numPr>
                <w:ilvl w:val="0"/>
                <w:numId w:val="0"/>
              </w:numPr>
            </w:pPr>
            <w:r>
              <w:t>Step 4.1</w:t>
            </w:r>
          </w:p>
        </w:tc>
        <w:tc>
          <w:tcPr>
            <w:tcW w:w="5340" w:type="dxa"/>
          </w:tcPr>
          <w:p w:rsidR="00EE6B85" w:rsidRDefault="00EE6B85" w:rsidP="00176832">
            <w:pPr>
              <w:pStyle w:val="Maintext"/>
              <w:numPr>
                <w:ilvl w:val="0"/>
                <w:numId w:val="0"/>
              </w:numPr>
            </w:pPr>
            <w:r>
              <w:t>Mapping market characteristics</w:t>
            </w:r>
          </w:p>
        </w:tc>
      </w:tr>
      <w:tr w:rsidR="00EE6B85" w:rsidTr="00176832">
        <w:trPr>
          <w:jc w:val="center"/>
        </w:trPr>
        <w:tc>
          <w:tcPr>
            <w:tcW w:w="1653" w:type="dxa"/>
          </w:tcPr>
          <w:p w:rsidR="00EE6B85" w:rsidRDefault="00EE6B85" w:rsidP="00176832">
            <w:pPr>
              <w:pStyle w:val="Maintext"/>
              <w:numPr>
                <w:ilvl w:val="0"/>
                <w:numId w:val="0"/>
              </w:numPr>
            </w:pPr>
            <w:r>
              <w:t>Step 4.2</w:t>
            </w:r>
          </w:p>
        </w:tc>
        <w:tc>
          <w:tcPr>
            <w:tcW w:w="5340" w:type="dxa"/>
          </w:tcPr>
          <w:p w:rsidR="00EE6B85" w:rsidRDefault="00EE6B85" w:rsidP="00176832">
            <w:pPr>
              <w:pStyle w:val="Maintext"/>
              <w:numPr>
                <w:ilvl w:val="0"/>
                <w:numId w:val="0"/>
              </w:numPr>
            </w:pPr>
            <w:r>
              <w:t>Trends and drivers</w:t>
            </w:r>
          </w:p>
        </w:tc>
      </w:tr>
      <w:tr w:rsidR="00EE6B85" w:rsidTr="00176832">
        <w:trPr>
          <w:jc w:val="center"/>
        </w:trPr>
        <w:tc>
          <w:tcPr>
            <w:tcW w:w="1653" w:type="dxa"/>
          </w:tcPr>
          <w:p w:rsidR="00EE6B85" w:rsidRDefault="00EE6B85" w:rsidP="00176832">
            <w:pPr>
              <w:pStyle w:val="Maintext"/>
              <w:numPr>
                <w:ilvl w:val="0"/>
                <w:numId w:val="0"/>
              </w:numPr>
            </w:pPr>
            <w:r>
              <w:t>Step 4.3</w:t>
            </w:r>
          </w:p>
        </w:tc>
        <w:tc>
          <w:tcPr>
            <w:tcW w:w="5340" w:type="dxa"/>
          </w:tcPr>
          <w:p w:rsidR="00EE6B85" w:rsidRDefault="00EE6B85" w:rsidP="00176832">
            <w:pPr>
              <w:pStyle w:val="Maintext"/>
              <w:numPr>
                <w:ilvl w:val="0"/>
                <w:numId w:val="0"/>
              </w:numPr>
            </w:pPr>
            <w:r>
              <w:t>Issues for future policy/strategy</w:t>
            </w:r>
          </w:p>
        </w:tc>
      </w:tr>
    </w:tbl>
    <w:p w:rsidR="00EE6B85" w:rsidRDefault="00EE6B85" w:rsidP="00EE6B85">
      <w:pPr>
        <w:pStyle w:val="Maintext"/>
        <w:numPr>
          <w:ilvl w:val="0"/>
          <w:numId w:val="0"/>
        </w:numPr>
      </w:pPr>
    </w:p>
    <w:p w:rsidR="00F704B2" w:rsidRDefault="00F704B2" w:rsidP="00F704B2">
      <w:pPr>
        <w:pStyle w:val="Heading2"/>
        <w:ind w:left="0"/>
        <w:rPr>
          <w:rFonts w:cs="Times New Roman"/>
          <w:b w:val="0"/>
          <w:bCs w:val="0"/>
          <w:iCs w:val="0"/>
          <w:color w:val="auto"/>
          <w:sz w:val="24"/>
          <w:szCs w:val="24"/>
        </w:rPr>
      </w:pPr>
    </w:p>
    <w:p w:rsidR="005B5D15" w:rsidRPr="005B5D15" w:rsidRDefault="005B5D15" w:rsidP="005B5D15"/>
    <w:p w:rsidR="00F704B2" w:rsidRDefault="00F704B2" w:rsidP="00F704B2">
      <w:pPr>
        <w:pStyle w:val="Heading2"/>
        <w:ind w:left="0"/>
      </w:pPr>
      <w:r>
        <w:rPr>
          <w:rFonts w:cs="Times New Roman"/>
          <w:b w:val="0"/>
          <w:bCs w:val="0"/>
          <w:iCs w:val="0"/>
          <w:color w:val="auto"/>
          <w:sz w:val="24"/>
          <w:szCs w:val="24"/>
        </w:rPr>
        <w:tab/>
      </w:r>
      <w:bookmarkStart w:id="205" w:name="_Toc322443359"/>
      <w:bookmarkStart w:id="206" w:name="_Toc333507785"/>
      <w:r>
        <w:t>Introduction</w:t>
      </w:r>
      <w:bookmarkEnd w:id="205"/>
      <w:bookmarkEnd w:id="206"/>
    </w:p>
    <w:p w:rsidR="00F704B2" w:rsidRDefault="00F704B2" w:rsidP="00F704B2">
      <w:pPr>
        <w:pStyle w:val="Maintext"/>
        <w:numPr>
          <w:ilvl w:val="0"/>
          <w:numId w:val="0"/>
        </w:numPr>
      </w:pPr>
    </w:p>
    <w:p w:rsidR="00F704B2" w:rsidRDefault="00F704B2" w:rsidP="00F704B2">
      <w:pPr>
        <w:pStyle w:val="Maintext"/>
        <w:numPr>
          <w:ilvl w:val="1"/>
          <w:numId w:val="8"/>
        </w:numPr>
      </w:pPr>
      <w:r>
        <w:t>There are three key primary drivers influencing the current (and future) housing market: demographic, economic and dwelling stock characteristics, as summarised in Table B1.  This technical appendix specifically considers demographic and economic drivers in the context of County Durham:  dwelling stock characteristics are discussed in Stage 2.</w:t>
      </w:r>
    </w:p>
    <w:p w:rsidR="00F704B2" w:rsidRDefault="00F704B2" w:rsidP="00F704B2">
      <w:pPr>
        <w:pStyle w:val="Maintext"/>
        <w:numPr>
          <w:ilvl w:val="0"/>
          <w:numId w:val="0"/>
        </w:numPr>
      </w:pPr>
    </w:p>
    <w:p w:rsidR="00F704B2" w:rsidRDefault="00F704B2" w:rsidP="00F704B2">
      <w:pPr>
        <w:pStyle w:val="Maintext"/>
        <w:numPr>
          <w:ilvl w:val="0"/>
          <w:numId w:val="0"/>
        </w:numPr>
        <w:ind w:left="709"/>
      </w:pPr>
      <w:r>
        <w:rPr>
          <w:b/>
        </w:rPr>
        <w:t>Table B1</w:t>
      </w:r>
      <w:r>
        <w:tab/>
        <w:t>Primary market drivers</w:t>
      </w:r>
    </w:p>
    <w:tbl>
      <w:tblPr>
        <w:tblW w:w="8651" w:type="dxa"/>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53"/>
        <w:gridCol w:w="3747"/>
        <w:gridCol w:w="2651"/>
      </w:tblGrid>
      <w:tr w:rsidR="00F704B2" w:rsidTr="003C5498">
        <w:tc>
          <w:tcPr>
            <w:tcW w:w="2253" w:type="dxa"/>
            <w:shd w:val="clear" w:color="auto" w:fill="008080"/>
          </w:tcPr>
          <w:p w:rsidR="00F704B2" w:rsidRDefault="00F704B2" w:rsidP="003C5498">
            <w:pPr>
              <w:pStyle w:val="Maintext"/>
              <w:numPr>
                <w:ilvl w:val="0"/>
                <w:numId w:val="0"/>
              </w:numPr>
              <w:spacing w:before="0" w:after="0"/>
              <w:rPr>
                <w:b/>
                <w:color w:val="FFFFFF"/>
                <w:lang w:val="en-US"/>
              </w:rPr>
            </w:pPr>
            <w:r>
              <w:rPr>
                <w:b/>
                <w:color w:val="FFFFFF"/>
                <w:lang w:val="en-US"/>
              </w:rPr>
              <w:t>Primary Driver</w:t>
            </w:r>
          </w:p>
        </w:tc>
        <w:tc>
          <w:tcPr>
            <w:tcW w:w="3747" w:type="dxa"/>
            <w:shd w:val="clear" w:color="auto" w:fill="008080"/>
          </w:tcPr>
          <w:p w:rsidR="00F704B2" w:rsidRDefault="00F704B2" w:rsidP="003C5498">
            <w:pPr>
              <w:pStyle w:val="Maintext"/>
              <w:numPr>
                <w:ilvl w:val="0"/>
                <w:numId w:val="0"/>
              </w:numPr>
              <w:spacing w:before="0" w:after="0"/>
              <w:jc w:val="left"/>
              <w:rPr>
                <w:b/>
                <w:color w:val="FFFFFF"/>
                <w:lang w:val="en-US"/>
              </w:rPr>
            </w:pPr>
            <w:r>
              <w:rPr>
                <w:b/>
                <w:color w:val="FFFFFF"/>
                <w:lang w:val="en-US"/>
              </w:rPr>
              <w:t>Attributes</w:t>
            </w:r>
          </w:p>
        </w:tc>
        <w:tc>
          <w:tcPr>
            <w:tcW w:w="2651" w:type="dxa"/>
            <w:shd w:val="clear" w:color="auto" w:fill="008080"/>
          </w:tcPr>
          <w:p w:rsidR="00F704B2" w:rsidRDefault="00F704B2" w:rsidP="003C5498">
            <w:pPr>
              <w:pStyle w:val="Maintext"/>
              <w:numPr>
                <w:ilvl w:val="0"/>
                <w:numId w:val="0"/>
              </w:numPr>
              <w:spacing w:before="0" w:after="0"/>
              <w:rPr>
                <w:b/>
                <w:color w:val="FFFFFF"/>
                <w:lang w:val="en-US"/>
              </w:rPr>
            </w:pPr>
            <w:r>
              <w:rPr>
                <w:b/>
                <w:color w:val="FFFFFF"/>
                <w:lang w:val="en-US"/>
              </w:rPr>
              <w:t>Impact on overall demand through:</w:t>
            </w:r>
          </w:p>
        </w:tc>
      </w:tr>
      <w:tr w:rsidR="00F704B2" w:rsidTr="003C5498">
        <w:tc>
          <w:tcPr>
            <w:tcW w:w="2253" w:type="dxa"/>
          </w:tcPr>
          <w:p w:rsidR="00F704B2" w:rsidRDefault="00F704B2" w:rsidP="003C5498">
            <w:pPr>
              <w:pStyle w:val="Maintext"/>
              <w:numPr>
                <w:ilvl w:val="0"/>
                <w:numId w:val="0"/>
              </w:numPr>
              <w:spacing w:before="0" w:after="0"/>
              <w:rPr>
                <w:lang w:val="en-US"/>
              </w:rPr>
            </w:pPr>
            <w:r>
              <w:rPr>
                <w:lang w:val="en-US"/>
              </w:rPr>
              <w:t>Demography</w:t>
            </w:r>
          </w:p>
        </w:tc>
        <w:tc>
          <w:tcPr>
            <w:tcW w:w="3747" w:type="dxa"/>
          </w:tcPr>
          <w:p w:rsidR="00F704B2" w:rsidRDefault="00F704B2" w:rsidP="003C5498">
            <w:pPr>
              <w:pStyle w:val="Maintext"/>
              <w:numPr>
                <w:ilvl w:val="0"/>
                <w:numId w:val="0"/>
              </w:numPr>
              <w:spacing w:before="0" w:after="0"/>
              <w:jc w:val="left"/>
              <w:rPr>
                <w:lang w:val="en-US"/>
              </w:rPr>
            </w:pPr>
            <w:r>
              <w:rPr>
                <w:lang w:val="en-US"/>
              </w:rPr>
              <w:t>Changing no. of households, household structure, ethnicity</w:t>
            </w:r>
          </w:p>
        </w:tc>
        <w:tc>
          <w:tcPr>
            <w:tcW w:w="2651" w:type="dxa"/>
          </w:tcPr>
          <w:p w:rsidR="00F704B2" w:rsidRDefault="00F704B2" w:rsidP="003C5498">
            <w:pPr>
              <w:pStyle w:val="Maintext"/>
              <w:numPr>
                <w:ilvl w:val="0"/>
                <w:numId w:val="0"/>
              </w:numPr>
              <w:spacing w:before="0" w:after="0"/>
              <w:rPr>
                <w:lang w:val="en-US"/>
              </w:rPr>
            </w:pPr>
            <w:r>
              <w:rPr>
                <w:lang w:val="en-US"/>
              </w:rPr>
              <w:t>Natural Change</w:t>
            </w:r>
          </w:p>
        </w:tc>
      </w:tr>
      <w:tr w:rsidR="00F704B2" w:rsidTr="003C5498">
        <w:tc>
          <w:tcPr>
            <w:tcW w:w="2253" w:type="dxa"/>
          </w:tcPr>
          <w:p w:rsidR="00F704B2" w:rsidRDefault="00F704B2" w:rsidP="003C5498">
            <w:pPr>
              <w:pStyle w:val="Maintext"/>
              <w:numPr>
                <w:ilvl w:val="0"/>
                <w:numId w:val="0"/>
              </w:numPr>
              <w:spacing w:before="0" w:after="0"/>
              <w:rPr>
                <w:lang w:val="en-US"/>
              </w:rPr>
            </w:pPr>
            <w:r>
              <w:rPr>
                <w:lang w:val="en-US"/>
              </w:rPr>
              <w:t>Economy</w:t>
            </w:r>
          </w:p>
        </w:tc>
        <w:tc>
          <w:tcPr>
            <w:tcW w:w="3747" w:type="dxa"/>
          </w:tcPr>
          <w:p w:rsidR="00F704B2" w:rsidRDefault="00F704B2" w:rsidP="003C5498">
            <w:pPr>
              <w:pStyle w:val="Maintext"/>
              <w:numPr>
                <w:ilvl w:val="0"/>
                <w:numId w:val="0"/>
              </w:numPr>
              <w:spacing w:before="0" w:after="0"/>
              <w:jc w:val="left"/>
              <w:rPr>
                <w:lang w:val="en-US"/>
              </w:rPr>
            </w:pPr>
            <w:r>
              <w:rPr>
                <w:lang w:val="en-US"/>
              </w:rPr>
              <w:t>Jobs, income, activity rates, unemployment</w:t>
            </w:r>
          </w:p>
        </w:tc>
        <w:tc>
          <w:tcPr>
            <w:tcW w:w="2651" w:type="dxa"/>
          </w:tcPr>
          <w:p w:rsidR="00F704B2" w:rsidRDefault="00F704B2" w:rsidP="003C5498">
            <w:pPr>
              <w:pStyle w:val="Maintext"/>
              <w:numPr>
                <w:ilvl w:val="0"/>
                <w:numId w:val="0"/>
              </w:numPr>
              <w:spacing w:before="0" w:after="0"/>
              <w:rPr>
                <w:lang w:val="en-US"/>
              </w:rPr>
            </w:pPr>
            <w:r>
              <w:rPr>
                <w:lang w:val="en-US"/>
              </w:rPr>
              <w:t>Economic migration</w:t>
            </w:r>
          </w:p>
        </w:tc>
      </w:tr>
      <w:tr w:rsidR="00F704B2" w:rsidTr="003C5498">
        <w:tc>
          <w:tcPr>
            <w:tcW w:w="2253" w:type="dxa"/>
          </w:tcPr>
          <w:p w:rsidR="00F704B2" w:rsidRDefault="00F704B2" w:rsidP="003C5498">
            <w:pPr>
              <w:pStyle w:val="Maintext"/>
              <w:numPr>
                <w:ilvl w:val="0"/>
                <w:numId w:val="0"/>
              </w:numPr>
              <w:spacing w:before="0" w:after="0"/>
              <w:rPr>
                <w:lang w:val="en-US"/>
              </w:rPr>
            </w:pPr>
            <w:r>
              <w:rPr>
                <w:lang w:val="en-US"/>
              </w:rPr>
              <w:t>Housing stock and aspirations</w:t>
            </w:r>
          </w:p>
        </w:tc>
        <w:tc>
          <w:tcPr>
            <w:tcW w:w="3747" w:type="dxa"/>
          </w:tcPr>
          <w:p w:rsidR="00F704B2" w:rsidRDefault="00F704B2" w:rsidP="003C5498">
            <w:pPr>
              <w:pStyle w:val="Maintext"/>
              <w:numPr>
                <w:ilvl w:val="0"/>
                <w:numId w:val="0"/>
              </w:numPr>
              <w:spacing w:before="0" w:after="0"/>
              <w:jc w:val="left"/>
              <w:rPr>
                <w:lang w:val="en-US"/>
              </w:rPr>
            </w:pPr>
            <w:r>
              <w:rPr>
                <w:lang w:val="en-US"/>
              </w:rPr>
              <w:t>Quality vs. aspirations, relative prices, accessibility, development programmes</w:t>
            </w:r>
          </w:p>
        </w:tc>
        <w:tc>
          <w:tcPr>
            <w:tcW w:w="2651" w:type="dxa"/>
          </w:tcPr>
          <w:p w:rsidR="00F704B2" w:rsidRDefault="00F704B2" w:rsidP="003C5498">
            <w:pPr>
              <w:pStyle w:val="Maintext"/>
              <w:numPr>
                <w:ilvl w:val="0"/>
                <w:numId w:val="0"/>
              </w:numPr>
              <w:spacing w:before="0" w:after="0"/>
              <w:rPr>
                <w:lang w:val="en-US"/>
              </w:rPr>
            </w:pPr>
            <w:r>
              <w:rPr>
                <w:lang w:val="en-US"/>
              </w:rPr>
              <w:t>Residential migration</w:t>
            </w:r>
          </w:p>
        </w:tc>
      </w:tr>
    </w:tbl>
    <w:p w:rsidR="00F704B2" w:rsidRDefault="00F704B2" w:rsidP="00F704B2"/>
    <w:p w:rsidR="00F704B2" w:rsidRDefault="00F704B2" w:rsidP="00F704B2">
      <w:pPr>
        <w:pStyle w:val="Heading2"/>
      </w:pPr>
      <w:bookmarkStart w:id="207" w:name="_Toc170878495"/>
      <w:bookmarkStart w:id="208" w:name="_Toc180919714"/>
      <w:bookmarkStart w:id="209" w:name="_Toc184123861"/>
      <w:bookmarkStart w:id="210" w:name="_Toc184198280"/>
      <w:bookmarkStart w:id="211" w:name="_Toc184200211"/>
      <w:bookmarkStart w:id="212" w:name="_Toc225941558"/>
      <w:bookmarkStart w:id="213" w:name="_Toc273698047"/>
      <w:bookmarkStart w:id="214" w:name="_Toc273708380"/>
      <w:bookmarkStart w:id="215" w:name="_Toc280272450"/>
      <w:bookmarkStart w:id="216" w:name="_Toc318323433"/>
      <w:bookmarkStart w:id="217" w:name="_Toc320271450"/>
      <w:bookmarkStart w:id="218" w:name="_Toc322443360"/>
      <w:bookmarkStart w:id="219" w:name="_Toc333507786"/>
      <w:r>
        <w:t>Stage 1: Demographic and economic context</w:t>
      </w:r>
      <w:bookmarkEnd w:id="207"/>
      <w:bookmarkEnd w:id="208"/>
      <w:bookmarkEnd w:id="209"/>
      <w:bookmarkEnd w:id="210"/>
      <w:bookmarkEnd w:id="211"/>
      <w:bookmarkEnd w:id="212"/>
      <w:bookmarkEnd w:id="213"/>
      <w:bookmarkEnd w:id="214"/>
      <w:bookmarkEnd w:id="215"/>
      <w:bookmarkEnd w:id="216"/>
      <w:bookmarkEnd w:id="217"/>
      <w:bookmarkEnd w:id="218"/>
      <w:bookmarkEnd w:id="219"/>
      <w:r>
        <w:t xml:space="preserve"> </w:t>
      </w:r>
    </w:p>
    <w:p w:rsidR="00F704B2" w:rsidRDefault="00F704B2" w:rsidP="00F704B2"/>
    <w:p w:rsidR="00F704B2" w:rsidRDefault="00F704B2" w:rsidP="00F704B2">
      <w:pPr>
        <w:pStyle w:val="Heading3"/>
        <w:ind w:left="0" w:firstLine="720"/>
      </w:pPr>
      <w:bookmarkStart w:id="220" w:name="_Toc225941559"/>
      <w:bookmarkStart w:id="221" w:name="_Toc318323434"/>
      <w:r>
        <w:t>Step 1.1</w:t>
      </w:r>
      <w:r>
        <w:tab/>
        <w:t>Demography and household types</w:t>
      </w:r>
      <w:bookmarkEnd w:id="220"/>
      <w:bookmarkEnd w:id="221"/>
      <w:r>
        <w:t xml:space="preserve"> </w:t>
      </w:r>
    </w:p>
    <w:p w:rsidR="00F704B2" w:rsidRDefault="00F704B2" w:rsidP="00F704B2"/>
    <w:p w:rsidR="00F704B2" w:rsidRDefault="00F704B2" w:rsidP="00F704B2">
      <w:pPr>
        <w:pStyle w:val="Heading4"/>
      </w:pPr>
      <w:bookmarkStart w:id="222" w:name="_Toc225941560"/>
      <w:r>
        <w:t>Age profile</w:t>
      </w:r>
      <w:bookmarkEnd w:id="222"/>
      <w:r>
        <w:t xml:space="preserve"> </w:t>
      </w:r>
    </w:p>
    <w:p w:rsidR="00F704B2" w:rsidRDefault="00F704B2" w:rsidP="00F704B2">
      <w:pPr>
        <w:pStyle w:val="Maintext"/>
        <w:numPr>
          <w:ilvl w:val="1"/>
          <w:numId w:val="8"/>
        </w:numPr>
        <w:rPr>
          <w:b/>
          <w:iCs/>
        </w:rPr>
      </w:pPr>
      <w:r>
        <w:t>T</w:t>
      </w:r>
      <w:r w:rsidR="00C568EA">
        <w:t>he age profile of County Durham</w:t>
      </w:r>
      <w:r>
        <w:t xml:space="preserve"> is summarised in Table B2. This indicates that across County Durham, </w:t>
      </w:r>
      <w:r w:rsidR="00D124CE">
        <w:t>46.7</w:t>
      </w:r>
      <w:r>
        <w:t>% of residents are aged under 40, 2</w:t>
      </w:r>
      <w:r w:rsidR="00C349E7">
        <w:t>8.</w:t>
      </w:r>
      <w:r w:rsidR="00D124CE">
        <w:t>4</w:t>
      </w:r>
      <w:r>
        <w:t xml:space="preserve">% are aged 40-59 and </w:t>
      </w:r>
      <w:r w:rsidR="00D124CE">
        <w:t>24.9</w:t>
      </w:r>
      <w:r>
        <w:t>% are aged</w:t>
      </w:r>
      <w:r w:rsidR="00751BEF">
        <w:t xml:space="preserve"> 60 and over. Overall, the County has a </w:t>
      </w:r>
      <w:r w:rsidR="00D124CE">
        <w:t>very slightly</w:t>
      </w:r>
      <w:r w:rsidR="00751BEF">
        <w:t xml:space="preserve"> older age profile compared with the North East region</w:t>
      </w:r>
      <w:r>
        <w:t xml:space="preserve">. </w:t>
      </w:r>
    </w:p>
    <w:p w:rsidR="00F704B2" w:rsidRDefault="00F704B2" w:rsidP="00F704B2">
      <w:pPr>
        <w:pStyle w:val="Maintext"/>
        <w:numPr>
          <w:ilvl w:val="0"/>
          <w:numId w:val="0"/>
        </w:numPr>
        <w:rPr>
          <w:b/>
          <w:iCs/>
        </w:rPr>
      </w:pPr>
    </w:p>
    <w:p w:rsidR="00F704B2" w:rsidRDefault="00F704B2" w:rsidP="00F704B2">
      <w:pPr>
        <w:ind w:firstLine="720"/>
        <w:rPr>
          <w:rFonts w:cs="Arial"/>
          <w:iCs/>
        </w:rPr>
      </w:pPr>
      <w:r>
        <w:rPr>
          <w:rFonts w:cs="Arial"/>
          <w:b/>
          <w:iCs/>
        </w:rPr>
        <w:t>Table B2</w:t>
      </w:r>
      <w:r>
        <w:rPr>
          <w:rFonts w:cs="Arial"/>
          <w:iCs/>
        </w:rPr>
        <w:tab/>
        <w:t>Age profile</w:t>
      </w:r>
      <w:r w:rsidR="00D124CE">
        <w:rPr>
          <w:rFonts w:cs="Arial"/>
          <w:iCs/>
        </w:rPr>
        <w:t xml:space="preserve"> in 2011</w:t>
      </w:r>
    </w:p>
    <w:tbl>
      <w:tblPr>
        <w:tblW w:w="5172" w:type="dxa"/>
        <w:tblInd w:w="720" w:type="dxa"/>
        <w:tblLook w:val="04A0" w:firstRow="1" w:lastRow="0" w:firstColumn="1" w:lastColumn="0" w:noHBand="0" w:noVBand="1"/>
      </w:tblPr>
      <w:tblGrid>
        <w:gridCol w:w="1406"/>
        <w:gridCol w:w="2194"/>
        <w:gridCol w:w="1572"/>
      </w:tblGrid>
      <w:tr w:rsidR="00751BEF" w:rsidRPr="00751BEF" w:rsidTr="00C349E7">
        <w:trPr>
          <w:trHeight w:val="510"/>
        </w:trPr>
        <w:tc>
          <w:tcPr>
            <w:tcW w:w="1406"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751BEF" w:rsidRPr="00751BEF" w:rsidRDefault="00751BEF" w:rsidP="00751BEF">
            <w:pPr>
              <w:spacing w:before="0" w:after="0"/>
              <w:jc w:val="center"/>
              <w:rPr>
                <w:rFonts w:cs="Arial"/>
                <w:b/>
                <w:bCs/>
                <w:color w:val="FFFFFF"/>
                <w:sz w:val="20"/>
                <w:szCs w:val="20"/>
                <w:lang w:eastAsia="en-GB"/>
              </w:rPr>
            </w:pPr>
            <w:r w:rsidRPr="00751BEF">
              <w:rPr>
                <w:rFonts w:cs="Arial"/>
                <w:b/>
                <w:bCs/>
                <w:color w:val="FFFFFF"/>
                <w:sz w:val="20"/>
                <w:szCs w:val="20"/>
                <w:lang w:eastAsia="en-GB"/>
              </w:rPr>
              <w:t>Age Group</w:t>
            </w:r>
          </w:p>
        </w:tc>
        <w:tc>
          <w:tcPr>
            <w:tcW w:w="2194" w:type="dxa"/>
            <w:tcBorders>
              <w:top w:val="single" w:sz="4" w:space="0" w:color="auto"/>
              <w:left w:val="nil"/>
              <w:bottom w:val="single" w:sz="4" w:space="0" w:color="auto"/>
              <w:right w:val="single" w:sz="4" w:space="0" w:color="auto"/>
            </w:tcBorders>
            <w:shd w:val="clear" w:color="000000" w:fill="008080"/>
            <w:vAlign w:val="bottom"/>
            <w:hideMark/>
          </w:tcPr>
          <w:p w:rsidR="00751BEF" w:rsidRPr="00751BEF" w:rsidRDefault="00751BEF" w:rsidP="00751BEF">
            <w:pPr>
              <w:spacing w:before="0" w:after="0"/>
              <w:jc w:val="center"/>
              <w:rPr>
                <w:rFonts w:cs="Arial"/>
                <w:b/>
                <w:bCs/>
                <w:color w:val="FFFFFF"/>
                <w:sz w:val="20"/>
                <w:szCs w:val="20"/>
                <w:lang w:eastAsia="en-GB"/>
              </w:rPr>
            </w:pPr>
            <w:r w:rsidRPr="00751BEF">
              <w:rPr>
                <w:rFonts w:cs="Arial"/>
                <w:b/>
                <w:bCs/>
                <w:color w:val="FFFFFF"/>
                <w:sz w:val="20"/>
                <w:szCs w:val="20"/>
                <w:lang w:eastAsia="en-GB"/>
              </w:rPr>
              <w:t>County Durham</w:t>
            </w:r>
            <w:r>
              <w:rPr>
                <w:rFonts w:cs="Arial"/>
                <w:b/>
                <w:bCs/>
                <w:color w:val="FFFFFF"/>
                <w:sz w:val="20"/>
                <w:szCs w:val="20"/>
                <w:lang w:eastAsia="en-GB"/>
              </w:rPr>
              <w:t xml:space="preserve"> (%)</w:t>
            </w:r>
          </w:p>
        </w:tc>
        <w:tc>
          <w:tcPr>
            <w:tcW w:w="1572" w:type="dxa"/>
            <w:tcBorders>
              <w:top w:val="single" w:sz="4" w:space="0" w:color="auto"/>
              <w:left w:val="nil"/>
              <w:bottom w:val="single" w:sz="4" w:space="0" w:color="auto"/>
              <w:right w:val="single" w:sz="4" w:space="0" w:color="auto"/>
            </w:tcBorders>
            <w:shd w:val="clear" w:color="000000" w:fill="008080"/>
            <w:vAlign w:val="bottom"/>
            <w:hideMark/>
          </w:tcPr>
          <w:p w:rsidR="00751BEF" w:rsidRPr="00751BEF" w:rsidRDefault="00751BEF" w:rsidP="00751BEF">
            <w:pPr>
              <w:spacing w:before="0" w:after="0"/>
              <w:jc w:val="center"/>
              <w:rPr>
                <w:rFonts w:cs="Arial"/>
                <w:b/>
                <w:bCs/>
                <w:color w:val="FFFFFF"/>
                <w:sz w:val="20"/>
                <w:szCs w:val="20"/>
                <w:lang w:eastAsia="en-GB"/>
              </w:rPr>
            </w:pPr>
            <w:r w:rsidRPr="00751BEF">
              <w:rPr>
                <w:rFonts w:cs="Arial"/>
                <w:b/>
                <w:bCs/>
                <w:color w:val="FFFFFF"/>
                <w:sz w:val="20"/>
                <w:szCs w:val="20"/>
                <w:lang w:eastAsia="en-GB"/>
              </w:rPr>
              <w:t>North East %</w:t>
            </w:r>
          </w:p>
        </w:tc>
      </w:tr>
      <w:tr w:rsidR="00D124CE" w:rsidRPr="00751BEF" w:rsidTr="00C349E7">
        <w:trPr>
          <w:trHeight w:val="2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D124CE" w:rsidRDefault="00D124CE" w:rsidP="00D124CE">
            <w:pPr>
              <w:spacing w:before="0" w:after="0"/>
              <w:rPr>
                <w:rFonts w:cs="Arial"/>
                <w:sz w:val="20"/>
                <w:szCs w:val="20"/>
              </w:rPr>
            </w:pPr>
            <w:r>
              <w:rPr>
                <w:rFonts w:cs="Arial"/>
                <w:sz w:val="20"/>
                <w:szCs w:val="20"/>
              </w:rPr>
              <w:t>0-14</w:t>
            </w:r>
          </w:p>
        </w:tc>
        <w:tc>
          <w:tcPr>
            <w:tcW w:w="2194"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16.0</w:t>
            </w:r>
          </w:p>
        </w:tc>
        <w:tc>
          <w:tcPr>
            <w:tcW w:w="1572"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16.6</w:t>
            </w:r>
          </w:p>
        </w:tc>
      </w:tr>
      <w:tr w:rsidR="00D124CE" w:rsidRPr="00751BEF" w:rsidTr="00C349E7">
        <w:trPr>
          <w:trHeight w:val="2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D124CE" w:rsidRDefault="00D124CE" w:rsidP="00D124CE">
            <w:pPr>
              <w:spacing w:before="0" w:after="0"/>
              <w:rPr>
                <w:rFonts w:cs="Arial"/>
                <w:sz w:val="20"/>
                <w:szCs w:val="20"/>
              </w:rPr>
            </w:pPr>
            <w:r>
              <w:rPr>
                <w:rFonts w:cs="Arial"/>
                <w:sz w:val="20"/>
                <w:szCs w:val="20"/>
              </w:rPr>
              <w:t>15-39</w:t>
            </w:r>
          </w:p>
        </w:tc>
        <w:tc>
          <w:tcPr>
            <w:tcW w:w="2194"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30.7</w:t>
            </w:r>
          </w:p>
        </w:tc>
        <w:tc>
          <w:tcPr>
            <w:tcW w:w="1572"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31.8</w:t>
            </w:r>
          </w:p>
        </w:tc>
      </w:tr>
      <w:tr w:rsidR="00D124CE" w:rsidRPr="00751BEF" w:rsidTr="00C349E7">
        <w:trPr>
          <w:trHeight w:val="2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D124CE" w:rsidRDefault="00D124CE" w:rsidP="00D124CE">
            <w:pPr>
              <w:spacing w:before="0" w:after="0"/>
              <w:rPr>
                <w:rFonts w:cs="Arial"/>
                <w:sz w:val="20"/>
                <w:szCs w:val="20"/>
              </w:rPr>
            </w:pPr>
            <w:r>
              <w:rPr>
                <w:rFonts w:cs="Arial"/>
                <w:sz w:val="20"/>
                <w:szCs w:val="20"/>
              </w:rPr>
              <w:t>40-59</w:t>
            </w:r>
          </w:p>
        </w:tc>
        <w:tc>
          <w:tcPr>
            <w:tcW w:w="2194"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28.4</w:t>
            </w:r>
          </w:p>
        </w:tc>
        <w:tc>
          <w:tcPr>
            <w:tcW w:w="1572"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27.8</w:t>
            </w:r>
          </w:p>
        </w:tc>
      </w:tr>
      <w:tr w:rsidR="00D124CE" w:rsidRPr="00751BEF" w:rsidTr="00C349E7">
        <w:trPr>
          <w:trHeight w:val="2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D124CE" w:rsidRDefault="00D124CE" w:rsidP="00D124CE">
            <w:pPr>
              <w:spacing w:before="0" w:after="0"/>
              <w:rPr>
                <w:rFonts w:cs="Arial"/>
                <w:sz w:val="20"/>
                <w:szCs w:val="20"/>
              </w:rPr>
            </w:pPr>
            <w:r>
              <w:rPr>
                <w:rFonts w:cs="Arial"/>
                <w:sz w:val="20"/>
                <w:szCs w:val="20"/>
              </w:rPr>
              <w:t>60-74</w:t>
            </w:r>
          </w:p>
        </w:tc>
        <w:tc>
          <w:tcPr>
            <w:tcW w:w="2194"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16.8</w:t>
            </w:r>
          </w:p>
        </w:tc>
        <w:tc>
          <w:tcPr>
            <w:tcW w:w="1572"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15.7</w:t>
            </w:r>
          </w:p>
        </w:tc>
      </w:tr>
      <w:tr w:rsidR="00D124CE" w:rsidRPr="00751BEF" w:rsidTr="00C349E7">
        <w:trPr>
          <w:trHeight w:val="2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D124CE" w:rsidRDefault="00D124CE" w:rsidP="00D124CE">
            <w:pPr>
              <w:spacing w:before="0" w:after="0"/>
              <w:rPr>
                <w:rFonts w:cs="Arial"/>
                <w:sz w:val="20"/>
                <w:szCs w:val="20"/>
              </w:rPr>
            </w:pPr>
            <w:r>
              <w:rPr>
                <w:rFonts w:cs="Arial"/>
                <w:sz w:val="20"/>
                <w:szCs w:val="20"/>
              </w:rPr>
              <w:t>75+</w:t>
            </w:r>
          </w:p>
        </w:tc>
        <w:tc>
          <w:tcPr>
            <w:tcW w:w="2194"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8.1</w:t>
            </w:r>
          </w:p>
        </w:tc>
        <w:tc>
          <w:tcPr>
            <w:tcW w:w="1572"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8.1</w:t>
            </w:r>
          </w:p>
        </w:tc>
      </w:tr>
      <w:tr w:rsidR="00D124CE" w:rsidRPr="00751BEF" w:rsidTr="00C349E7">
        <w:trPr>
          <w:trHeight w:val="2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D124CE" w:rsidRDefault="00D124CE" w:rsidP="00D124CE">
            <w:pPr>
              <w:spacing w:before="0" w:after="0"/>
              <w:rPr>
                <w:rFonts w:cs="Arial"/>
                <w:sz w:val="20"/>
                <w:szCs w:val="20"/>
              </w:rPr>
            </w:pPr>
            <w:r>
              <w:rPr>
                <w:rFonts w:cs="Arial"/>
                <w:sz w:val="20"/>
                <w:szCs w:val="20"/>
              </w:rPr>
              <w:t>Total</w:t>
            </w:r>
          </w:p>
        </w:tc>
        <w:tc>
          <w:tcPr>
            <w:tcW w:w="2194"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100.0</w:t>
            </w:r>
          </w:p>
        </w:tc>
        <w:tc>
          <w:tcPr>
            <w:tcW w:w="1572"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100.0</w:t>
            </w:r>
          </w:p>
        </w:tc>
      </w:tr>
      <w:tr w:rsidR="00D124CE" w:rsidRPr="00751BEF" w:rsidTr="00C349E7">
        <w:trPr>
          <w:trHeight w:val="255"/>
        </w:trPr>
        <w:tc>
          <w:tcPr>
            <w:tcW w:w="1406" w:type="dxa"/>
            <w:tcBorders>
              <w:top w:val="nil"/>
              <w:left w:val="single" w:sz="4" w:space="0" w:color="auto"/>
              <w:bottom w:val="single" w:sz="4" w:space="0" w:color="auto"/>
              <w:right w:val="single" w:sz="4" w:space="0" w:color="auto"/>
            </w:tcBorders>
            <w:shd w:val="clear" w:color="auto" w:fill="auto"/>
            <w:noWrap/>
            <w:vAlign w:val="bottom"/>
            <w:hideMark/>
          </w:tcPr>
          <w:p w:rsidR="00D124CE" w:rsidRDefault="00D124CE" w:rsidP="00D124CE">
            <w:pPr>
              <w:spacing w:before="0" w:after="0"/>
              <w:rPr>
                <w:rFonts w:cs="Arial"/>
                <w:sz w:val="20"/>
                <w:szCs w:val="20"/>
              </w:rPr>
            </w:pPr>
            <w:r>
              <w:rPr>
                <w:rFonts w:cs="Arial"/>
                <w:sz w:val="20"/>
                <w:szCs w:val="20"/>
              </w:rPr>
              <w:t xml:space="preserve">Base </w:t>
            </w:r>
          </w:p>
        </w:tc>
        <w:tc>
          <w:tcPr>
            <w:tcW w:w="2194"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513,400</w:t>
            </w:r>
          </w:p>
        </w:tc>
        <w:tc>
          <w:tcPr>
            <w:tcW w:w="1572" w:type="dxa"/>
            <w:tcBorders>
              <w:top w:val="nil"/>
              <w:left w:val="nil"/>
              <w:bottom w:val="single" w:sz="4" w:space="0" w:color="auto"/>
              <w:right w:val="single" w:sz="4" w:space="0" w:color="auto"/>
            </w:tcBorders>
            <w:shd w:val="clear" w:color="auto" w:fill="auto"/>
            <w:noWrap/>
            <w:vAlign w:val="bottom"/>
            <w:hideMark/>
          </w:tcPr>
          <w:p w:rsidR="00D124CE" w:rsidRDefault="00D124CE" w:rsidP="00D124CE">
            <w:pPr>
              <w:spacing w:before="0" w:after="0"/>
              <w:jc w:val="center"/>
              <w:rPr>
                <w:rFonts w:cs="Arial"/>
                <w:sz w:val="20"/>
                <w:szCs w:val="20"/>
              </w:rPr>
            </w:pPr>
            <w:r>
              <w:rPr>
                <w:rFonts w:cs="Arial"/>
                <w:sz w:val="20"/>
                <w:szCs w:val="20"/>
              </w:rPr>
              <w:t>2,596,700</w:t>
            </w:r>
          </w:p>
        </w:tc>
      </w:tr>
    </w:tbl>
    <w:p w:rsidR="00F704B2" w:rsidRDefault="00F704B2" w:rsidP="00751BEF">
      <w:pPr>
        <w:ind w:left="720"/>
        <w:rPr>
          <w:rFonts w:cs="Arial"/>
          <w:iCs/>
          <w:sz w:val="20"/>
          <w:szCs w:val="20"/>
        </w:rPr>
      </w:pPr>
      <w:r>
        <w:rPr>
          <w:rFonts w:cs="Arial"/>
          <w:iCs/>
          <w:sz w:val="20"/>
          <w:szCs w:val="20"/>
        </w:rPr>
        <w:t xml:space="preserve">Source: </w:t>
      </w:r>
      <w:r w:rsidR="00D124CE">
        <w:rPr>
          <w:rFonts w:cs="Arial"/>
          <w:iCs/>
          <w:sz w:val="20"/>
          <w:szCs w:val="20"/>
        </w:rPr>
        <w:t>2011 Census</w:t>
      </w:r>
    </w:p>
    <w:p w:rsidR="00F704B2" w:rsidRDefault="00F704B2" w:rsidP="00F704B2">
      <w:pPr>
        <w:rPr>
          <w:rFonts w:cs="Arial"/>
        </w:rPr>
      </w:pPr>
    </w:p>
    <w:p w:rsidR="00F704B2" w:rsidRDefault="00F704B2" w:rsidP="00F704B2">
      <w:pPr>
        <w:pStyle w:val="StyleHeading3Left125cmBefore12ptAfter3pt"/>
        <w:ind w:left="626"/>
        <w:rPr>
          <w:rFonts w:cs="Arial"/>
          <w:iCs/>
        </w:rPr>
      </w:pPr>
    </w:p>
    <w:p w:rsidR="00F704B2" w:rsidRDefault="00F704B2" w:rsidP="00F704B2">
      <w:pPr>
        <w:pStyle w:val="Heading4"/>
      </w:pPr>
      <w:bookmarkStart w:id="223" w:name="_Toc225941561"/>
      <w:r>
        <w:t>Household type</w:t>
      </w:r>
      <w:bookmarkEnd w:id="223"/>
    </w:p>
    <w:p w:rsidR="00F704B2" w:rsidRDefault="00F704B2" w:rsidP="00F704B2">
      <w:pPr>
        <w:pStyle w:val="Maintext"/>
        <w:numPr>
          <w:ilvl w:val="1"/>
          <w:numId w:val="8"/>
        </w:numPr>
        <w:rPr>
          <w:rFonts w:cs="Arial"/>
        </w:rPr>
      </w:pPr>
      <w:r>
        <w:rPr>
          <w:rFonts w:cs="Arial"/>
        </w:rPr>
        <w:t xml:space="preserve">The household type profile of County Durham is summarised in Table B3 and shows a slightly higher proportion of </w:t>
      </w:r>
      <w:r w:rsidR="005E05EF">
        <w:rPr>
          <w:rFonts w:cs="Arial"/>
        </w:rPr>
        <w:t>couples with no children and older households</w:t>
      </w:r>
      <w:r>
        <w:rPr>
          <w:rFonts w:cs="Arial"/>
        </w:rPr>
        <w:t xml:space="preserve"> compared with the wider North East area. </w:t>
      </w:r>
    </w:p>
    <w:p w:rsidR="00F704B2" w:rsidRDefault="00F704B2" w:rsidP="00F704B2">
      <w:pPr>
        <w:pStyle w:val="Maintext"/>
        <w:numPr>
          <w:ilvl w:val="0"/>
          <w:numId w:val="0"/>
        </w:numPr>
        <w:ind w:left="709"/>
        <w:rPr>
          <w:rFonts w:cs="Arial"/>
        </w:rPr>
      </w:pPr>
    </w:p>
    <w:p w:rsidR="005E05EF" w:rsidRPr="005E05EF" w:rsidRDefault="00F704B2" w:rsidP="005E05EF">
      <w:pPr>
        <w:ind w:firstLine="709"/>
        <w:rPr>
          <w:rFonts w:cs="Arial"/>
          <w:iCs/>
        </w:rPr>
      </w:pPr>
      <w:r>
        <w:rPr>
          <w:rFonts w:cs="Arial"/>
          <w:b/>
          <w:iCs/>
        </w:rPr>
        <w:t>Table B3</w:t>
      </w:r>
      <w:r>
        <w:rPr>
          <w:rFonts w:cs="Arial"/>
          <w:iCs/>
        </w:rPr>
        <w:tab/>
        <w:t>Household structure</w:t>
      </w:r>
    </w:p>
    <w:tbl>
      <w:tblPr>
        <w:tblW w:w="7371" w:type="dxa"/>
        <w:tblInd w:w="817" w:type="dxa"/>
        <w:tblLook w:val="04A0" w:firstRow="1" w:lastRow="0" w:firstColumn="1" w:lastColumn="0" w:noHBand="0" w:noVBand="1"/>
      </w:tblPr>
      <w:tblGrid>
        <w:gridCol w:w="2410"/>
        <w:gridCol w:w="2551"/>
        <w:gridCol w:w="2410"/>
      </w:tblGrid>
      <w:tr w:rsidR="005E05EF" w:rsidRPr="005E05EF" w:rsidTr="005E05EF">
        <w:trPr>
          <w:trHeight w:val="255"/>
        </w:trPr>
        <w:tc>
          <w:tcPr>
            <w:tcW w:w="241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5E05EF" w:rsidRPr="005E05EF" w:rsidRDefault="005E05EF" w:rsidP="005E05EF">
            <w:pPr>
              <w:spacing w:before="0" w:after="0"/>
              <w:rPr>
                <w:rFonts w:cs="Arial"/>
                <w:b/>
                <w:bCs/>
                <w:color w:val="FFFFFF"/>
                <w:sz w:val="20"/>
                <w:szCs w:val="20"/>
                <w:lang w:eastAsia="en-GB"/>
              </w:rPr>
            </w:pPr>
            <w:r w:rsidRPr="005E05EF">
              <w:rPr>
                <w:rFonts w:cs="Arial"/>
                <w:b/>
                <w:bCs/>
                <w:color w:val="FFFFFF"/>
                <w:sz w:val="20"/>
                <w:szCs w:val="20"/>
                <w:lang w:eastAsia="en-GB"/>
              </w:rPr>
              <w:t>Household type</w:t>
            </w:r>
          </w:p>
        </w:tc>
        <w:tc>
          <w:tcPr>
            <w:tcW w:w="2551" w:type="dxa"/>
            <w:tcBorders>
              <w:top w:val="single" w:sz="4" w:space="0" w:color="auto"/>
              <w:left w:val="nil"/>
              <w:bottom w:val="single" w:sz="4" w:space="0" w:color="auto"/>
              <w:right w:val="single" w:sz="4" w:space="0" w:color="auto"/>
            </w:tcBorders>
            <w:shd w:val="clear" w:color="000000" w:fill="008080"/>
            <w:noWrap/>
            <w:vAlign w:val="bottom"/>
            <w:hideMark/>
          </w:tcPr>
          <w:p w:rsidR="005E05EF" w:rsidRPr="005E05EF" w:rsidRDefault="005E05EF" w:rsidP="005E05EF">
            <w:pPr>
              <w:spacing w:before="0" w:after="0"/>
              <w:jc w:val="center"/>
              <w:rPr>
                <w:rFonts w:cs="Arial"/>
                <w:b/>
                <w:bCs/>
                <w:color w:val="FFFFFF"/>
                <w:sz w:val="20"/>
                <w:szCs w:val="20"/>
                <w:lang w:eastAsia="en-GB"/>
              </w:rPr>
            </w:pPr>
            <w:r w:rsidRPr="005E05EF">
              <w:rPr>
                <w:rFonts w:cs="Arial"/>
                <w:b/>
                <w:bCs/>
                <w:color w:val="FFFFFF"/>
                <w:sz w:val="20"/>
                <w:szCs w:val="20"/>
                <w:lang w:eastAsia="en-GB"/>
              </w:rPr>
              <w:t>County Durham (%)</w:t>
            </w:r>
          </w:p>
        </w:tc>
        <w:tc>
          <w:tcPr>
            <w:tcW w:w="2410" w:type="dxa"/>
            <w:tcBorders>
              <w:top w:val="single" w:sz="4" w:space="0" w:color="auto"/>
              <w:left w:val="nil"/>
              <w:bottom w:val="single" w:sz="4" w:space="0" w:color="auto"/>
              <w:right w:val="single" w:sz="4" w:space="0" w:color="auto"/>
            </w:tcBorders>
            <w:shd w:val="clear" w:color="000000" w:fill="008080"/>
            <w:noWrap/>
            <w:vAlign w:val="bottom"/>
            <w:hideMark/>
          </w:tcPr>
          <w:p w:rsidR="005E05EF" w:rsidRPr="005E05EF" w:rsidRDefault="005E05EF" w:rsidP="005E05EF">
            <w:pPr>
              <w:spacing w:before="0" w:after="0"/>
              <w:jc w:val="center"/>
              <w:rPr>
                <w:rFonts w:cs="Arial"/>
                <w:b/>
                <w:bCs/>
                <w:color w:val="FFFFFF"/>
                <w:sz w:val="20"/>
                <w:szCs w:val="20"/>
                <w:lang w:eastAsia="en-GB"/>
              </w:rPr>
            </w:pPr>
            <w:r w:rsidRPr="005E05EF">
              <w:rPr>
                <w:rFonts w:cs="Arial"/>
                <w:b/>
                <w:bCs/>
                <w:color w:val="FFFFFF"/>
                <w:sz w:val="20"/>
                <w:szCs w:val="20"/>
                <w:lang w:eastAsia="en-GB"/>
              </w:rPr>
              <w:t>North East (%)</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Couples with children</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25.0</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24.6</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Couples no children</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18.9</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17.7</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Singles</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17.7</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18.4</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Older</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22.6</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21.9</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Lone Parents</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11.2</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11.9</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Other</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4.7</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5.4</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Total</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100.0</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100.0</w:t>
            </w:r>
          </w:p>
        </w:tc>
      </w:tr>
      <w:tr w:rsidR="005E05EF" w:rsidRPr="005E05EF" w:rsidTr="005E05EF">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Base</w:t>
            </w:r>
          </w:p>
        </w:tc>
        <w:tc>
          <w:tcPr>
            <w:tcW w:w="2551"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223803</w:t>
            </w:r>
          </w:p>
        </w:tc>
        <w:tc>
          <w:tcPr>
            <w:tcW w:w="2410"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1129935</w:t>
            </w:r>
          </w:p>
        </w:tc>
      </w:tr>
    </w:tbl>
    <w:p w:rsidR="00F704B2" w:rsidRPr="005E05EF" w:rsidRDefault="005E05EF" w:rsidP="00F704B2">
      <w:pPr>
        <w:rPr>
          <w:sz w:val="20"/>
          <w:szCs w:val="20"/>
        </w:rPr>
      </w:pPr>
      <w:r w:rsidRPr="005E05EF">
        <w:tab/>
      </w:r>
      <w:r w:rsidRPr="005E05EF">
        <w:rPr>
          <w:sz w:val="20"/>
          <w:szCs w:val="20"/>
        </w:rPr>
        <w:t>Source: 2011 Census</w:t>
      </w:r>
    </w:p>
    <w:p w:rsidR="00D124CE" w:rsidRDefault="00D124CE" w:rsidP="00F704B2">
      <w:pPr>
        <w:rPr>
          <w:i/>
        </w:rPr>
      </w:pPr>
    </w:p>
    <w:p w:rsidR="00F704B2" w:rsidRDefault="00F704B2" w:rsidP="00F704B2">
      <w:pPr>
        <w:pStyle w:val="Heading4"/>
      </w:pPr>
      <w:bookmarkStart w:id="224" w:name="_Toc225941562"/>
      <w:r>
        <w:t>Ethnicity</w:t>
      </w:r>
      <w:bookmarkEnd w:id="224"/>
    </w:p>
    <w:p w:rsidR="00F704B2" w:rsidRDefault="00F704B2" w:rsidP="00F704B2">
      <w:pPr>
        <w:pStyle w:val="Maintext"/>
        <w:numPr>
          <w:ilvl w:val="1"/>
          <w:numId w:val="8"/>
        </w:numPr>
        <w:rPr>
          <w:rFonts w:cs="Arial"/>
        </w:rPr>
      </w:pPr>
      <w:r>
        <w:rPr>
          <w:rFonts w:cs="Arial"/>
        </w:rPr>
        <w:t xml:space="preserve">Table B4 summarises the ethnic profile of County Durham’s residents based on </w:t>
      </w:r>
      <w:r w:rsidR="005E05EF">
        <w:rPr>
          <w:rFonts w:cs="Arial"/>
        </w:rPr>
        <w:t>the 2011 Census</w:t>
      </w:r>
      <w:r>
        <w:rPr>
          <w:rFonts w:cs="Arial"/>
        </w:rPr>
        <w:t xml:space="preserve">. Across County Durham, </w:t>
      </w:r>
      <w:r w:rsidR="005E05EF">
        <w:rPr>
          <w:rFonts w:cs="Arial"/>
        </w:rPr>
        <w:t>3.4</w:t>
      </w:r>
      <w:r>
        <w:rPr>
          <w:rFonts w:cs="Arial"/>
        </w:rPr>
        <w:t>% of household reference people and partners if applicable were from an ethnicity other than White British. These included other White groups (</w:t>
      </w:r>
      <w:r w:rsidR="005E05EF">
        <w:rPr>
          <w:rFonts w:cs="Arial"/>
        </w:rPr>
        <w:t>1.6</w:t>
      </w:r>
      <w:r>
        <w:rPr>
          <w:rFonts w:cs="Arial"/>
        </w:rPr>
        <w:t>%), Asian/Asian British (0.</w:t>
      </w:r>
      <w:r w:rsidR="005E05EF">
        <w:rPr>
          <w:rFonts w:cs="Arial"/>
        </w:rPr>
        <w:t>9</w:t>
      </w:r>
      <w:r>
        <w:rPr>
          <w:rFonts w:cs="Arial"/>
        </w:rPr>
        <w:t>%) and Black/Black British (0.</w:t>
      </w:r>
      <w:r w:rsidR="005E05EF">
        <w:rPr>
          <w:rFonts w:cs="Arial"/>
        </w:rPr>
        <w:t>1</w:t>
      </w:r>
      <w:r>
        <w:rPr>
          <w:rFonts w:cs="Arial"/>
        </w:rPr>
        <w:t>%).</w:t>
      </w:r>
    </w:p>
    <w:p w:rsidR="00F704B2" w:rsidRDefault="00F704B2" w:rsidP="00F704B2">
      <w:pPr>
        <w:ind w:firstLine="709"/>
        <w:rPr>
          <w:rFonts w:cs="Arial"/>
          <w:b/>
        </w:rPr>
      </w:pPr>
    </w:p>
    <w:p w:rsidR="00F704B2" w:rsidRDefault="00F704B2" w:rsidP="00F704B2">
      <w:pPr>
        <w:ind w:firstLine="709"/>
        <w:rPr>
          <w:rFonts w:cs="Arial"/>
        </w:rPr>
      </w:pPr>
      <w:r>
        <w:rPr>
          <w:rFonts w:cs="Arial"/>
          <w:b/>
        </w:rPr>
        <w:t>Table B4</w:t>
      </w:r>
      <w:r>
        <w:rPr>
          <w:rFonts w:cs="Arial"/>
        </w:rPr>
        <w:tab/>
        <w:t xml:space="preserve">Ethnicity of County </w:t>
      </w:r>
      <w:r>
        <w:t>Durham’s population</w:t>
      </w:r>
    </w:p>
    <w:tbl>
      <w:tblPr>
        <w:tblW w:w="7513" w:type="dxa"/>
        <w:tblInd w:w="817" w:type="dxa"/>
        <w:tblLook w:val="04A0" w:firstRow="1" w:lastRow="0" w:firstColumn="1" w:lastColumn="0" w:noHBand="0" w:noVBand="1"/>
      </w:tblPr>
      <w:tblGrid>
        <w:gridCol w:w="4111"/>
        <w:gridCol w:w="1843"/>
        <w:gridCol w:w="1559"/>
      </w:tblGrid>
      <w:tr w:rsidR="005E05EF" w:rsidRPr="005E05EF" w:rsidTr="005E05EF">
        <w:trPr>
          <w:trHeight w:val="765"/>
        </w:trPr>
        <w:tc>
          <w:tcPr>
            <w:tcW w:w="4111" w:type="dxa"/>
            <w:tcBorders>
              <w:top w:val="single" w:sz="4" w:space="0" w:color="auto"/>
              <w:left w:val="single" w:sz="4" w:space="0" w:color="auto"/>
              <w:bottom w:val="single" w:sz="4" w:space="0" w:color="auto"/>
              <w:right w:val="single" w:sz="4" w:space="0" w:color="auto"/>
            </w:tcBorders>
            <w:shd w:val="clear" w:color="000000" w:fill="006666"/>
            <w:vAlign w:val="bottom"/>
            <w:hideMark/>
          </w:tcPr>
          <w:p w:rsidR="005E05EF" w:rsidRPr="005E05EF" w:rsidRDefault="005E05EF" w:rsidP="005E05EF">
            <w:pPr>
              <w:spacing w:before="0" w:after="0"/>
              <w:rPr>
                <w:rFonts w:cs="Arial"/>
                <w:b/>
                <w:bCs/>
                <w:color w:val="FFFFFF"/>
                <w:sz w:val="20"/>
                <w:szCs w:val="20"/>
                <w:lang w:eastAsia="en-GB"/>
              </w:rPr>
            </w:pPr>
            <w:r w:rsidRPr="005E05EF">
              <w:rPr>
                <w:rFonts w:cs="Arial"/>
                <w:b/>
                <w:bCs/>
                <w:color w:val="FFFFFF"/>
                <w:sz w:val="20"/>
                <w:szCs w:val="20"/>
                <w:lang w:eastAsia="en-GB"/>
              </w:rPr>
              <w:t>Ethnicity</w:t>
            </w:r>
          </w:p>
        </w:tc>
        <w:tc>
          <w:tcPr>
            <w:tcW w:w="1843" w:type="dxa"/>
            <w:tcBorders>
              <w:top w:val="single" w:sz="4" w:space="0" w:color="auto"/>
              <w:left w:val="nil"/>
              <w:bottom w:val="single" w:sz="4" w:space="0" w:color="auto"/>
              <w:right w:val="single" w:sz="4" w:space="0" w:color="auto"/>
            </w:tcBorders>
            <w:shd w:val="clear" w:color="000000" w:fill="008080"/>
            <w:vAlign w:val="bottom"/>
            <w:hideMark/>
          </w:tcPr>
          <w:p w:rsidR="005E05EF" w:rsidRPr="005E05EF" w:rsidRDefault="005E05EF" w:rsidP="005E05EF">
            <w:pPr>
              <w:spacing w:before="0" w:after="0"/>
              <w:jc w:val="center"/>
              <w:rPr>
                <w:rFonts w:cs="Arial"/>
                <w:b/>
                <w:bCs/>
                <w:color w:val="FFFFFF"/>
                <w:sz w:val="20"/>
                <w:szCs w:val="20"/>
                <w:lang w:eastAsia="en-GB"/>
              </w:rPr>
            </w:pPr>
            <w:r w:rsidRPr="005E05EF">
              <w:rPr>
                <w:rFonts w:cs="Arial"/>
                <w:b/>
                <w:bCs/>
                <w:color w:val="FFFFFF"/>
                <w:sz w:val="20"/>
                <w:szCs w:val="20"/>
                <w:lang w:eastAsia="en-GB"/>
              </w:rPr>
              <w:t>County Durham (%)</w:t>
            </w:r>
          </w:p>
        </w:tc>
        <w:tc>
          <w:tcPr>
            <w:tcW w:w="1559" w:type="dxa"/>
            <w:tcBorders>
              <w:top w:val="single" w:sz="4" w:space="0" w:color="auto"/>
              <w:left w:val="nil"/>
              <w:bottom w:val="single" w:sz="4" w:space="0" w:color="auto"/>
              <w:right w:val="single" w:sz="4" w:space="0" w:color="auto"/>
            </w:tcBorders>
            <w:shd w:val="clear" w:color="000000" w:fill="008080"/>
            <w:vAlign w:val="bottom"/>
            <w:hideMark/>
          </w:tcPr>
          <w:p w:rsidR="005E05EF" w:rsidRDefault="005E05EF" w:rsidP="005E05EF">
            <w:pPr>
              <w:spacing w:before="0" w:after="0"/>
              <w:jc w:val="center"/>
              <w:rPr>
                <w:rFonts w:cs="Arial"/>
                <w:b/>
                <w:bCs/>
                <w:color w:val="FFFFFF"/>
                <w:sz w:val="20"/>
                <w:szCs w:val="20"/>
                <w:lang w:eastAsia="en-GB"/>
              </w:rPr>
            </w:pPr>
            <w:r w:rsidRPr="005E05EF">
              <w:rPr>
                <w:rFonts w:cs="Arial"/>
                <w:b/>
                <w:bCs/>
                <w:color w:val="FFFFFF"/>
                <w:sz w:val="20"/>
                <w:szCs w:val="20"/>
                <w:lang w:eastAsia="en-GB"/>
              </w:rPr>
              <w:t>North East</w:t>
            </w:r>
          </w:p>
          <w:p w:rsidR="005E05EF" w:rsidRPr="005E05EF" w:rsidRDefault="005E05EF" w:rsidP="005E05EF">
            <w:pPr>
              <w:spacing w:before="0" w:after="0"/>
              <w:jc w:val="center"/>
              <w:rPr>
                <w:rFonts w:cs="Arial"/>
                <w:b/>
                <w:bCs/>
                <w:color w:val="FFFFFF"/>
                <w:sz w:val="20"/>
                <w:szCs w:val="20"/>
                <w:lang w:eastAsia="en-GB"/>
              </w:rPr>
            </w:pPr>
            <w:r>
              <w:rPr>
                <w:rFonts w:cs="Arial"/>
                <w:b/>
                <w:bCs/>
                <w:color w:val="FFFFFF"/>
                <w:sz w:val="20"/>
                <w:szCs w:val="20"/>
                <w:lang w:eastAsia="en-GB"/>
              </w:rPr>
              <w:t>(</w:t>
            </w:r>
            <w:r w:rsidRPr="005E05EF">
              <w:rPr>
                <w:rFonts w:cs="Arial"/>
                <w:b/>
                <w:bCs/>
                <w:color w:val="FFFFFF"/>
                <w:sz w:val="20"/>
                <w:szCs w:val="20"/>
                <w:lang w:eastAsia="en-GB"/>
              </w:rPr>
              <w:t>%</w:t>
            </w:r>
            <w:r>
              <w:rPr>
                <w:rFonts w:cs="Arial"/>
                <w:b/>
                <w:bCs/>
                <w:color w:val="FFFFFF"/>
                <w:sz w:val="20"/>
                <w:szCs w:val="20"/>
                <w:lang w:eastAsia="en-GB"/>
              </w:rPr>
              <w:t>)</w:t>
            </w:r>
          </w:p>
        </w:tc>
      </w:tr>
      <w:tr w:rsidR="005E05EF" w:rsidRPr="005E05EF" w:rsidTr="005E05EF">
        <w:trPr>
          <w:trHeight w:val="58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White: English/Welsh/Scottish/Northern Irish/British</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96.6</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93.6</w:t>
            </w:r>
          </w:p>
        </w:tc>
      </w:tr>
      <w:tr w:rsidR="005E05EF" w:rsidRPr="005E05EF" w:rsidTr="005E05EF">
        <w:trPr>
          <w:trHeight w:val="25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White Other</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1.6</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1.7</w:t>
            </w:r>
          </w:p>
        </w:tc>
      </w:tr>
      <w:tr w:rsidR="005E05EF" w:rsidRPr="005E05EF" w:rsidTr="005E05EF">
        <w:trPr>
          <w:trHeight w:val="25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Mixed/Multiple ethnic</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0.6</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0.9</w:t>
            </w:r>
          </w:p>
        </w:tc>
      </w:tr>
      <w:tr w:rsidR="005E05EF" w:rsidRPr="005E05EF" w:rsidTr="005E05EF">
        <w:trPr>
          <w:trHeight w:val="25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Asian/Asian British</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0.9</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2.9</w:t>
            </w:r>
          </w:p>
        </w:tc>
      </w:tr>
      <w:tr w:rsidR="005E05EF" w:rsidRPr="005E05EF" w:rsidTr="005E05EF">
        <w:trPr>
          <w:trHeight w:val="25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Black/Black British</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0.1</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0.5</w:t>
            </w:r>
          </w:p>
        </w:tc>
      </w:tr>
      <w:tr w:rsidR="005E05EF" w:rsidRPr="005E05EF" w:rsidTr="005E05EF">
        <w:trPr>
          <w:trHeight w:val="25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Other</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0.2</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0.4</w:t>
            </w:r>
          </w:p>
        </w:tc>
      </w:tr>
      <w:tr w:rsidR="005E05EF" w:rsidRPr="005E05EF" w:rsidTr="005E05EF">
        <w:trPr>
          <w:trHeight w:val="255"/>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Total</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100.0</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100.0</w:t>
            </w:r>
          </w:p>
        </w:tc>
      </w:tr>
      <w:tr w:rsidR="005E05EF" w:rsidRPr="005E05EF" w:rsidTr="005E05EF">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rPr>
                <w:rFonts w:cs="Arial"/>
                <w:sz w:val="20"/>
                <w:szCs w:val="20"/>
                <w:lang w:eastAsia="en-GB"/>
              </w:rPr>
            </w:pPr>
            <w:r w:rsidRPr="005E05EF">
              <w:rPr>
                <w:rFonts w:cs="Arial"/>
                <w:sz w:val="20"/>
                <w:szCs w:val="20"/>
                <w:lang w:eastAsia="en-GB"/>
              </w:rPr>
              <w:t>Base</w:t>
            </w:r>
          </w:p>
        </w:tc>
        <w:tc>
          <w:tcPr>
            <w:tcW w:w="1843"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513242</w:t>
            </w:r>
          </w:p>
        </w:tc>
        <w:tc>
          <w:tcPr>
            <w:tcW w:w="1559" w:type="dxa"/>
            <w:tcBorders>
              <w:top w:val="nil"/>
              <w:left w:val="nil"/>
              <w:bottom w:val="single" w:sz="4" w:space="0" w:color="auto"/>
              <w:right w:val="single" w:sz="4" w:space="0" w:color="auto"/>
            </w:tcBorders>
            <w:shd w:val="clear" w:color="auto" w:fill="auto"/>
            <w:noWrap/>
            <w:vAlign w:val="bottom"/>
            <w:hideMark/>
          </w:tcPr>
          <w:p w:rsidR="005E05EF" w:rsidRPr="005E05EF" w:rsidRDefault="005E05EF" w:rsidP="005E05EF">
            <w:pPr>
              <w:spacing w:before="0" w:after="0"/>
              <w:jc w:val="center"/>
              <w:rPr>
                <w:rFonts w:cs="Arial"/>
                <w:sz w:val="20"/>
                <w:szCs w:val="20"/>
                <w:lang w:eastAsia="en-GB"/>
              </w:rPr>
            </w:pPr>
            <w:r w:rsidRPr="005E05EF">
              <w:rPr>
                <w:rFonts w:cs="Arial"/>
                <w:sz w:val="20"/>
                <w:szCs w:val="20"/>
                <w:lang w:eastAsia="en-GB"/>
              </w:rPr>
              <w:t>2596886</w:t>
            </w:r>
          </w:p>
        </w:tc>
      </w:tr>
    </w:tbl>
    <w:p w:rsidR="00F704B2" w:rsidRPr="00B50137" w:rsidRDefault="00F704B2" w:rsidP="005E05EF">
      <w:pPr>
        <w:ind w:firstLine="709"/>
        <w:rPr>
          <w:rFonts w:cs="Arial"/>
          <w:sz w:val="20"/>
          <w:szCs w:val="20"/>
        </w:rPr>
      </w:pPr>
      <w:r w:rsidRPr="00B50137">
        <w:rPr>
          <w:rFonts w:cs="Arial"/>
          <w:sz w:val="20"/>
          <w:szCs w:val="20"/>
        </w:rPr>
        <w:t xml:space="preserve">Source: </w:t>
      </w:r>
      <w:r w:rsidR="005E05EF">
        <w:rPr>
          <w:rFonts w:cs="Arial"/>
          <w:sz w:val="20"/>
          <w:szCs w:val="20"/>
        </w:rPr>
        <w:t>2011 Census</w:t>
      </w:r>
    </w:p>
    <w:p w:rsidR="00F704B2" w:rsidRPr="008316BC" w:rsidRDefault="00F704B2" w:rsidP="00F704B2">
      <w:bookmarkStart w:id="225" w:name="_Toc225941563"/>
    </w:p>
    <w:p w:rsidR="005E05EF" w:rsidRDefault="005E05EF">
      <w:pPr>
        <w:spacing w:before="0" w:after="0"/>
        <w:rPr>
          <w:rFonts w:cs="Arial"/>
          <w:color w:val="008080"/>
          <w:sz w:val="28"/>
          <w:szCs w:val="28"/>
        </w:rPr>
      </w:pPr>
      <w:bookmarkStart w:id="226" w:name="_Toc318323439"/>
      <w:r>
        <w:br w:type="page"/>
      </w:r>
    </w:p>
    <w:p w:rsidR="00F704B2" w:rsidRDefault="00F704B2" w:rsidP="00F704B2">
      <w:pPr>
        <w:pStyle w:val="Heading3"/>
        <w:ind w:left="0" w:firstLine="709"/>
      </w:pPr>
      <w:r>
        <w:t>Step 1.2</w:t>
      </w:r>
      <w:r>
        <w:tab/>
        <w:t>National and regional economic policy</w:t>
      </w:r>
      <w:bookmarkEnd w:id="225"/>
      <w:bookmarkEnd w:id="226"/>
      <w:r>
        <w:t xml:space="preserve"> </w:t>
      </w:r>
    </w:p>
    <w:p w:rsidR="00F704B2" w:rsidRDefault="00F704B2" w:rsidP="00F704B2"/>
    <w:p w:rsidR="00F704B2" w:rsidRDefault="00F704B2" w:rsidP="00F704B2">
      <w:pPr>
        <w:pStyle w:val="Heading4"/>
      </w:pPr>
      <w:r>
        <w:t>Overview</w:t>
      </w:r>
    </w:p>
    <w:p w:rsidR="00F704B2" w:rsidRPr="0087057D" w:rsidRDefault="00F704B2" w:rsidP="00F704B2">
      <w:pPr>
        <w:pStyle w:val="Maintext"/>
        <w:numPr>
          <w:ilvl w:val="1"/>
          <w:numId w:val="8"/>
        </w:numPr>
        <w:tabs>
          <w:tab w:val="left" w:pos="1276"/>
        </w:tabs>
        <w:ind w:left="720" w:hanging="720"/>
      </w:pPr>
      <w:r w:rsidRPr="0087057D">
        <w:t xml:space="preserve">Macroeconomic factors such as interest rates, inflation and national economic growth all impact on the operation of the housing market. </w:t>
      </w:r>
      <w:r>
        <w:t>A useful overview of the UK economic context is provided by PriceWaterhouseCoopers (PWC).</w:t>
      </w:r>
    </w:p>
    <w:p w:rsidR="00F704B2" w:rsidRDefault="00F704B2" w:rsidP="00F704B2">
      <w:pPr>
        <w:pStyle w:val="Maintext"/>
        <w:numPr>
          <w:ilvl w:val="1"/>
          <w:numId w:val="8"/>
        </w:numPr>
        <w:tabs>
          <w:tab w:val="left" w:pos="1276"/>
        </w:tabs>
        <w:ind w:left="720" w:hanging="720"/>
      </w:pPr>
      <w:r>
        <w:t xml:space="preserve">PWC comment (July 2011) that there is likely to be modest average GDP growth of around 1.3% in 2011 and 2.2% in 2012, but the road to economic recovery is likely to be ‘long and bumpy’. The PWC report also considers house prices are expected to grow more strongly in the second half of this decade as credit availability gradually improves and the underlying shortages reassert themselves, but this longer-term outlook remains subject to high levels of uncertainty. </w:t>
      </w:r>
    </w:p>
    <w:p w:rsidR="00F704B2" w:rsidRDefault="00F704B2" w:rsidP="00F704B2">
      <w:pPr>
        <w:pStyle w:val="Maintext"/>
        <w:numPr>
          <w:ilvl w:val="0"/>
          <w:numId w:val="0"/>
        </w:numPr>
        <w:ind w:firstLine="709"/>
      </w:pPr>
    </w:p>
    <w:p w:rsidR="00F704B2" w:rsidRDefault="00F704B2" w:rsidP="00F704B2">
      <w:pPr>
        <w:pStyle w:val="Heading4"/>
      </w:pPr>
      <w:r>
        <w:t>Interest rate trends</w:t>
      </w:r>
    </w:p>
    <w:p w:rsidR="00F704B2" w:rsidRDefault="00F704B2" w:rsidP="00F704B2">
      <w:pPr>
        <w:pStyle w:val="Maintext"/>
        <w:numPr>
          <w:ilvl w:val="1"/>
          <w:numId w:val="8"/>
        </w:numPr>
      </w:pPr>
      <w:r>
        <w:t xml:space="preserve">Figure B1 summarises interest rate trends over the period 2000 to 2012.  Since 2000, the average monthly interest rate has been 3.8%.  Over most of this period, interest rates fluctuated between 3.5% and 6%, but since September 2008 have fallen and since March 2009 they have remained at 0.5%.  </w:t>
      </w:r>
    </w:p>
    <w:p w:rsidR="00F704B2" w:rsidRDefault="00F704B2" w:rsidP="00F704B2">
      <w:pPr>
        <w:pStyle w:val="Maintext"/>
        <w:numPr>
          <w:ilvl w:val="0"/>
          <w:numId w:val="0"/>
        </w:numPr>
      </w:pPr>
    </w:p>
    <w:p w:rsidR="00F704B2" w:rsidRDefault="00F704B2" w:rsidP="00F704B2">
      <w:pPr>
        <w:pStyle w:val="Maintext"/>
        <w:numPr>
          <w:ilvl w:val="0"/>
          <w:numId w:val="0"/>
        </w:numPr>
        <w:ind w:firstLine="709"/>
      </w:pPr>
      <w:r>
        <w:rPr>
          <w:b/>
        </w:rPr>
        <w:t>Figure B1</w:t>
      </w:r>
      <w:r w:rsidR="009F25A6">
        <w:tab/>
        <w:t>Interest rate trends 2001</w:t>
      </w:r>
      <w:r>
        <w:t>-2012</w:t>
      </w:r>
    </w:p>
    <w:p w:rsidR="00F704B2" w:rsidRDefault="00F704B2" w:rsidP="00F704B2">
      <w:pPr>
        <w:pStyle w:val="Maintext"/>
        <w:numPr>
          <w:ilvl w:val="0"/>
          <w:numId w:val="0"/>
        </w:numPr>
        <w:ind w:left="709"/>
      </w:pPr>
      <w:r w:rsidRPr="00B50137">
        <w:t xml:space="preserve"> </w:t>
      </w:r>
      <w:r w:rsidR="00DC2617">
        <w:rPr>
          <w:noProof/>
          <w:lang w:eastAsia="en-GB"/>
        </w:rPr>
        <w:drawing>
          <wp:inline distT="0" distB="0" distL="0" distR="0">
            <wp:extent cx="5969635" cy="2539365"/>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969635" cy="2539365"/>
                    </a:xfrm>
                    <a:prstGeom prst="rect">
                      <a:avLst/>
                    </a:prstGeom>
                    <a:noFill/>
                    <a:ln w="9525">
                      <a:noFill/>
                      <a:miter lim="800000"/>
                      <a:headEnd/>
                      <a:tailEnd/>
                    </a:ln>
                  </pic:spPr>
                </pic:pic>
              </a:graphicData>
            </a:graphic>
          </wp:inline>
        </w:drawing>
      </w:r>
    </w:p>
    <w:p w:rsidR="00F704B2" w:rsidRDefault="00F704B2" w:rsidP="00F704B2">
      <w:pPr>
        <w:pStyle w:val="Maintext"/>
        <w:numPr>
          <w:ilvl w:val="0"/>
          <w:numId w:val="0"/>
        </w:numPr>
        <w:rPr>
          <w:sz w:val="20"/>
          <w:szCs w:val="20"/>
        </w:rPr>
      </w:pPr>
      <w:r>
        <w:rPr>
          <w:sz w:val="20"/>
          <w:szCs w:val="20"/>
        </w:rPr>
        <w:tab/>
        <w:t>Source: Bank of England</w:t>
      </w:r>
    </w:p>
    <w:p w:rsidR="00F704B2" w:rsidRDefault="00F704B2" w:rsidP="00F704B2">
      <w:pPr>
        <w:spacing w:before="0" w:after="200" w:line="276" w:lineRule="auto"/>
        <w:rPr>
          <w:rFonts w:cs="Arial"/>
          <w:color w:val="008080"/>
          <w:sz w:val="28"/>
          <w:szCs w:val="28"/>
        </w:rPr>
      </w:pPr>
      <w:bookmarkStart w:id="227" w:name="_Toc225941564"/>
      <w:r>
        <w:br w:type="page"/>
      </w:r>
    </w:p>
    <w:p w:rsidR="00F704B2" w:rsidRDefault="00F704B2" w:rsidP="00F704B2">
      <w:pPr>
        <w:pStyle w:val="Heading3"/>
        <w:ind w:left="0" w:firstLine="720"/>
      </w:pPr>
    </w:p>
    <w:p w:rsidR="00F704B2" w:rsidRDefault="00F704B2" w:rsidP="00F704B2">
      <w:pPr>
        <w:pStyle w:val="Heading3"/>
        <w:ind w:left="0" w:firstLine="720"/>
      </w:pPr>
      <w:bookmarkStart w:id="228" w:name="_Toc318323440"/>
      <w:r>
        <w:t>Step 1.3</w:t>
      </w:r>
      <w:r>
        <w:tab/>
        <w:t>Employment levels and structure</w:t>
      </w:r>
      <w:bookmarkEnd w:id="227"/>
      <w:bookmarkEnd w:id="228"/>
      <w:r>
        <w:t xml:space="preserve"> </w:t>
      </w:r>
    </w:p>
    <w:p w:rsidR="00F704B2" w:rsidRDefault="00F704B2" w:rsidP="00F704B2">
      <w:pPr>
        <w:pStyle w:val="Maintext"/>
        <w:numPr>
          <w:ilvl w:val="0"/>
          <w:numId w:val="0"/>
        </w:numPr>
      </w:pPr>
    </w:p>
    <w:p w:rsidR="00F704B2" w:rsidRDefault="00F704B2" w:rsidP="00F704B2">
      <w:pPr>
        <w:pStyle w:val="Heading4"/>
      </w:pPr>
      <w:bookmarkStart w:id="229" w:name="_Toc225941565"/>
      <w:r>
        <w:t>Economic activity rates</w:t>
      </w:r>
      <w:bookmarkEnd w:id="229"/>
    </w:p>
    <w:p w:rsidR="00F704B2" w:rsidRDefault="00F704B2" w:rsidP="00F704B2">
      <w:pPr>
        <w:pStyle w:val="Maintext"/>
        <w:numPr>
          <w:ilvl w:val="1"/>
          <w:numId w:val="8"/>
        </w:numPr>
      </w:pPr>
      <w:r>
        <w:t>Across County Durham 73</w:t>
      </w:r>
      <w:r w:rsidR="009F25A6">
        <w:t>.2</w:t>
      </w:r>
      <w:r>
        <w:t>% of the working age population are economically activ</w:t>
      </w:r>
      <w:r w:rsidR="009F25A6">
        <w:t>e and 26.8</w:t>
      </w:r>
      <w:r>
        <w:t xml:space="preserve">% are economically inactive (Table B5). Proportions in employment are slightly </w:t>
      </w:r>
      <w:r w:rsidR="009F25A6">
        <w:t>lower</w:t>
      </w:r>
      <w:r>
        <w:t xml:space="preserve"> than the North East average.</w:t>
      </w:r>
    </w:p>
    <w:p w:rsidR="00F704B2" w:rsidRDefault="00F704B2" w:rsidP="00F704B2">
      <w:pPr>
        <w:pStyle w:val="Maintext"/>
        <w:numPr>
          <w:ilvl w:val="0"/>
          <w:numId w:val="0"/>
        </w:numPr>
        <w:ind w:firstLine="709"/>
        <w:rPr>
          <w:b/>
        </w:rPr>
      </w:pPr>
    </w:p>
    <w:p w:rsidR="00F704B2" w:rsidRDefault="00F704B2" w:rsidP="00F704B2">
      <w:pPr>
        <w:pStyle w:val="Maintext"/>
        <w:numPr>
          <w:ilvl w:val="0"/>
          <w:numId w:val="0"/>
        </w:numPr>
        <w:ind w:firstLine="709"/>
      </w:pPr>
      <w:r>
        <w:rPr>
          <w:b/>
        </w:rPr>
        <w:t>Table B5</w:t>
      </w:r>
      <w:r>
        <w:tab/>
        <w:t>Labour supply in County Durham</w:t>
      </w:r>
    </w:p>
    <w:tbl>
      <w:tblPr>
        <w:tblW w:w="5718" w:type="dxa"/>
        <w:tblInd w:w="817" w:type="dxa"/>
        <w:tblLook w:val="04A0" w:firstRow="1" w:lastRow="0" w:firstColumn="1" w:lastColumn="0" w:noHBand="0" w:noVBand="1"/>
      </w:tblPr>
      <w:tblGrid>
        <w:gridCol w:w="3407"/>
        <w:gridCol w:w="1205"/>
        <w:gridCol w:w="1106"/>
      </w:tblGrid>
      <w:tr w:rsidR="00F704B2" w:rsidRPr="00362E1A" w:rsidTr="003C5498">
        <w:trPr>
          <w:trHeight w:val="765"/>
        </w:trPr>
        <w:tc>
          <w:tcPr>
            <w:tcW w:w="3407"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362E1A" w:rsidRDefault="00F704B2" w:rsidP="003C5498">
            <w:pPr>
              <w:spacing w:before="0" w:after="0"/>
              <w:rPr>
                <w:rFonts w:cs="Arial"/>
                <w:b/>
                <w:bCs/>
                <w:color w:val="FFFFFF"/>
                <w:sz w:val="20"/>
                <w:szCs w:val="20"/>
                <w:lang w:eastAsia="en-GB"/>
              </w:rPr>
            </w:pPr>
            <w:r w:rsidRPr="00362E1A">
              <w:rPr>
                <w:rFonts w:cs="Arial"/>
                <w:b/>
                <w:bCs/>
                <w:color w:val="FFFFFF"/>
                <w:sz w:val="20"/>
                <w:szCs w:val="20"/>
                <w:lang w:eastAsia="en-GB"/>
              </w:rPr>
              <w:t>Economic Activity</w:t>
            </w:r>
          </w:p>
        </w:tc>
        <w:tc>
          <w:tcPr>
            <w:tcW w:w="1205" w:type="dxa"/>
            <w:tcBorders>
              <w:top w:val="single" w:sz="4" w:space="0" w:color="auto"/>
              <w:left w:val="nil"/>
              <w:bottom w:val="single" w:sz="4" w:space="0" w:color="auto"/>
              <w:right w:val="single" w:sz="4" w:space="0" w:color="auto"/>
            </w:tcBorders>
            <w:shd w:val="clear" w:color="000000" w:fill="008080"/>
            <w:vAlign w:val="bottom"/>
            <w:hideMark/>
          </w:tcPr>
          <w:p w:rsidR="00F704B2" w:rsidRPr="00362E1A" w:rsidRDefault="00F704B2" w:rsidP="003C5498">
            <w:pPr>
              <w:spacing w:before="0" w:after="0"/>
              <w:jc w:val="center"/>
              <w:rPr>
                <w:rFonts w:cs="Arial"/>
                <w:b/>
                <w:bCs/>
                <w:color w:val="FFFFFF"/>
                <w:sz w:val="20"/>
                <w:szCs w:val="20"/>
                <w:lang w:eastAsia="en-GB"/>
              </w:rPr>
            </w:pPr>
            <w:r>
              <w:rPr>
                <w:rFonts w:cs="Arial"/>
                <w:b/>
                <w:bCs/>
                <w:color w:val="FFFFFF"/>
                <w:sz w:val="20"/>
                <w:szCs w:val="20"/>
                <w:lang w:eastAsia="en-GB"/>
              </w:rPr>
              <w:t>County Durham</w:t>
            </w:r>
            <w:r w:rsidRPr="00362E1A">
              <w:rPr>
                <w:rFonts w:cs="Arial"/>
                <w:b/>
                <w:bCs/>
                <w:color w:val="FFFFFF"/>
                <w:sz w:val="20"/>
                <w:szCs w:val="20"/>
                <w:lang w:eastAsia="en-GB"/>
              </w:rPr>
              <w:t xml:space="preserve"> %</w:t>
            </w:r>
          </w:p>
        </w:tc>
        <w:tc>
          <w:tcPr>
            <w:tcW w:w="1106" w:type="dxa"/>
            <w:tcBorders>
              <w:top w:val="single" w:sz="4" w:space="0" w:color="auto"/>
              <w:left w:val="nil"/>
              <w:bottom w:val="single" w:sz="4" w:space="0" w:color="auto"/>
              <w:right w:val="single" w:sz="4" w:space="0" w:color="auto"/>
            </w:tcBorders>
            <w:shd w:val="clear" w:color="000000" w:fill="008080"/>
            <w:vAlign w:val="bottom"/>
            <w:hideMark/>
          </w:tcPr>
          <w:p w:rsidR="009F25A6" w:rsidRDefault="009F25A6" w:rsidP="003C5498">
            <w:pPr>
              <w:spacing w:before="0" w:after="0"/>
              <w:jc w:val="center"/>
              <w:rPr>
                <w:rFonts w:cs="Arial"/>
                <w:b/>
                <w:bCs/>
                <w:color w:val="FFFFFF"/>
                <w:sz w:val="20"/>
                <w:szCs w:val="20"/>
                <w:lang w:eastAsia="en-GB"/>
              </w:rPr>
            </w:pPr>
            <w:r>
              <w:rPr>
                <w:rFonts w:cs="Arial"/>
                <w:b/>
                <w:bCs/>
                <w:color w:val="FFFFFF"/>
                <w:sz w:val="20"/>
                <w:szCs w:val="20"/>
                <w:lang w:eastAsia="en-GB"/>
              </w:rPr>
              <w:t>North East</w:t>
            </w:r>
          </w:p>
          <w:p w:rsidR="00F704B2" w:rsidRPr="00362E1A" w:rsidRDefault="009F25A6" w:rsidP="003C5498">
            <w:pPr>
              <w:spacing w:before="0" w:after="0"/>
              <w:jc w:val="center"/>
              <w:rPr>
                <w:rFonts w:cs="Arial"/>
                <w:b/>
                <w:bCs/>
                <w:color w:val="FFFFFF"/>
                <w:sz w:val="20"/>
                <w:szCs w:val="20"/>
                <w:lang w:eastAsia="en-GB"/>
              </w:rPr>
            </w:pPr>
            <w:r>
              <w:rPr>
                <w:rFonts w:cs="Arial"/>
                <w:b/>
                <w:bCs/>
                <w:color w:val="FFFFFF"/>
                <w:sz w:val="20"/>
                <w:szCs w:val="20"/>
                <w:lang w:eastAsia="en-GB"/>
              </w:rPr>
              <w:t>%</w:t>
            </w:r>
          </w:p>
        </w:tc>
      </w:tr>
      <w:tr w:rsidR="009F25A6" w:rsidRPr="00362E1A" w:rsidTr="00EC06E5">
        <w:trPr>
          <w:trHeight w:val="25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9F25A6" w:rsidRPr="00362E1A" w:rsidRDefault="009F25A6" w:rsidP="003C5498">
            <w:pPr>
              <w:spacing w:before="0" w:after="0"/>
              <w:rPr>
                <w:rFonts w:cs="Arial"/>
                <w:b/>
                <w:bCs/>
                <w:sz w:val="20"/>
                <w:szCs w:val="20"/>
                <w:lang w:eastAsia="en-GB"/>
              </w:rPr>
            </w:pPr>
            <w:r w:rsidRPr="00362E1A">
              <w:rPr>
                <w:rFonts w:cs="Arial"/>
                <w:b/>
                <w:bCs/>
                <w:sz w:val="20"/>
                <w:szCs w:val="20"/>
                <w:lang w:eastAsia="en-GB"/>
              </w:rPr>
              <w:t>Total Economically Active</w:t>
            </w:r>
          </w:p>
        </w:tc>
        <w:tc>
          <w:tcPr>
            <w:tcW w:w="1205" w:type="dxa"/>
            <w:tcBorders>
              <w:top w:val="nil"/>
              <w:left w:val="nil"/>
              <w:bottom w:val="single" w:sz="4" w:space="0" w:color="auto"/>
              <w:right w:val="single" w:sz="4" w:space="0" w:color="auto"/>
            </w:tcBorders>
            <w:shd w:val="clear" w:color="auto" w:fill="auto"/>
            <w:noWrap/>
            <w:vAlign w:val="center"/>
            <w:hideMark/>
          </w:tcPr>
          <w:p w:rsidR="009F25A6" w:rsidRDefault="009F25A6" w:rsidP="009F25A6">
            <w:pPr>
              <w:spacing w:before="0" w:after="0"/>
              <w:jc w:val="center"/>
              <w:rPr>
                <w:rFonts w:cs="Arial"/>
                <w:sz w:val="20"/>
                <w:szCs w:val="20"/>
              </w:rPr>
            </w:pPr>
            <w:r>
              <w:rPr>
                <w:rFonts w:cs="Arial"/>
                <w:sz w:val="20"/>
                <w:szCs w:val="20"/>
              </w:rPr>
              <w:t>73.2</w:t>
            </w:r>
          </w:p>
        </w:tc>
        <w:tc>
          <w:tcPr>
            <w:tcW w:w="1106" w:type="dxa"/>
            <w:tcBorders>
              <w:top w:val="nil"/>
              <w:left w:val="nil"/>
              <w:bottom w:val="single" w:sz="4" w:space="0" w:color="auto"/>
              <w:right w:val="single" w:sz="4" w:space="0" w:color="auto"/>
            </w:tcBorders>
            <w:shd w:val="clear" w:color="auto" w:fill="auto"/>
            <w:noWrap/>
            <w:vAlign w:val="center"/>
            <w:hideMark/>
          </w:tcPr>
          <w:p w:rsidR="009F25A6" w:rsidRDefault="009F25A6" w:rsidP="009F25A6">
            <w:pPr>
              <w:spacing w:before="0" w:after="0"/>
              <w:jc w:val="center"/>
              <w:rPr>
                <w:rFonts w:cs="Arial"/>
                <w:sz w:val="20"/>
                <w:szCs w:val="20"/>
              </w:rPr>
            </w:pPr>
            <w:r>
              <w:rPr>
                <w:rFonts w:cs="Arial"/>
                <w:sz w:val="20"/>
                <w:szCs w:val="20"/>
              </w:rPr>
              <w:t>74.2</w:t>
            </w:r>
          </w:p>
        </w:tc>
      </w:tr>
      <w:tr w:rsidR="009F25A6" w:rsidRPr="00362E1A" w:rsidTr="00EC06E5">
        <w:trPr>
          <w:trHeight w:val="25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9F25A6" w:rsidRPr="00362E1A" w:rsidRDefault="009F25A6" w:rsidP="003C5498">
            <w:pPr>
              <w:spacing w:before="0" w:after="0"/>
              <w:rPr>
                <w:rFonts w:cs="Arial"/>
                <w:sz w:val="20"/>
                <w:szCs w:val="20"/>
                <w:lang w:eastAsia="en-GB"/>
              </w:rPr>
            </w:pPr>
            <w:r w:rsidRPr="00362E1A">
              <w:rPr>
                <w:rFonts w:cs="Arial"/>
                <w:sz w:val="20"/>
                <w:szCs w:val="20"/>
                <w:lang w:eastAsia="en-GB"/>
              </w:rPr>
              <w:t xml:space="preserve">  In employment</w:t>
            </w:r>
          </w:p>
        </w:tc>
        <w:tc>
          <w:tcPr>
            <w:tcW w:w="1205" w:type="dxa"/>
            <w:tcBorders>
              <w:top w:val="nil"/>
              <w:left w:val="nil"/>
              <w:bottom w:val="single" w:sz="4" w:space="0" w:color="auto"/>
              <w:right w:val="single" w:sz="4" w:space="0" w:color="auto"/>
            </w:tcBorders>
            <w:shd w:val="clear" w:color="auto" w:fill="auto"/>
            <w:noWrap/>
            <w:vAlign w:val="center"/>
            <w:hideMark/>
          </w:tcPr>
          <w:p w:rsidR="009F25A6" w:rsidRDefault="009F25A6" w:rsidP="009F25A6">
            <w:pPr>
              <w:spacing w:before="0" w:after="0"/>
              <w:jc w:val="center"/>
              <w:rPr>
                <w:rFonts w:cs="Arial"/>
                <w:sz w:val="20"/>
                <w:szCs w:val="20"/>
              </w:rPr>
            </w:pPr>
            <w:r>
              <w:rPr>
                <w:rFonts w:cs="Arial"/>
                <w:sz w:val="20"/>
                <w:szCs w:val="20"/>
              </w:rPr>
              <w:t>65.1</w:t>
            </w:r>
          </w:p>
        </w:tc>
        <w:tc>
          <w:tcPr>
            <w:tcW w:w="1106" w:type="dxa"/>
            <w:tcBorders>
              <w:top w:val="nil"/>
              <w:left w:val="nil"/>
              <w:bottom w:val="single" w:sz="4" w:space="0" w:color="auto"/>
              <w:right w:val="single" w:sz="4" w:space="0" w:color="auto"/>
            </w:tcBorders>
            <w:shd w:val="clear" w:color="auto" w:fill="auto"/>
            <w:noWrap/>
            <w:vAlign w:val="center"/>
            <w:hideMark/>
          </w:tcPr>
          <w:p w:rsidR="009F25A6" w:rsidRDefault="009F25A6" w:rsidP="009F25A6">
            <w:pPr>
              <w:spacing w:before="0" w:after="0"/>
              <w:jc w:val="center"/>
              <w:rPr>
                <w:rFonts w:cs="Arial"/>
                <w:sz w:val="20"/>
                <w:szCs w:val="20"/>
              </w:rPr>
            </w:pPr>
            <w:r>
              <w:rPr>
                <w:rFonts w:cs="Arial"/>
                <w:sz w:val="20"/>
                <w:szCs w:val="20"/>
              </w:rPr>
              <w:t>66.2</w:t>
            </w:r>
          </w:p>
        </w:tc>
      </w:tr>
      <w:tr w:rsidR="009F25A6" w:rsidRPr="00362E1A" w:rsidTr="003C5498">
        <w:trPr>
          <w:trHeight w:val="25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9F25A6" w:rsidRPr="00362E1A" w:rsidRDefault="009F25A6" w:rsidP="003C5498">
            <w:pPr>
              <w:spacing w:before="0" w:after="0"/>
              <w:rPr>
                <w:rFonts w:cs="Arial"/>
                <w:sz w:val="20"/>
                <w:szCs w:val="20"/>
                <w:lang w:eastAsia="en-GB"/>
              </w:rPr>
            </w:pPr>
            <w:r w:rsidRPr="00362E1A">
              <w:rPr>
                <w:rFonts w:cs="Arial"/>
                <w:sz w:val="20"/>
                <w:szCs w:val="20"/>
                <w:lang w:eastAsia="en-GB"/>
              </w:rPr>
              <w:t xml:space="preserve">  Unemployed</w:t>
            </w:r>
          </w:p>
        </w:tc>
        <w:tc>
          <w:tcPr>
            <w:tcW w:w="1205" w:type="dxa"/>
            <w:tcBorders>
              <w:top w:val="nil"/>
              <w:left w:val="nil"/>
              <w:bottom w:val="single" w:sz="4" w:space="0" w:color="auto"/>
              <w:right w:val="single" w:sz="4" w:space="0" w:color="auto"/>
            </w:tcBorders>
            <w:shd w:val="clear" w:color="auto" w:fill="auto"/>
            <w:noWrap/>
            <w:vAlign w:val="bottom"/>
            <w:hideMark/>
          </w:tcPr>
          <w:p w:rsidR="009F25A6" w:rsidRDefault="009F25A6" w:rsidP="009F25A6">
            <w:pPr>
              <w:spacing w:before="0" w:after="0"/>
              <w:jc w:val="center"/>
              <w:rPr>
                <w:rFonts w:cs="Arial"/>
                <w:sz w:val="20"/>
                <w:szCs w:val="20"/>
              </w:rPr>
            </w:pPr>
            <w:r>
              <w:rPr>
                <w:rFonts w:cs="Arial"/>
                <w:sz w:val="20"/>
                <w:szCs w:val="20"/>
              </w:rPr>
              <w:t>8.2</w:t>
            </w:r>
          </w:p>
        </w:tc>
        <w:tc>
          <w:tcPr>
            <w:tcW w:w="1106" w:type="dxa"/>
            <w:tcBorders>
              <w:top w:val="nil"/>
              <w:left w:val="nil"/>
              <w:bottom w:val="single" w:sz="4" w:space="0" w:color="auto"/>
              <w:right w:val="single" w:sz="4" w:space="0" w:color="auto"/>
            </w:tcBorders>
            <w:shd w:val="clear" w:color="auto" w:fill="auto"/>
            <w:noWrap/>
            <w:vAlign w:val="bottom"/>
            <w:hideMark/>
          </w:tcPr>
          <w:p w:rsidR="009F25A6" w:rsidRDefault="009F25A6" w:rsidP="009F25A6">
            <w:pPr>
              <w:spacing w:before="0" w:after="0"/>
              <w:jc w:val="center"/>
              <w:rPr>
                <w:rFonts w:cs="Arial"/>
                <w:sz w:val="20"/>
                <w:szCs w:val="20"/>
              </w:rPr>
            </w:pPr>
            <w:r>
              <w:rPr>
                <w:rFonts w:cs="Arial"/>
                <w:sz w:val="20"/>
                <w:szCs w:val="20"/>
              </w:rPr>
              <w:t>8.0</w:t>
            </w:r>
          </w:p>
        </w:tc>
      </w:tr>
      <w:tr w:rsidR="009F25A6" w:rsidRPr="00362E1A" w:rsidTr="003C5498">
        <w:trPr>
          <w:trHeight w:val="25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9F25A6" w:rsidRPr="00362E1A" w:rsidRDefault="009F25A6" w:rsidP="003C5498">
            <w:pPr>
              <w:spacing w:before="0" w:after="0"/>
              <w:rPr>
                <w:rFonts w:cs="Arial"/>
                <w:b/>
                <w:bCs/>
                <w:sz w:val="20"/>
                <w:szCs w:val="20"/>
                <w:lang w:eastAsia="en-GB"/>
              </w:rPr>
            </w:pPr>
            <w:r w:rsidRPr="00362E1A">
              <w:rPr>
                <w:rFonts w:cs="Arial"/>
                <w:b/>
                <w:bCs/>
                <w:sz w:val="20"/>
                <w:szCs w:val="20"/>
                <w:lang w:eastAsia="en-GB"/>
              </w:rPr>
              <w:t>Economically inactive</w:t>
            </w:r>
          </w:p>
        </w:tc>
        <w:tc>
          <w:tcPr>
            <w:tcW w:w="1205" w:type="dxa"/>
            <w:tcBorders>
              <w:top w:val="nil"/>
              <w:left w:val="nil"/>
              <w:bottom w:val="single" w:sz="4" w:space="0" w:color="auto"/>
              <w:right w:val="single" w:sz="4" w:space="0" w:color="auto"/>
            </w:tcBorders>
            <w:shd w:val="clear" w:color="auto" w:fill="auto"/>
            <w:noWrap/>
            <w:vAlign w:val="bottom"/>
            <w:hideMark/>
          </w:tcPr>
          <w:p w:rsidR="009F25A6" w:rsidRDefault="009F25A6" w:rsidP="009F25A6">
            <w:pPr>
              <w:spacing w:before="0" w:after="0"/>
              <w:jc w:val="center"/>
              <w:rPr>
                <w:rFonts w:cs="Arial"/>
                <w:b/>
                <w:bCs/>
                <w:sz w:val="20"/>
                <w:szCs w:val="20"/>
              </w:rPr>
            </w:pPr>
            <w:r>
              <w:rPr>
                <w:rFonts w:cs="Arial"/>
                <w:b/>
                <w:bCs/>
                <w:sz w:val="20"/>
                <w:szCs w:val="20"/>
              </w:rPr>
              <w:t>26.8</w:t>
            </w:r>
          </w:p>
        </w:tc>
        <w:tc>
          <w:tcPr>
            <w:tcW w:w="1106" w:type="dxa"/>
            <w:tcBorders>
              <w:top w:val="nil"/>
              <w:left w:val="nil"/>
              <w:bottom w:val="single" w:sz="4" w:space="0" w:color="auto"/>
              <w:right w:val="single" w:sz="4" w:space="0" w:color="auto"/>
            </w:tcBorders>
            <w:shd w:val="clear" w:color="auto" w:fill="auto"/>
            <w:noWrap/>
            <w:vAlign w:val="bottom"/>
            <w:hideMark/>
          </w:tcPr>
          <w:p w:rsidR="009F25A6" w:rsidRDefault="009F25A6" w:rsidP="009F25A6">
            <w:pPr>
              <w:spacing w:before="0" w:after="0"/>
              <w:jc w:val="center"/>
              <w:rPr>
                <w:rFonts w:cs="Arial"/>
                <w:b/>
                <w:bCs/>
                <w:sz w:val="20"/>
                <w:szCs w:val="20"/>
              </w:rPr>
            </w:pPr>
            <w:r>
              <w:rPr>
                <w:rFonts w:cs="Arial"/>
                <w:b/>
                <w:bCs/>
                <w:sz w:val="20"/>
                <w:szCs w:val="20"/>
              </w:rPr>
              <w:t>25.8</w:t>
            </w:r>
          </w:p>
        </w:tc>
      </w:tr>
      <w:tr w:rsidR="009F25A6" w:rsidRPr="00362E1A" w:rsidTr="00EC06E5">
        <w:trPr>
          <w:trHeight w:val="255"/>
        </w:trPr>
        <w:tc>
          <w:tcPr>
            <w:tcW w:w="3407" w:type="dxa"/>
            <w:tcBorders>
              <w:top w:val="nil"/>
              <w:left w:val="single" w:sz="4" w:space="0" w:color="auto"/>
              <w:bottom w:val="single" w:sz="4" w:space="0" w:color="auto"/>
              <w:right w:val="single" w:sz="4" w:space="0" w:color="auto"/>
            </w:tcBorders>
            <w:shd w:val="clear" w:color="auto" w:fill="auto"/>
            <w:noWrap/>
            <w:vAlign w:val="bottom"/>
            <w:hideMark/>
          </w:tcPr>
          <w:p w:rsidR="009F25A6" w:rsidRPr="00362E1A" w:rsidRDefault="009F25A6" w:rsidP="003C5498">
            <w:pPr>
              <w:spacing w:before="0" w:after="0"/>
              <w:rPr>
                <w:rFonts w:cs="Arial"/>
                <w:sz w:val="20"/>
                <w:szCs w:val="20"/>
                <w:lang w:eastAsia="en-GB"/>
              </w:rPr>
            </w:pPr>
            <w:r w:rsidRPr="00362E1A">
              <w:rPr>
                <w:rFonts w:cs="Arial"/>
                <w:sz w:val="20"/>
                <w:szCs w:val="20"/>
                <w:lang w:eastAsia="en-GB"/>
              </w:rPr>
              <w:t>Base: Working Age Population</w:t>
            </w:r>
          </w:p>
        </w:tc>
        <w:tc>
          <w:tcPr>
            <w:tcW w:w="1205" w:type="dxa"/>
            <w:tcBorders>
              <w:top w:val="nil"/>
              <w:left w:val="nil"/>
              <w:bottom w:val="single" w:sz="4" w:space="0" w:color="auto"/>
              <w:right w:val="single" w:sz="4" w:space="0" w:color="auto"/>
            </w:tcBorders>
            <w:shd w:val="clear" w:color="auto" w:fill="auto"/>
            <w:noWrap/>
            <w:vAlign w:val="center"/>
            <w:hideMark/>
          </w:tcPr>
          <w:p w:rsidR="009F25A6" w:rsidRDefault="009F25A6" w:rsidP="009F25A6">
            <w:pPr>
              <w:spacing w:before="0" w:after="0"/>
              <w:jc w:val="center"/>
              <w:rPr>
                <w:rFonts w:cs="Arial"/>
                <w:sz w:val="20"/>
                <w:szCs w:val="20"/>
              </w:rPr>
            </w:pPr>
            <w:r>
              <w:rPr>
                <w:rFonts w:cs="Arial"/>
                <w:sz w:val="20"/>
                <w:szCs w:val="20"/>
              </w:rPr>
              <w:t>330,700</w:t>
            </w:r>
          </w:p>
        </w:tc>
        <w:tc>
          <w:tcPr>
            <w:tcW w:w="1106" w:type="dxa"/>
            <w:tcBorders>
              <w:top w:val="nil"/>
              <w:left w:val="nil"/>
              <w:bottom w:val="single" w:sz="4" w:space="0" w:color="auto"/>
              <w:right w:val="single" w:sz="4" w:space="0" w:color="auto"/>
            </w:tcBorders>
            <w:shd w:val="clear" w:color="auto" w:fill="auto"/>
            <w:noWrap/>
            <w:vAlign w:val="center"/>
            <w:hideMark/>
          </w:tcPr>
          <w:p w:rsidR="009F25A6" w:rsidRDefault="009F25A6" w:rsidP="009F25A6">
            <w:pPr>
              <w:spacing w:before="0" w:after="0"/>
              <w:jc w:val="center"/>
              <w:rPr>
                <w:rFonts w:cs="Arial"/>
                <w:sz w:val="20"/>
                <w:szCs w:val="20"/>
              </w:rPr>
            </w:pPr>
            <w:r>
              <w:rPr>
                <w:rFonts w:cs="Arial"/>
                <w:sz w:val="20"/>
                <w:szCs w:val="20"/>
              </w:rPr>
              <w:t>1,693,800</w:t>
            </w:r>
          </w:p>
        </w:tc>
      </w:tr>
    </w:tbl>
    <w:p w:rsidR="00F704B2" w:rsidRDefault="00F704B2" w:rsidP="00F704B2">
      <w:pPr>
        <w:pStyle w:val="Maintext"/>
        <w:numPr>
          <w:ilvl w:val="0"/>
          <w:numId w:val="0"/>
        </w:numPr>
        <w:ind w:left="720"/>
        <w:rPr>
          <w:sz w:val="20"/>
          <w:szCs w:val="20"/>
        </w:rPr>
      </w:pPr>
      <w:r>
        <w:rPr>
          <w:sz w:val="20"/>
          <w:szCs w:val="20"/>
        </w:rPr>
        <w:t xml:space="preserve">Source: ONS Annual Population Survey </w:t>
      </w:r>
      <w:r w:rsidR="009F25A6">
        <w:rPr>
          <w:sz w:val="20"/>
          <w:szCs w:val="20"/>
        </w:rPr>
        <w:t>2012</w:t>
      </w:r>
    </w:p>
    <w:p w:rsidR="00F704B2" w:rsidRDefault="00F704B2" w:rsidP="00F704B2">
      <w:pPr>
        <w:pStyle w:val="Maintext"/>
        <w:numPr>
          <w:ilvl w:val="0"/>
          <w:numId w:val="0"/>
        </w:numPr>
      </w:pPr>
    </w:p>
    <w:p w:rsidR="00F704B2" w:rsidRDefault="00F704B2" w:rsidP="00F704B2">
      <w:pPr>
        <w:pStyle w:val="Heading4"/>
      </w:pPr>
      <w:bookmarkStart w:id="230" w:name="_Toc225941566"/>
      <w:r>
        <w:t>Employment by occupation group</w:t>
      </w:r>
      <w:bookmarkEnd w:id="230"/>
    </w:p>
    <w:p w:rsidR="00F704B2" w:rsidRDefault="00F704B2" w:rsidP="00F704B2">
      <w:pPr>
        <w:pStyle w:val="Maintext"/>
        <w:numPr>
          <w:ilvl w:val="1"/>
          <w:numId w:val="8"/>
        </w:numPr>
      </w:pPr>
      <w:r>
        <w:t xml:space="preserve">Employment by broad occupational groups is summarised in Table B6.  This indicates that compared with the North East, County Durham has broadly similar proportions of residents in the various occupation categories.  There are slightly </w:t>
      </w:r>
      <w:r w:rsidR="009F25A6">
        <w:t>fewer</w:t>
      </w:r>
      <w:r>
        <w:t xml:space="preserve"> Managers and Professionals when compared to the North East.</w:t>
      </w:r>
    </w:p>
    <w:p w:rsidR="009F25A6" w:rsidRDefault="00F704B2" w:rsidP="009F25A6">
      <w:pPr>
        <w:pStyle w:val="Maintext"/>
        <w:numPr>
          <w:ilvl w:val="0"/>
          <w:numId w:val="0"/>
        </w:numPr>
        <w:ind w:firstLine="709"/>
      </w:pPr>
      <w:r>
        <w:rPr>
          <w:b/>
        </w:rPr>
        <w:br w:type="page"/>
        <w:t>Table B6</w:t>
      </w:r>
      <w:r>
        <w:tab/>
        <w:t>Occupation of County Durham’s economically active residents</w:t>
      </w:r>
    </w:p>
    <w:tbl>
      <w:tblPr>
        <w:tblW w:w="6804" w:type="dxa"/>
        <w:tblInd w:w="817" w:type="dxa"/>
        <w:tblLook w:val="04A0" w:firstRow="1" w:lastRow="0" w:firstColumn="1" w:lastColumn="0" w:noHBand="0" w:noVBand="1"/>
      </w:tblPr>
      <w:tblGrid>
        <w:gridCol w:w="3260"/>
        <w:gridCol w:w="1985"/>
        <w:gridCol w:w="1559"/>
      </w:tblGrid>
      <w:tr w:rsidR="009F25A6" w:rsidRPr="009F25A6" w:rsidTr="009F25A6">
        <w:trPr>
          <w:trHeight w:val="765"/>
        </w:trPr>
        <w:tc>
          <w:tcPr>
            <w:tcW w:w="3260" w:type="dxa"/>
            <w:tcBorders>
              <w:top w:val="single" w:sz="4" w:space="0" w:color="auto"/>
              <w:left w:val="single" w:sz="4" w:space="0" w:color="auto"/>
              <w:bottom w:val="single" w:sz="4" w:space="0" w:color="auto"/>
              <w:right w:val="single" w:sz="4" w:space="0" w:color="auto"/>
            </w:tcBorders>
            <w:shd w:val="clear" w:color="000000" w:fill="008080"/>
            <w:vAlign w:val="center"/>
            <w:hideMark/>
          </w:tcPr>
          <w:p w:rsidR="009F25A6" w:rsidRPr="009F25A6" w:rsidRDefault="009F25A6" w:rsidP="009F25A6">
            <w:pPr>
              <w:spacing w:before="0" w:after="0"/>
              <w:jc w:val="center"/>
              <w:rPr>
                <w:rFonts w:cs="Arial"/>
                <w:b/>
                <w:bCs/>
                <w:color w:val="FFFFFF"/>
                <w:sz w:val="20"/>
                <w:szCs w:val="20"/>
                <w:lang w:eastAsia="en-GB"/>
              </w:rPr>
            </w:pPr>
            <w:r w:rsidRPr="009F25A6">
              <w:rPr>
                <w:rFonts w:cs="Arial"/>
                <w:b/>
                <w:bCs/>
                <w:color w:val="FFFFFF"/>
                <w:sz w:val="20"/>
                <w:szCs w:val="20"/>
                <w:lang w:eastAsia="en-GB"/>
              </w:rPr>
              <w:t>Occupations</w:t>
            </w:r>
          </w:p>
        </w:tc>
        <w:tc>
          <w:tcPr>
            <w:tcW w:w="1985" w:type="dxa"/>
            <w:tcBorders>
              <w:top w:val="single" w:sz="4" w:space="0" w:color="auto"/>
              <w:left w:val="nil"/>
              <w:bottom w:val="single" w:sz="4" w:space="0" w:color="auto"/>
              <w:right w:val="single" w:sz="4" w:space="0" w:color="auto"/>
            </w:tcBorders>
            <w:shd w:val="clear" w:color="000000" w:fill="008080"/>
            <w:vAlign w:val="bottom"/>
            <w:hideMark/>
          </w:tcPr>
          <w:p w:rsidR="009F25A6" w:rsidRPr="009F25A6" w:rsidRDefault="009F25A6" w:rsidP="009F25A6">
            <w:pPr>
              <w:spacing w:before="0" w:after="0"/>
              <w:jc w:val="center"/>
              <w:rPr>
                <w:rFonts w:cs="Arial"/>
                <w:b/>
                <w:bCs/>
                <w:color w:val="FFFFFF"/>
                <w:sz w:val="20"/>
                <w:szCs w:val="20"/>
                <w:lang w:eastAsia="en-GB"/>
              </w:rPr>
            </w:pPr>
            <w:r>
              <w:rPr>
                <w:rFonts w:cs="Arial"/>
                <w:b/>
                <w:bCs/>
                <w:color w:val="FFFFFF"/>
                <w:sz w:val="20"/>
                <w:szCs w:val="20"/>
                <w:lang w:eastAsia="en-GB"/>
              </w:rPr>
              <w:t xml:space="preserve">County Durham </w:t>
            </w:r>
            <w:r w:rsidRPr="009F25A6">
              <w:rPr>
                <w:rFonts w:cs="Arial"/>
                <w:b/>
                <w:bCs/>
                <w:color w:val="FFFFFF"/>
                <w:sz w:val="20"/>
                <w:szCs w:val="20"/>
                <w:lang w:eastAsia="en-GB"/>
              </w:rPr>
              <w:t>%</w:t>
            </w:r>
          </w:p>
        </w:tc>
        <w:tc>
          <w:tcPr>
            <w:tcW w:w="1559" w:type="dxa"/>
            <w:tcBorders>
              <w:top w:val="single" w:sz="4" w:space="0" w:color="auto"/>
              <w:left w:val="nil"/>
              <w:bottom w:val="single" w:sz="4" w:space="0" w:color="auto"/>
              <w:right w:val="single" w:sz="4" w:space="0" w:color="auto"/>
            </w:tcBorders>
            <w:shd w:val="clear" w:color="000000" w:fill="008080"/>
            <w:vAlign w:val="bottom"/>
            <w:hideMark/>
          </w:tcPr>
          <w:p w:rsidR="009F25A6" w:rsidRPr="009F25A6" w:rsidRDefault="009F25A6" w:rsidP="009F25A6">
            <w:pPr>
              <w:spacing w:before="0" w:after="0"/>
              <w:jc w:val="center"/>
              <w:rPr>
                <w:rFonts w:cs="Arial"/>
                <w:b/>
                <w:bCs/>
                <w:color w:val="FFFFFF"/>
                <w:sz w:val="20"/>
                <w:szCs w:val="20"/>
                <w:lang w:eastAsia="en-GB"/>
              </w:rPr>
            </w:pPr>
            <w:r>
              <w:rPr>
                <w:rFonts w:cs="Arial"/>
                <w:b/>
                <w:bCs/>
                <w:color w:val="FFFFFF"/>
                <w:sz w:val="20"/>
                <w:szCs w:val="20"/>
                <w:lang w:eastAsia="en-GB"/>
              </w:rPr>
              <w:t>North East</w:t>
            </w:r>
            <w:r w:rsidRPr="009F25A6">
              <w:rPr>
                <w:rFonts w:cs="Arial"/>
                <w:b/>
                <w:bCs/>
                <w:color w:val="FFFFFF"/>
                <w:sz w:val="20"/>
                <w:szCs w:val="20"/>
                <w:lang w:eastAsia="en-GB"/>
              </w:rPr>
              <w:t xml:space="preserve"> %</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1 Managers and senior officials</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7.2</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8.1</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2 Professional occupations</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13.9</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16.3</w:t>
            </w:r>
          </w:p>
        </w:tc>
      </w:tr>
      <w:tr w:rsidR="009F25A6" w:rsidRPr="009F25A6" w:rsidTr="009F25A6">
        <w:trPr>
          <w:trHeight w:val="28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3 Associate professional &amp; technical</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13.0</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12.5</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4 Administrative &amp; secretarial</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10.9</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11.2</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5 Skilled trades occupations</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12.3</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11.1</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6 Personal service occupations</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8.7</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9.5</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7 Sales and customer service occs</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10.6</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10.5</w:t>
            </w:r>
          </w:p>
        </w:tc>
      </w:tr>
      <w:tr w:rsidR="009F25A6" w:rsidRPr="009F25A6" w:rsidTr="009F25A6">
        <w:trPr>
          <w:trHeight w:val="31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8 Process plant &amp; machine operatives</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7.5</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7.3</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hideMark/>
          </w:tcPr>
          <w:p w:rsidR="009F25A6" w:rsidRPr="009F25A6" w:rsidRDefault="009F25A6" w:rsidP="009F25A6">
            <w:pPr>
              <w:spacing w:before="0" w:after="0"/>
              <w:rPr>
                <w:rFonts w:cs="Arial"/>
                <w:sz w:val="20"/>
                <w:szCs w:val="20"/>
                <w:lang w:eastAsia="en-GB"/>
              </w:rPr>
            </w:pPr>
            <w:r w:rsidRPr="009F25A6">
              <w:rPr>
                <w:rFonts w:cs="Arial"/>
                <w:sz w:val="20"/>
                <w:szCs w:val="20"/>
                <w:lang w:eastAsia="en-GB"/>
              </w:rPr>
              <w:t>9 Elementary occupations</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14.2</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12.5</w:t>
            </w:r>
          </w:p>
        </w:tc>
      </w:tr>
      <w:tr w:rsidR="009F25A6" w:rsidRPr="009F25A6" w:rsidTr="009F25A6">
        <w:trPr>
          <w:trHeight w:val="36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9F25A6" w:rsidRPr="009F25A6" w:rsidRDefault="009F25A6" w:rsidP="009F25A6">
            <w:pPr>
              <w:spacing w:before="0" w:after="0"/>
              <w:rPr>
                <w:rFonts w:cs="Arial"/>
                <w:b/>
                <w:bCs/>
                <w:sz w:val="20"/>
                <w:szCs w:val="20"/>
                <w:lang w:eastAsia="en-GB"/>
              </w:rPr>
            </w:pPr>
            <w:r w:rsidRPr="009F25A6">
              <w:rPr>
                <w:rFonts w:cs="Arial"/>
                <w:b/>
                <w:bCs/>
                <w:sz w:val="20"/>
                <w:szCs w:val="20"/>
                <w:lang w:eastAsia="en-GB"/>
              </w:rPr>
              <w:t>Soc 2000 major group 1-3</w:t>
            </w:r>
          </w:p>
        </w:tc>
        <w:tc>
          <w:tcPr>
            <w:tcW w:w="1985"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34.1</w:t>
            </w:r>
          </w:p>
        </w:tc>
        <w:tc>
          <w:tcPr>
            <w:tcW w:w="1559"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36.9</w:t>
            </w:r>
          </w:p>
        </w:tc>
      </w:tr>
      <w:tr w:rsidR="009F25A6" w:rsidRPr="009F25A6" w:rsidTr="009F25A6">
        <w:trPr>
          <w:trHeight w:val="36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9F25A6" w:rsidRPr="009F25A6" w:rsidRDefault="009F25A6" w:rsidP="009F25A6">
            <w:pPr>
              <w:spacing w:before="0" w:after="0"/>
              <w:rPr>
                <w:rFonts w:cs="Arial"/>
                <w:b/>
                <w:bCs/>
                <w:sz w:val="20"/>
                <w:szCs w:val="20"/>
                <w:lang w:eastAsia="en-GB"/>
              </w:rPr>
            </w:pPr>
            <w:r w:rsidRPr="009F25A6">
              <w:rPr>
                <w:rFonts w:cs="Arial"/>
                <w:b/>
                <w:bCs/>
                <w:sz w:val="20"/>
                <w:szCs w:val="20"/>
                <w:lang w:eastAsia="en-GB"/>
              </w:rPr>
              <w:t>Soc 2000 major group 4-5</w:t>
            </w:r>
          </w:p>
        </w:tc>
        <w:tc>
          <w:tcPr>
            <w:tcW w:w="1985"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23.2</w:t>
            </w:r>
          </w:p>
        </w:tc>
        <w:tc>
          <w:tcPr>
            <w:tcW w:w="1559"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22.3</w:t>
            </w:r>
          </w:p>
        </w:tc>
      </w:tr>
      <w:tr w:rsidR="009F25A6" w:rsidRPr="009F25A6" w:rsidTr="009F25A6">
        <w:trPr>
          <w:trHeight w:val="36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9F25A6" w:rsidRPr="009F25A6" w:rsidRDefault="009F25A6" w:rsidP="009F25A6">
            <w:pPr>
              <w:spacing w:before="0" w:after="0"/>
              <w:rPr>
                <w:rFonts w:cs="Arial"/>
                <w:b/>
                <w:bCs/>
                <w:sz w:val="20"/>
                <w:szCs w:val="20"/>
                <w:lang w:eastAsia="en-GB"/>
              </w:rPr>
            </w:pPr>
            <w:r w:rsidRPr="009F25A6">
              <w:rPr>
                <w:rFonts w:cs="Arial"/>
                <w:b/>
                <w:bCs/>
                <w:sz w:val="20"/>
                <w:szCs w:val="20"/>
                <w:lang w:eastAsia="en-GB"/>
              </w:rPr>
              <w:t>Soc 2000 major group 6-7</w:t>
            </w:r>
          </w:p>
        </w:tc>
        <w:tc>
          <w:tcPr>
            <w:tcW w:w="1985"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19.3</w:t>
            </w:r>
          </w:p>
        </w:tc>
        <w:tc>
          <w:tcPr>
            <w:tcW w:w="1559"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20.0</w:t>
            </w:r>
          </w:p>
        </w:tc>
      </w:tr>
      <w:tr w:rsidR="009F25A6" w:rsidRPr="009F25A6" w:rsidTr="009F25A6">
        <w:trPr>
          <w:trHeight w:val="405"/>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9F25A6" w:rsidRPr="009F25A6" w:rsidRDefault="009F25A6" w:rsidP="009F25A6">
            <w:pPr>
              <w:spacing w:before="0" w:after="0"/>
              <w:rPr>
                <w:rFonts w:cs="Arial"/>
                <w:b/>
                <w:bCs/>
                <w:sz w:val="20"/>
                <w:szCs w:val="20"/>
                <w:lang w:eastAsia="en-GB"/>
              </w:rPr>
            </w:pPr>
            <w:r w:rsidRPr="009F25A6">
              <w:rPr>
                <w:rFonts w:cs="Arial"/>
                <w:b/>
                <w:bCs/>
                <w:sz w:val="20"/>
                <w:szCs w:val="20"/>
                <w:lang w:eastAsia="en-GB"/>
              </w:rPr>
              <w:t>Soc 2000 major group 8-9</w:t>
            </w:r>
          </w:p>
        </w:tc>
        <w:tc>
          <w:tcPr>
            <w:tcW w:w="1985"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21.7</w:t>
            </w:r>
          </w:p>
        </w:tc>
        <w:tc>
          <w:tcPr>
            <w:tcW w:w="1559" w:type="dxa"/>
            <w:tcBorders>
              <w:top w:val="nil"/>
              <w:left w:val="nil"/>
              <w:bottom w:val="single" w:sz="4" w:space="0" w:color="auto"/>
              <w:right w:val="single" w:sz="4" w:space="0" w:color="auto"/>
            </w:tcBorders>
            <w:shd w:val="clear" w:color="auto" w:fill="auto"/>
            <w:vAlign w:val="center"/>
            <w:hideMark/>
          </w:tcPr>
          <w:p w:rsidR="009F25A6" w:rsidRPr="009F25A6" w:rsidRDefault="009F25A6" w:rsidP="009F25A6">
            <w:pPr>
              <w:spacing w:before="0" w:after="0"/>
              <w:jc w:val="center"/>
              <w:rPr>
                <w:rFonts w:cs="Arial"/>
                <w:b/>
                <w:bCs/>
                <w:sz w:val="20"/>
                <w:szCs w:val="20"/>
                <w:lang w:eastAsia="en-GB"/>
              </w:rPr>
            </w:pPr>
            <w:r w:rsidRPr="009F25A6">
              <w:rPr>
                <w:rFonts w:cs="Arial"/>
                <w:b/>
                <w:bCs/>
                <w:sz w:val="20"/>
                <w:szCs w:val="20"/>
                <w:lang w:eastAsia="en-GB"/>
              </w:rPr>
              <w:t>19.8</w:t>
            </w:r>
          </w:p>
        </w:tc>
      </w:tr>
      <w:tr w:rsidR="009F25A6" w:rsidRPr="009F25A6" w:rsidTr="009F25A6">
        <w:trPr>
          <w:trHeight w:val="255"/>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9F25A6" w:rsidRPr="009F25A6" w:rsidRDefault="009F25A6" w:rsidP="009F25A6">
            <w:pPr>
              <w:spacing w:before="0" w:after="0"/>
              <w:rPr>
                <w:rFonts w:cs="Arial"/>
                <w:b/>
                <w:bCs/>
                <w:sz w:val="20"/>
                <w:szCs w:val="20"/>
                <w:lang w:eastAsia="en-GB"/>
              </w:rPr>
            </w:pPr>
            <w:r w:rsidRPr="009F25A6">
              <w:rPr>
                <w:rFonts w:cs="Arial"/>
                <w:b/>
                <w:bCs/>
                <w:sz w:val="20"/>
                <w:szCs w:val="20"/>
                <w:lang w:eastAsia="en-GB"/>
              </w:rPr>
              <w:t>Base: Working age population</w:t>
            </w:r>
          </w:p>
        </w:tc>
        <w:tc>
          <w:tcPr>
            <w:tcW w:w="1985"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220,600</w:t>
            </w:r>
          </w:p>
        </w:tc>
        <w:tc>
          <w:tcPr>
            <w:tcW w:w="1559" w:type="dxa"/>
            <w:tcBorders>
              <w:top w:val="nil"/>
              <w:left w:val="nil"/>
              <w:bottom w:val="single" w:sz="4" w:space="0" w:color="auto"/>
              <w:right w:val="single" w:sz="4" w:space="0" w:color="auto"/>
            </w:tcBorders>
            <w:shd w:val="clear" w:color="auto" w:fill="auto"/>
            <w:noWrap/>
            <w:vAlign w:val="center"/>
            <w:hideMark/>
          </w:tcPr>
          <w:p w:rsidR="009F25A6" w:rsidRPr="009F25A6" w:rsidRDefault="009F25A6" w:rsidP="009F25A6">
            <w:pPr>
              <w:spacing w:before="0" w:after="0"/>
              <w:jc w:val="center"/>
              <w:rPr>
                <w:rFonts w:cs="Arial"/>
                <w:sz w:val="20"/>
                <w:szCs w:val="20"/>
                <w:lang w:eastAsia="en-GB"/>
              </w:rPr>
            </w:pPr>
            <w:r w:rsidRPr="009F25A6">
              <w:rPr>
                <w:rFonts w:cs="Arial"/>
                <w:sz w:val="20"/>
                <w:szCs w:val="20"/>
                <w:lang w:eastAsia="en-GB"/>
              </w:rPr>
              <w:t>1,146,100</w:t>
            </w:r>
          </w:p>
        </w:tc>
      </w:tr>
    </w:tbl>
    <w:p w:rsidR="00F704B2" w:rsidRPr="009F25A6" w:rsidRDefault="009F25A6" w:rsidP="00F704B2">
      <w:pPr>
        <w:pStyle w:val="Maintext"/>
        <w:numPr>
          <w:ilvl w:val="0"/>
          <w:numId w:val="0"/>
        </w:numPr>
        <w:rPr>
          <w:sz w:val="20"/>
          <w:szCs w:val="20"/>
        </w:rPr>
      </w:pPr>
      <w:r>
        <w:tab/>
      </w:r>
      <w:r>
        <w:rPr>
          <w:sz w:val="20"/>
          <w:szCs w:val="20"/>
        </w:rPr>
        <w:t xml:space="preserve">Source: ONS Annual </w:t>
      </w:r>
      <w:r w:rsidR="00CF2272">
        <w:rPr>
          <w:sz w:val="20"/>
          <w:szCs w:val="20"/>
        </w:rPr>
        <w:t>P</w:t>
      </w:r>
      <w:r>
        <w:rPr>
          <w:sz w:val="20"/>
          <w:szCs w:val="20"/>
        </w:rPr>
        <w:t xml:space="preserve">opulation </w:t>
      </w:r>
      <w:r w:rsidR="00CF2272">
        <w:rPr>
          <w:sz w:val="20"/>
          <w:szCs w:val="20"/>
        </w:rPr>
        <w:t>S</w:t>
      </w:r>
      <w:r>
        <w:rPr>
          <w:sz w:val="20"/>
          <w:szCs w:val="20"/>
        </w:rPr>
        <w:t>urvey Jan to Dec 2012</w:t>
      </w:r>
    </w:p>
    <w:p w:rsidR="009F25A6" w:rsidRDefault="009F25A6" w:rsidP="00F704B2">
      <w:pPr>
        <w:pStyle w:val="Maintext"/>
        <w:numPr>
          <w:ilvl w:val="0"/>
          <w:numId w:val="0"/>
        </w:numPr>
      </w:pPr>
    </w:p>
    <w:p w:rsidR="00F704B2" w:rsidRDefault="00F704B2" w:rsidP="00F704B2">
      <w:pPr>
        <w:pStyle w:val="Heading4"/>
      </w:pPr>
      <w:bookmarkStart w:id="231" w:name="_Toc225941567"/>
      <w:r>
        <w:t>Qualifications</w:t>
      </w:r>
      <w:bookmarkEnd w:id="231"/>
    </w:p>
    <w:p w:rsidR="00F704B2" w:rsidRDefault="00F704B2" w:rsidP="005D7D0B">
      <w:pPr>
        <w:pStyle w:val="Maintext"/>
        <w:numPr>
          <w:ilvl w:val="1"/>
          <w:numId w:val="8"/>
        </w:numPr>
      </w:pPr>
      <w:r>
        <w:t xml:space="preserve">Education and skills are critical elements of sound economic performance.  Table B7 illustrates that </w:t>
      </w:r>
      <w:r w:rsidR="00CF2272">
        <w:t>46</w:t>
      </w:r>
      <w:r>
        <w:t xml:space="preserve">% of economically active residents in County Durham have at least an NVQ3 level qualification (compared with </w:t>
      </w:r>
      <w:r w:rsidR="00CF2272">
        <w:t>50.2</w:t>
      </w:r>
      <w:r>
        <w:t>% for the North East). The proportion with NVQ4 and above (</w:t>
      </w:r>
      <w:r w:rsidR="00CF2272">
        <w:t>28.6</w:t>
      </w:r>
      <w:r>
        <w:t xml:space="preserve">%) is </w:t>
      </w:r>
      <w:r w:rsidR="00CF2272">
        <w:t>broadly</w:t>
      </w:r>
      <w:r>
        <w:t xml:space="preserve"> similar to the </w:t>
      </w:r>
      <w:r w:rsidR="00CF2272">
        <w:t>31.1</w:t>
      </w:r>
      <w:r>
        <w:t>% for the North East.</w:t>
      </w:r>
    </w:p>
    <w:p w:rsidR="00F704B2" w:rsidRDefault="00F704B2" w:rsidP="00F704B2">
      <w:pPr>
        <w:pStyle w:val="Maintext"/>
        <w:numPr>
          <w:ilvl w:val="0"/>
          <w:numId w:val="0"/>
        </w:numPr>
        <w:ind w:left="709"/>
      </w:pPr>
    </w:p>
    <w:p w:rsidR="00F704B2" w:rsidRDefault="00F704B2" w:rsidP="00F704B2">
      <w:pPr>
        <w:pStyle w:val="Maintext"/>
        <w:numPr>
          <w:ilvl w:val="0"/>
          <w:numId w:val="0"/>
        </w:numPr>
        <w:ind w:left="2160" w:hanging="1451"/>
        <w:jc w:val="left"/>
      </w:pPr>
      <w:r>
        <w:rPr>
          <w:b/>
        </w:rPr>
        <w:t>Table B7</w:t>
      </w:r>
      <w:r>
        <w:tab/>
        <w:t>Educational attainment of County Durham’s economically active population</w:t>
      </w:r>
    </w:p>
    <w:tbl>
      <w:tblPr>
        <w:tblW w:w="5028" w:type="dxa"/>
        <w:tblInd w:w="720" w:type="dxa"/>
        <w:tblLook w:val="04A0" w:firstRow="1" w:lastRow="0" w:firstColumn="1" w:lastColumn="0" w:noHBand="0" w:noVBand="1"/>
      </w:tblPr>
      <w:tblGrid>
        <w:gridCol w:w="2751"/>
        <w:gridCol w:w="1317"/>
        <w:gridCol w:w="1106"/>
      </w:tblGrid>
      <w:tr w:rsidR="00F704B2" w:rsidRPr="00C478A3" w:rsidTr="003C5498">
        <w:trPr>
          <w:trHeight w:val="473"/>
        </w:trPr>
        <w:tc>
          <w:tcPr>
            <w:tcW w:w="2751"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F704B2" w:rsidRPr="00C478A3" w:rsidRDefault="00F704B2" w:rsidP="003C5498">
            <w:pPr>
              <w:spacing w:before="0" w:after="0"/>
              <w:rPr>
                <w:rFonts w:cs="Arial"/>
                <w:b/>
                <w:bCs/>
                <w:color w:val="FFFFFF"/>
                <w:sz w:val="20"/>
                <w:szCs w:val="20"/>
                <w:lang w:eastAsia="en-GB"/>
              </w:rPr>
            </w:pPr>
            <w:r w:rsidRPr="00C478A3">
              <w:rPr>
                <w:rFonts w:cs="Arial"/>
                <w:b/>
                <w:bCs/>
                <w:color w:val="FFFFFF"/>
                <w:sz w:val="20"/>
                <w:szCs w:val="20"/>
                <w:lang w:eastAsia="en-GB"/>
              </w:rPr>
              <w:t>Highest Qualification</w:t>
            </w:r>
          </w:p>
        </w:tc>
        <w:tc>
          <w:tcPr>
            <w:tcW w:w="1317" w:type="dxa"/>
            <w:tcBorders>
              <w:top w:val="single" w:sz="4" w:space="0" w:color="auto"/>
              <w:left w:val="nil"/>
              <w:bottom w:val="single" w:sz="4" w:space="0" w:color="auto"/>
              <w:right w:val="single" w:sz="4" w:space="0" w:color="auto"/>
            </w:tcBorders>
            <w:shd w:val="clear" w:color="000000" w:fill="008080"/>
            <w:vAlign w:val="bottom"/>
            <w:hideMark/>
          </w:tcPr>
          <w:p w:rsidR="00F704B2" w:rsidRDefault="00F704B2" w:rsidP="003C5498">
            <w:pPr>
              <w:spacing w:before="0" w:after="0"/>
              <w:jc w:val="center"/>
              <w:rPr>
                <w:rFonts w:cs="Arial"/>
                <w:b/>
                <w:bCs/>
                <w:color w:val="FFFFFF"/>
                <w:sz w:val="20"/>
                <w:szCs w:val="20"/>
                <w:lang w:eastAsia="en-GB"/>
              </w:rPr>
            </w:pPr>
            <w:r w:rsidRPr="00C478A3">
              <w:rPr>
                <w:rFonts w:cs="Arial"/>
                <w:b/>
                <w:bCs/>
                <w:color w:val="FFFFFF"/>
                <w:sz w:val="20"/>
                <w:szCs w:val="20"/>
                <w:lang w:eastAsia="en-GB"/>
              </w:rPr>
              <w:t xml:space="preserve">County </w:t>
            </w:r>
          </w:p>
          <w:p w:rsidR="00F704B2" w:rsidRPr="00C478A3" w:rsidRDefault="00F704B2" w:rsidP="003C5498">
            <w:pPr>
              <w:spacing w:before="0" w:after="0"/>
              <w:jc w:val="center"/>
              <w:rPr>
                <w:rFonts w:cs="Arial"/>
                <w:b/>
                <w:bCs/>
                <w:color w:val="FFFFFF"/>
                <w:sz w:val="20"/>
                <w:szCs w:val="20"/>
                <w:lang w:eastAsia="en-GB"/>
              </w:rPr>
            </w:pPr>
            <w:r>
              <w:rPr>
                <w:rFonts w:cs="Arial"/>
                <w:b/>
                <w:bCs/>
                <w:color w:val="FFFFFF"/>
                <w:sz w:val="20"/>
                <w:szCs w:val="20"/>
                <w:lang w:eastAsia="en-GB"/>
              </w:rPr>
              <w:t xml:space="preserve">Durham </w:t>
            </w:r>
            <w:r w:rsidRPr="00C478A3">
              <w:rPr>
                <w:rFonts w:cs="Arial"/>
                <w:b/>
                <w:bCs/>
                <w:color w:val="FFFFFF"/>
                <w:sz w:val="20"/>
                <w:szCs w:val="20"/>
                <w:lang w:eastAsia="en-GB"/>
              </w:rPr>
              <w:t>%</w:t>
            </w:r>
          </w:p>
        </w:tc>
        <w:tc>
          <w:tcPr>
            <w:tcW w:w="960" w:type="dxa"/>
            <w:tcBorders>
              <w:top w:val="single" w:sz="4" w:space="0" w:color="auto"/>
              <w:left w:val="nil"/>
              <w:bottom w:val="single" w:sz="4" w:space="0" w:color="auto"/>
              <w:right w:val="single" w:sz="4" w:space="0" w:color="auto"/>
            </w:tcBorders>
            <w:shd w:val="clear" w:color="000000" w:fill="008080"/>
            <w:vAlign w:val="bottom"/>
            <w:hideMark/>
          </w:tcPr>
          <w:p w:rsidR="00F704B2" w:rsidRPr="00C478A3" w:rsidRDefault="00F704B2" w:rsidP="003C5498">
            <w:pPr>
              <w:spacing w:before="0" w:after="0"/>
              <w:jc w:val="center"/>
              <w:rPr>
                <w:rFonts w:cs="Arial"/>
                <w:b/>
                <w:bCs/>
                <w:color w:val="FFFFFF"/>
                <w:sz w:val="20"/>
                <w:szCs w:val="20"/>
                <w:lang w:eastAsia="en-GB"/>
              </w:rPr>
            </w:pPr>
            <w:r w:rsidRPr="00C478A3">
              <w:rPr>
                <w:rFonts w:cs="Arial"/>
                <w:b/>
                <w:bCs/>
                <w:color w:val="FFFFFF"/>
                <w:sz w:val="20"/>
                <w:szCs w:val="20"/>
                <w:lang w:eastAsia="en-GB"/>
              </w:rPr>
              <w:t>North East  %</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NVQ4 and above</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28.6</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31.1</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NVQ3</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17.4</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19.1</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NVQ2</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20.5</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19.1</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NVQ1</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16.0</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13.6</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Trade Apprenticeships</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5.1</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Other Qualifications</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5.1</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No Qualifications</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7.9</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6.9</w:t>
            </w:r>
          </w:p>
        </w:tc>
      </w:tr>
      <w:tr w:rsidR="00CF2272" w:rsidRPr="00C478A3" w:rsidTr="00EC06E5">
        <w:trPr>
          <w:trHeight w:val="255"/>
        </w:trPr>
        <w:tc>
          <w:tcPr>
            <w:tcW w:w="2751" w:type="dxa"/>
            <w:tcBorders>
              <w:top w:val="nil"/>
              <w:left w:val="single" w:sz="4" w:space="0" w:color="auto"/>
              <w:bottom w:val="single" w:sz="4" w:space="0" w:color="auto"/>
              <w:right w:val="single" w:sz="4" w:space="0" w:color="auto"/>
            </w:tcBorders>
            <w:shd w:val="clear" w:color="auto" w:fill="auto"/>
            <w:noWrap/>
            <w:vAlign w:val="bottom"/>
            <w:hideMark/>
          </w:tcPr>
          <w:p w:rsidR="00CF2272" w:rsidRPr="00C478A3" w:rsidRDefault="00CF2272" w:rsidP="003C5498">
            <w:pPr>
              <w:spacing w:before="0" w:after="0"/>
              <w:rPr>
                <w:rFonts w:cs="Arial"/>
                <w:sz w:val="20"/>
                <w:szCs w:val="20"/>
                <w:lang w:eastAsia="en-GB"/>
              </w:rPr>
            </w:pPr>
            <w:r w:rsidRPr="00C478A3">
              <w:rPr>
                <w:rFonts w:cs="Arial"/>
                <w:sz w:val="20"/>
                <w:szCs w:val="20"/>
                <w:lang w:eastAsia="en-GB"/>
              </w:rPr>
              <w:t>Base (Economically Active)</w:t>
            </w:r>
          </w:p>
        </w:tc>
        <w:tc>
          <w:tcPr>
            <w:tcW w:w="1317"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241,600</w:t>
            </w:r>
          </w:p>
        </w:tc>
        <w:tc>
          <w:tcPr>
            <w:tcW w:w="960" w:type="dxa"/>
            <w:tcBorders>
              <w:top w:val="nil"/>
              <w:left w:val="nil"/>
              <w:bottom w:val="single" w:sz="4" w:space="0" w:color="auto"/>
              <w:right w:val="single" w:sz="4" w:space="0" w:color="auto"/>
            </w:tcBorders>
            <w:shd w:val="clear" w:color="auto" w:fill="auto"/>
            <w:noWrap/>
            <w:vAlign w:val="center"/>
            <w:hideMark/>
          </w:tcPr>
          <w:p w:rsidR="00CF2272" w:rsidRDefault="00CF2272" w:rsidP="00CF2272">
            <w:pPr>
              <w:spacing w:before="0" w:after="0"/>
              <w:jc w:val="center"/>
              <w:rPr>
                <w:rFonts w:cs="Arial"/>
                <w:sz w:val="20"/>
                <w:szCs w:val="20"/>
              </w:rPr>
            </w:pPr>
            <w:r>
              <w:rPr>
                <w:rFonts w:cs="Arial"/>
                <w:sz w:val="20"/>
                <w:szCs w:val="20"/>
              </w:rPr>
              <w:t>1,255,100</w:t>
            </w:r>
          </w:p>
        </w:tc>
      </w:tr>
    </w:tbl>
    <w:p w:rsidR="00F704B2" w:rsidRDefault="00F704B2" w:rsidP="00F704B2">
      <w:pPr>
        <w:pStyle w:val="Maintext"/>
        <w:numPr>
          <w:ilvl w:val="0"/>
          <w:numId w:val="0"/>
        </w:numPr>
        <w:ind w:left="1335" w:hanging="709"/>
        <w:rPr>
          <w:sz w:val="20"/>
          <w:szCs w:val="20"/>
        </w:rPr>
      </w:pPr>
      <w:r>
        <w:rPr>
          <w:sz w:val="20"/>
          <w:szCs w:val="20"/>
        </w:rPr>
        <w:t>Sourc</w:t>
      </w:r>
      <w:r w:rsidR="00CF2272">
        <w:rPr>
          <w:sz w:val="20"/>
          <w:szCs w:val="20"/>
        </w:rPr>
        <w:t>e: ONS Annual Population Survey</w:t>
      </w:r>
      <w:r>
        <w:rPr>
          <w:sz w:val="20"/>
          <w:szCs w:val="20"/>
        </w:rPr>
        <w:t xml:space="preserve"> Jan – Dec 201</w:t>
      </w:r>
      <w:r w:rsidR="00CF2272">
        <w:rPr>
          <w:sz w:val="20"/>
          <w:szCs w:val="20"/>
        </w:rPr>
        <w:t>2</w:t>
      </w:r>
    </w:p>
    <w:p w:rsidR="00F704B2" w:rsidRDefault="00F704B2" w:rsidP="00F704B2">
      <w:pPr>
        <w:pStyle w:val="Heading3"/>
        <w:ind w:left="0" w:firstLine="626"/>
      </w:pPr>
      <w:bookmarkStart w:id="232" w:name="_Toc225941568"/>
      <w:r>
        <w:br w:type="page"/>
      </w:r>
      <w:bookmarkStart w:id="233" w:name="_Toc318323441"/>
      <w:r>
        <w:t>Step 1.4</w:t>
      </w:r>
      <w:r>
        <w:tab/>
        <w:t>Income and earnings</w:t>
      </w:r>
      <w:bookmarkEnd w:id="232"/>
      <w:bookmarkEnd w:id="233"/>
    </w:p>
    <w:p w:rsidR="00F704B2" w:rsidRDefault="00F704B2" w:rsidP="00F704B2"/>
    <w:p w:rsidR="00F704B2" w:rsidRDefault="00F704B2" w:rsidP="00F704B2">
      <w:pPr>
        <w:pStyle w:val="Maintext"/>
        <w:numPr>
          <w:ilvl w:val="1"/>
          <w:numId w:val="8"/>
        </w:numPr>
      </w:pPr>
      <w:r>
        <w:t xml:space="preserve">The </w:t>
      </w:r>
      <w:r w:rsidR="0034172B">
        <w:t>2011</w:t>
      </w:r>
      <w:r>
        <w:t xml:space="preserve"> lower quartile and median earnings for County Durham and comparisons with the North East and England are presented in Table B8. This indicates that </w:t>
      </w:r>
      <w:r w:rsidR="00C3052D">
        <w:t xml:space="preserve">median </w:t>
      </w:r>
      <w:r>
        <w:t>earnings are lower than those of the region and England.</w:t>
      </w:r>
      <w:r w:rsidR="00C3052D">
        <w:t xml:space="preserve"> Lower quartile incomes are similar to those of the North East, but lower than those of England.</w:t>
      </w:r>
    </w:p>
    <w:p w:rsidR="00F704B2" w:rsidRDefault="00F704B2" w:rsidP="00F704B2">
      <w:pPr>
        <w:pStyle w:val="Maintext"/>
        <w:numPr>
          <w:ilvl w:val="0"/>
          <w:numId w:val="0"/>
        </w:numPr>
        <w:ind w:left="720"/>
      </w:pPr>
    </w:p>
    <w:p w:rsidR="00F704B2" w:rsidRDefault="00F704B2" w:rsidP="00F704B2">
      <w:pPr>
        <w:pStyle w:val="Maintext"/>
        <w:numPr>
          <w:ilvl w:val="0"/>
          <w:numId w:val="0"/>
        </w:numPr>
        <w:ind w:left="720"/>
      </w:pPr>
      <w:r w:rsidRPr="008C214C">
        <w:rPr>
          <w:b/>
        </w:rPr>
        <w:t>Table B</w:t>
      </w:r>
      <w:r>
        <w:rPr>
          <w:b/>
        </w:rPr>
        <w:t>8</w:t>
      </w:r>
      <w:r>
        <w:tab/>
        <w:t>Lower quartile and median earnings</w:t>
      </w:r>
    </w:p>
    <w:tbl>
      <w:tblPr>
        <w:tblW w:w="4257" w:type="dxa"/>
        <w:tblInd w:w="720" w:type="dxa"/>
        <w:tblLook w:val="04A0" w:firstRow="1" w:lastRow="0" w:firstColumn="1" w:lastColumn="0" w:noHBand="0" w:noVBand="1"/>
      </w:tblPr>
      <w:tblGrid>
        <w:gridCol w:w="1728"/>
        <w:gridCol w:w="1294"/>
        <w:gridCol w:w="1235"/>
      </w:tblGrid>
      <w:tr w:rsidR="00F704B2" w:rsidRPr="00A26C45" w:rsidTr="003C5498">
        <w:trPr>
          <w:trHeight w:val="510"/>
        </w:trPr>
        <w:tc>
          <w:tcPr>
            <w:tcW w:w="1728"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F704B2" w:rsidRPr="00A26C45" w:rsidRDefault="00F704B2" w:rsidP="003C5498">
            <w:pPr>
              <w:spacing w:before="0" w:after="0"/>
              <w:jc w:val="center"/>
              <w:rPr>
                <w:rFonts w:cs="Arial"/>
                <w:b/>
                <w:bCs/>
                <w:color w:val="FFFFFF"/>
                <w:sz w:val="20"/>
                <w:szCs w:val="20"/>
                <w:lang w:eastAsia="en-GB"/>
              </w:rPr>
            </w:pPr>
            <w:r w:rsidRPr="00A26C45">
              <w:rPr>
                <w:rFonts w:cs="Arial"/>
                <w:b/>
                <w:bCs/>
                <w:color w:val="FFFFFF"/>
                <w:sz w:val="20"/>
                <w:szCs w:val="20"/>
                <w:lang w:eastAsia="en-GB"/>
              </w:rPr>
              <w:t>Location</w:t>
            </w:r>
          </w:p>
        </w:tc>
        <w:tc>
          <w:tcPr>
            <w:tcW w:w="1294" w:type="dxa"/>
            <w:tcBorders>
              <w:top w:val="single" w:sz="4" w:space="0" w:color="auto"/>
              <w:left w:val="nil"/>
              <w:bottom w:val="single" w:sz="4" w:space="0" w:color="auto"/>
              <w:right w:val="single" w:sz="4" w:space="0" w:color="auto"/>
            </w:tcBorders>
            <w:shd w:val="clear" w:color="000000" w:fill="008080"/>
            <w:vAlign w:val="bottom"/>
            <w:hideMark/>
          </w:tcPr>
          <w:p w:rsidR="00F704B2" w:rsidRPr="00A26C45" w:rsidRDefault="00F704B2" w:rsidP="003C5498">
            <w:pPr>
              <w:spacing w:before="0" w:after="0"/>
              <w:jc w:val="center"/>
              <w:rPr>
                <w:rFonts w:cs="Arial"/>
                <w:b/>
                <w:bCs/>
                <w:color w:val="FFFFFF"/>
                <w:sz w:val="20"/>
                <w:szCs w:val="20"/>
                <w:lang w:eastAsia="en-GB"/>
              </w:rPr>
            </w:pPr>
            <w:r w:rsidRPr="00A26C45">
              <w:rPr>
                <w:rFonts w:cs="Arial"/>
                <w:b/>
                <w:bCs/>
                <w:color w:val="FFFFFF"/>
                <w:sz w:val="20"/>
                <w:szCs w:val="20"/>
                <w:lang w:eastAsia="en-GB"/>
              </w:rPr>
              <w:t>Lower Quartile (£)</w:t>
            </w:r>
          </w:p>
        </w:tc>
        <w:tc>
          <w:tcPr>
            <w:tcW w:w="1235" w:type="dxa"/>
            <w:tcBorders>
              <w:top w:val="single" w:sz="4" w:space="0" w:color="auto"/>
              <w:left w:val="nil"/>
              <w:bottom w:val="single" w:sz="4" w:space="0" w:color="auto"/>
              <w:right w:val="single" w:sz="4" w:space="0" w:color="auto"/>
            </w:tcBorders>
            <w:shd w:val="clear" w:color="000000" w:fill="008080"/>
            <w:vAlign w:val="bottom"/>
            <w:hideMark/>
          </w:tcPr>
          <w:p w:rsidR="00F704B2" w:rsidRPr="00A26C45" w:rsidRDefault="00F704B2" w:rsidP="003C5498">
            <w:pPr>
              <w:spacing w:before="0" w:after="0"/>
              <w:jc w:val="center"/>
              <w:rPr>
                <w:rFonts w:cs="Arial"/>
                <w:b/>
                <w:bCs/>
                <w:color w:val="FFFFFF"/>
                <w:sz w:val="20"/>
                <w:szCs w:val="20"/>
                <w:lang w:eastAsia="en-GB"/>
              </w:rPr>
            </w:pPr>
            <w:r w:rsidRPr="00A26C45">
              <w:rPr>
                <w:rFonts w:cs="Arial"/>
                <w:b/>
                <w:bCs/>
                <w:color w:val="FFFFFF"/>
                <w:sz w:val="20"/>
                <w:szCs w:val="20"/>
                <w:lang w:eastAsia="en-GB"/>
              </w:rPr>
              <w:t>Median (£)</w:t>
            </w:r>
          </w:p>
        </w:tc>
      </w:tr>
      <w:tr w:rsidR="0034172B" w:rsidRPr="00A26C45" w:rsidTr="003C5498">
        <w:trPr>
          <w:trHeight w:val="255"/>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rsidR="0034172B" w:rsidRPr="00A26C45" w:rsidRDefault="0034172B" w:rsidP="003C5498">
            <w:pPr>
              <w:spacing w:before="0" w:after="0"/>
              <w:rPr>
                <w:rFonts w:cs="Arial"/>
                <w:sz w:val="20"/>
                <w:szCs w:val="20"/>
                <w:lang w:eastAsia="en-GB"/>
              </w:rPr>
            </w:pPr>
            <w:r w:rsidRPr="00A26C45">
              <w:rPr>
                <w:rFonts w:cs="Arial"/>
                <w:sz w:val="20"/>
                <w:szCs w:val="20"/>
                <w:lang w:eastAsia="en-GB"/>
              </w:rPr>
              <w:t>County Durham</w:t>
            </w:r>
          </w:p>
        </w:tc>
        <w:tc>
          <w:tcPr>
            <w:tcW w:w="1294" w:type="dxa"/>
            <w:tcBorders>
              <w:top w:val="nil"/>
              <w:left w:val="nil"/>
              <w:bottom w:val="single" w:sz="4" w:space="0" w:color="auto"/>
              <w:right w:val="single" w:sz="4" w:space="0" w:color="auto"/>
            </w:tcBorders>
            <w:shd w:val="clear" w:color="auto" w:fill="auto"/>
            <w:noWrap/>
            <w:vAlign w:val="bottom"/>
            <w:hideMark/>
          </w:tcPr>
          <w:p w:rsidR="0034172B" w:rsidRDefault="0034172B" w:rsidP="0034172B">
            <w:pPr>
              <w:spacing w:before="0" w:after="0"/>
              <w:jc w:val="center"/>
              <w:rPr>
                <w:rFonts w:cs="Arial"/>
                <w:sz w:val="20"/>
                <w:szCs w:val="20"/>
              </w:rPr>
            </w:pPr>
            <w:r>
              <w:rPr>
                <w:rFonts w:cs="Arial"/>
                <w:sz w:val="20"/>
                <w:szCs w:val="20"/>
              </w:rPr>
              <w:t>£17,716</w:t>
            </w:r>
          </w:p>
        </w:tc>
        <w:tc>
          <w:tcPr>
            <w:tcW w:w="1235" w:type="dxa"/>
            <w:tcBorders>
              <w:top w:val="nil"/>
              <w:left w:val="nil"/>
              <w:bottom w:val="single" w:sz="4" w:space="0" w:color="auto"/>
              <w:right w:val="single" w:sz="4" w:space="0" w:color="auto"/>
            </w:tcBorders>
            <w:shd w:val="clear" w:color="auto" w:fill="auto"/>
            <w:noWrap/>
            <w:vAlign w:val="bottom"/>
            <w:hideMark/>
          </w:tcPr>
          <w:p w:rsidR="0034172B" w:rsidRDefault="0034172B" w:rsidP="0034172B">
            <w:pPr>
              <w:spacing w:before="0" w:after="0"/>
              <w:jc w:val="center"/>
              <w:rPr>
                <w:rFonts w:cs="Arial"/>
                <w:sz w:val="20"/>
                <w:szCs w:val="20"/>
              </w:rPr>
            </w:pPr>
            <w:r>
              <w:rPr>
                <w:rFonts w:cs="Arial"/>
                <w:sz w:val="20"/>
                <w:szCs w:val="20"/>
              </w:rPr>
              <w:t>£23,816</w:t>
            </w:r>
          </w:p>
        </w:tc>
      </w:tr>
      <w:tr w:rsidR="0034172B" w:rsidRPr="00A26C45" w:rsidTr="003C5498">
        <w:trPr>
          <w:trHeight w:val="255"/>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rsidR="0034172B" w:rsidRPr="00A26C45" w:rsidRDefault="0034172B" w:rsidP="003C5498">
            <w:pPr>
              <w:spacing w:before="0" w:after="0"/>
              <w:rPr>
                <w:rFonts w:cs="Arial"/>
                <w:sz w:val="20"/>
                <w:szCs w:val="20"/>
                <w:lang w:eastAsia="en-GB"/>
              </w:rPr>
            </w:pPr>
            <w:r w:rsidRPr="00A26C45">
              <w:rPr>
                <w:rFonts w:cs="Arial"/>
                <w:sz w:val="20"/>
                <w:szCs w:val="20"/>
                <w:lang w:eastAsia="en-GB"/>
              </w:rPr>
              <w:t>North East</w:t>
            </w:r>
          </w:p>
        </w:tc>
        <w:tc>
          <w:tcPr>
            <w:tcW w:w="1294" w:type="dxa"/>
            <w:tcBorders>
              <w:top w:val="nil"/>
              <w:left w:val="nil"/>
              <w:bottom w:val="single" w:sz="4" w:space="0" w:color="auto"/>
              <w:right w:val="single" w:sz="4" w:space="0" w:color="auto"/>
            </w:tcBorders>
            <w:shd w:val="clear" w:color="auto" w:fill="auto"/>
            <w:noWrap/>
            <w:vAlign w:val="bottom"/>
            <w:hideMark/>
          </w:tcPr>
          <w:p w:rsidR="0034172B" w:rsidRDefault="0034172B" w:rsidP="0034172B">
            <w:pPr>
              <w:spacing w:before="0" w:after="0"/>
              <w:jc w:val="center"/>
              <w:rPr>
                <w:rFonts w:cs="Arial"/>
                <w:sz w:val="20"/>
                <w:szCs w:val="20"/>
              </w:rPr>
            </w:pPr>
            <w:r>
              <w:rPr>
                <w:rFonts w:cs="Arial"/>
                <w:sz w:val="20"/>
                <w:szCs w:val="20"/>
              </w:rPr>
              <w:t>£17,696</w:t>
            </w:r>
          </w:p>
        </w:tc>
        <w:tc>
          <w:tcPr>
            <w:tcW w:w="1235" w:type="dxa"/>
            <w:tcBorders>
              <w:top w:val="nil"/>
              <w:left w:val="nil"/>
              <w:bottom w:val="single" w:sz="4" w:space="0" w:color="auto"/>
              <w:right w:val="single" w:sz="4" w:space="0" w:color="auto"/>
            </w:tcBorders>
            <w:shd w:val="clear" w:color="auto" w:fill="auto"/>
            <w:noWrap/>
            <w:vAlign w:val="bottom"/>
            <w:hideMark/>
          </w:tcPr>
          <w:p w:rsidR="0034172B" w:rsidRDefault="0034172B" w:rsidP="0034172B">
            <w:pPr>
              <w:spacing w:before="0" w:after="0"/>
              <w:jc w:val="center"/>
              <w:rPr>
                <w:rFonts w:cs="Arial"/>
                <w:sz w:val="20"/>
                <w:szCs w:val="20"/>
              </w:rPr>
            </w:pPr>
            <w:r>
              <w:rPr>
                <w:rFonts w:cs="Arial"/>
                <w:sz w:val="20"/>
                <w:szCs w:val="20"/>
              </w:rPr>
              <w:t>£24,570</w:t>
            </w:r>
          </w:p>
        </w:tc>
      </w:tr>
      <w:tr w:rsidR="0034172B" w:rsidRPr="00A26C45" w:rsidTr="003C5498">
        <w:trPr>
          <w:trHeight w:val="255"/>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rsidR="0034172B" w:rsidRPr="00A26C45" w:rsidRDefault="0034172B" w:rsidP="003C5498">
            <w:pPr>
              <w:spacing w:before="0" w:after="0"/>
              <w:rPr>
                <w:rFonts w:cs="Arial"/>
                <w:sz w:val="20"/>
                <w:szCs w:val="20"/>
                <w:lang w:eastAsia="en-GB"/>
              </w:rPr>
            </w:pPr>
            <w:r w:rsidRPr="00A26C45">
              <w:rPr>
                <w:rFonts w:cs="Arial"/>
                <w:sz w:val="20"/>
                <w:szCs w:val="20"/>
                <w:lang w:eastAsia="en-GB"/>
              </w:rPr>
              <w:t>England</w:t>
            </w:r>
          </w:p>
        </w:tc>
        <w:tc>
          <w:tcPr>
            <w:tcW w:w="1294" w:type="dxa"/>
            <w:tcBorders>
              <w:top w:val="nil"/>
              <w:left w:val="nil"/>
              <w:bottom w:val="single" w:sz="4" w:space="0" w:color="auto"/>
              <w:right w:val="single" w:sz="4" w:space="0" w:color="auto"/>
            </w:tcBorders>
            <w:shd w:val="clear" w:color="auto" w:fill="auto"/>
            <w:noWrap/>
            <w:vAlign w:val="bottom"/>
            <w:hideMark/>
          </w:tcPr>
          <w:p w:rsidR="0034172B" w:rsidRDefault="0034172B" w:rsidP="0034172B">
            <w:pPr>
              <w:spacing w:before="0" w:after="0"/>
              <w:jc w:val="center"/>
              <w:rPr>
                <w:rFonts w:cs="Arial"/>
                <w:sz w:val="20"/>
                <w:szCs w:val="20"/>
              </w:rPr>
            </w:pPr>
            <w:r>
              <w:rPr>
                <w:rFonts w:cs="Arial"/>
                <w:sz w:val="20"/>
                <w:szCs w:val="20"/>
              </w:rPr>
              <w:t>£18,933</w:t>
            </w:r>
          </w:p>
        </w:tc>
        <w:tc>
          <w:tcPr>
            <w:tcW w:w="1235" w:type="dxa"/>
            <w:tcBorders>
              <w:top w:val="nil"/>
              <w:left w:val="nil"/>
              <w:bottom w:val="single" w:sz="4" w:space="0" w:color="auto"/>
              <w:right w:val="single" w:sz="4" w:space="0" w:color="auto"/>
            </w:tcBorders>
            <w:shd w:val="clear" w:color="auto" w:fill="auto"/>
            <w:noWrap/>
            <w:vAlign w:val="bottom"/>
            <w:hideMark/>
          </w:tcPr>
          <w:p w:rsidR="0034172B" w:rsidRDefault="0034172B" w:rsidP="0034172B">
            <w:pPr>
              <w:spacing w:before="0" w:after="0"/>
              <w:jc w:val="center"/>
              <w:rPr>
                <w:rFonts w:cs="Arial"/>
                <w:sz w:val="20"/>
                <w:szCs w:val="20"/>
              </w:rPr>
            </w:pPr>
            <w:r>
              <w:rPr>
                <w:rFonts w:cs="Arial"/>
                <w:sz w:val="20"/>
                <w:szCs w:val="20"/>
              </w:rPr>
              <w:t>£26,660</w:t>
            </w:r>
          </w:p>
        </w:tc>
      </w:tr>
    </w:tbl>
    <w:p w:rsidR="00F704B2" w:rsidRPr="007D0703" w:rsidRDefault="00F704B2" w:rsidP="00F704B2">
      <w:pPr>
        <w:pStyle w:val="Maintext"/>
        <w:numPr>
          <w:ilvl w:val="0"/>
          <w:numId w:val="0"/>
        </w:numPr>
        <w:ind w:firstLine="709"/>
        <w:rPr>
          <w:rFonts w:cs="Arial"/>
          <w:sz w:val="20"/>
          <w:szCs w:val="20"/>
        </w:rPr>
      </w:pPr>
      <w:r w:rsidRPr="007D0703">
        <w:rPr>
          <w:rFonts w:cs="Arial"/>
          <w:sz w:val="20"/>
          <w:szCs w:val="20"/>
        </w:rPr>
        <w:t>Source: Annual S</w:t>
      </w:r>
      <w:r>
        <w:rPr>
          <w:rFonts w:cs="Arial"/>
          <w:sz w:val="20"/>
          <w:szCs w:val="20"/>
        </w:rPr>
        <w:t>urvey of Hours and Earnings 201</w:t>
      </w:r>
      <w:r w:rsidR="0034172B">
        <w:rPr>
          <w:rFonts w:cs="Arial"/>
          <w:sz w:val="20"/>
          <w:szCs w:val="20"/>
        </w:rPr>
        <w:t>2</w:t>
      </w:r>
    </w:p>
    <w:p w:rsidR="006A62B3" w:rsidRPr="006A62B3" w:rsidRDefault="006A62B3" w:rsidP="006A62B3">
      <w:pPr>
        <w:pStyle w:val="Maintext"/>
        <w:numPr>
          <w:ilvl w:val="0"/>
          <w:numId w:val="0"/>
        </w:numPr>
        <w:ind w:left="709"/>
        <w:rPr>
          <w:rFonts w:cs="Arial"/>
        </w:rPr>
      </w:pPr>
    </w:p>
    <w:p w:rsidR="00F704B2" w:rsidRPr="00E147E0" w:rsidRDefault="00F704B2" w:rsidP="00F704B2">
      <w:pPr>
        <w:pStyle w:val="Maintext"/>
        <w:numPr>
          <w:ilvl w:val="1"/>
          <w:numId w:val="8"/>
        </w:numPr>
        <w:rPr>
          <w:rFonts w:cs="Arial"/>
        </w:rPr>
      </w:pPr>
      <w:r>
        <w:t>The distribution of household income (head of household and partner if applicable) across County Durham is summarised in Table B9 and this is compared with data for the North East and England. This data also includes the incomes of economically inactive households. It indicates that the overall income profile broadly reflects the regional profile, with County Durham having slightly higher proportions of households with incomes of more than £</w:t>
      </w:r>
      <w:r w:rsidR="00186FA7">
        <w:t>1000</w:t>
      </w:r>
      <w:r>
        <w:t xml:space="preserve"> each week (</w:t>
      </w:r>
      <w:r w:rsidR="00186FA7">
        <w:t>8.5</w:t>
      </w:r>
      <w:r>
        <w:t xml:space="preserve">% compared with </w:t>
      </w:r>
      <w:r w:rsidR="00186FA7">
        <w:t>8.0</w:t>
      </w:r>
      <w:r>
        <w:t xml:space="preserve">% regionally although this is below the national proportion of </w:t>
      </w:r>
      <w:r w:rsidR="00186FA7">
        <w:t>16.0</w:t>
      </w:r>
      <w:r>
        <w:t xml:space="preserve">%). </w:t>
      </w:r>
    </w:p>
    <w:p w:rsidR="00F704B2" w:rsidRDefault="00F704B2" w:rsidP="00F704B2">
      <w:pPr>
        <w:pStyle w:val="Maintext"/>
        <w:numPr>
          <w:ilvl w:val="0"/>
          <w:numId w:val="0"/>
        </w:numPr>
      </w:pPr>
    </w:p>
    <w:p w:rsidR="00F704B2" w:rsidRDefault="00F704B2" w:rsidP="00F704B2">
      <w:pPr>
        <w:ind w:firstLine="709"/>
        <w:rPr>
          <w:rFonts w:cs="Arial"/>
          <w:iCs/>
        </w:rPr>
      </w:pPr>
      <w:r>
        <w:rPr>
          <w:rFonts w:cs="Arial"/>
          <w:b/>
          <w:iCs/>
        </w:rPr>
        <w:t>Table B9</w:t>
      </w:r>
      <w:r>
        <w:rPr>
          <w:rFonts w:cs="Arial"/>
          <w:iCs/>
        </w:rPr>
        <w:tab/>
      </w:r>
      <w:r>
        <w:t xml:space="preserve">County Durham household </w:t>
      </w:r>
      <w:r>
        <w:rPr>
          <w:rFonts w:cs="Arial"/>
          <w:iCs/>
        </w:rPr>
        <w:t>income profile</w:t>
      </w:r>
    </w:p>
    <w:tbl>
      <w:tblPr>
        <w:tblW w:w="6226" w:type="dxa"/>
        <w:tblInd w:w="720" w:type="dxa"/>
        <w:tblLook w:val="04A0" w:firstRow="1" w:lastRow="0" w:firstColumn="1" w:lastColumn="0" w:noHBand="0" w:noVBand="1"/>
      </w:tblPr>
      <w:tblGrid>
        <w:gridCol w:w="2806"/>
        <w:gridCol w:w="1100"/>
        <w:gridCol w:w="960"/>
        <w:gridCol w:w="1360"/>
      </w:tblGrid>
      <w:tr w:rsidR="00F704B2" w:rsidRPr="00E147E0" w:rsidTr="003C5498">
        <w:trPr>
          <w:trHeight w:val="540"/>
        </w:trPr>
        <w:tc>
          <w:tcPr>
            <w:tcW w:w="2806"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F704B2" w:rsidRDefault="00F704B2" w:rsidP="003C5498">
            <w:pPr>
              <w:spacing w:before="0" w:after="0"/>
              <w:rPr>
                <w:rFonts w:cs="Arial"/>
                <w:b/>
                <w:bCs/>
                <w:color w:val="FFFFFF"/>
                <w:sz w:val="20"/>
                <w:szCs w:val="20"/>
                <w:lang w:eastAsia="en-GB"/>
              </w:rPr>
            </w:pPr>
            <w:r w:rsidRPr="00E147E0">
              <w:rPr>
                <w:rFonts w:cs="Arial"/>
                <w:b/>
                <w:bCs/>
                <w:color w:val="FFFFFF"/>
                <w:sz w:val="20"/>
                <w:szCs w:val="20"/>
                <w:lang w:eastAsia="en-GB"/>
              </w:rPr>
              <w:t xml:space="preserve">Gross Household Income </w:t>
            </w:r>
          </w:p>
          <w:p w:rsidR="00F704B2" w:rsidRPr="00E147E0" w:rsidRDefault="00F704B2" w:rsidP="003C5498">
            <w:pPr>
              <w:spacing w:before="0" w:after="0"/>
              <w:rPr>
                <w:rFonts w:cs="Arial"/>
                <w:b/>
                <w:bCs/>
                <w:color w:val="FFFFFF"/>
                <w:sz w:val="20"/>
                <w:szCs w:val="20"/>
                <w:lang w:eastAsia="en-GB"/>
              </w:rPr>
            </w:pPr>
            <w:r w:rsidRPr="00E147E0">
              <w:rPr>
                <w:rFonts w:cs="Arial"/>
                <w:b/>
                <w:bCs/>
                <w:color w:val="FFFFFF"/>
                <w:sz w:val="20"/>
                <w:szCs w:val="20"/>
                <w:lang w:eastAsia="en-GB"/>
              </w:rPr>
              <w:t>each week</w:t>
            </w:r>
          </w:p>
        </w:tc>
        <w:tc>
          <w:tcPr>
            <w:tcW w:w="1100" w:type="dxa"/>
            <w:tcBorders>
              <w:top w:val="single" w:sz="4" w:space="0" w:color="auto"/>
              <w:left w:val="nil"/>
              <w:bottom w:val="single" w:sz="4" w:space="0" w:color="auto"/>
              <w:right w:val="single" w:sz="4" w:space="0" w:color="auto"/>
            </w:tcBorders>
            <w:shd w:val="clear" w:color="000000" w:fill="008080"/>
            <w:vAlign w:val="bottom"/>
            <w:hideMark/>
          </w:tcPr>
          <w:p w:rsidR="00F704B2" w:rsidRPr="00E147E0" w:rsidRDefault="00F704B2" w:rsidP="003C5498">
            <w:pPr>
              <w:spacing w:before="0" w:after="0"/>
              <w:jc w:val="center"/>
              <w:rPr>
                <w:rFonts w:cs="Arial"/>
                <w:b/>
                <w:bCs/>
                <w:color w:val="FFFFFF"/>
                <w:sz w:val="20"/>
                <w:szCs w:val="20"/>
                <w:lang w:eastAsia="en-GB"/>
              </w:rPr>
            </w:pPr>
            <w:r w:rsidRPr="00E147E0">
              <w:rPr>
                <w:rFonts w:cs="Arial"/>
                <w:b/>
                <w:bCs/>
                <w:color w:val="FFFFFF"/>
                <w:sz w:val="20"/>
                <w:szCs w:val="20"/>
                <w:lang w:eastAsia="en-GB"/>
              </w:rPr>
              <w:t>County Durham (%)</w:t>
            </w:r>
          </w:p>
        </w:tc>
        <w:tc>
          <w:tcPr>
            <w:tcW w:w="960" w:type="dxa"/>
            <w:tcBorders>
              <w:top w:val="single" w:sz="4" w:space="0" w:color="auto"/>
              <w:left w:val="nil"/>
              <w:bottom w:val="single" w:sz="4" w:space="0" w:color="auto"/>
              <w:right w:val="single" w:sz="4" w:space="0" w:color="auto"/>
            </w:tcBorders>
            <w:shd w:val="clear" w:color="000000" w:fill="008080"/>
            <w:vAlign w:val="bottom"/>
            <w:hideMark/>
          </w:tcPr>
          <w:p w:rsidR="00F704B2" w:rsidRPr="00E147E0" w:rsidRDefault="00F704B2" w:rsidP="003C5498">
            <w:pPr>
              <w:spacing w:before="0" w:after="0"/>
              <w:jc w:val="center"/>
              <w:rPr>
                <w:rFonts w:cs="Arial"/>
                <w:b/>
                <w:bCs/>
                <w:color w:val="FFFFFF"/>
                <w:sz w:val="20"/>
                <w:szCs w:val="20"/>
                <w:lang w:eastAsia="en-GB"/>
              </w:rPr>
            </w:pPr>
            <w:r w:rsidRPr="00E147E0">
              <w:rPr>
                <w:rFonts w:cs="Arial"/>
                <w:b/>
                <w:bCs/>
                <w:color w:val="FFFFFF"/>
                <w:sz w:val="20"/>
                <w:szCs w:val="20"/>
                <w:lang w:eastAsia="en-GB"/>
              </w:rPr>
              <w:t xml:space="preserve">North East  </w:t>
            </w:r>
            <w:r w:rsidR="00C3052D">
              <w:rPr>
                <w:rFonts w:cs="Arial"/>
                <w:b/>
                <w:bCs/>
                <w:color w:val="FFFFFF"/>
                <w:sz w:val="20"/>
                <w:szCs w:val="20"/>
                <w:lang w:eastAsia="en-GB"/>
              </w:rPr>
              <w:t>(</w:t>
            </w:r>
            <w:r w:rsidRPr="00E147E0">
              <w:rPr>
                <w:rFonts w:cs="Arial"/>
                <w:b/>
                <w:bCs/>
                <w:color w:val="FFFFFF"/>
                <w:sz w:val="20"/>
                <w:szCs w:val="20"/>
                <w:lang w:eastAsia="en-GB"/>
              </w:rPr>
              <w:t>%</w:t>
            </w:r>
            <w:r w:rsidR="00C3052D">
              <w:rPr>
                <w:rFonts w:cs="Arial"/>
                <w:b/>
                <w:bCs/>
                <w:color w:val="FFFFFF"/>
                <w:sz w:val="20"/>
                <w:szCs w:val="20"/>
                <w:lang w:eastAsia="en-GB"/>
              </w:rPr>
              <w:t>)</w:t>
            </w:r>
          </w:p>
        </w:tc>
        <w:tc>
          <w:tcPr>
            <w:tcW w:w="1360" w:type="dxa"/>
            <w:tcBorders>
              <w:top w:val="single" w:sz="4" w:space="0" w:color="auto"/>
              <w:left w:val="nil"/>
              <w:bottom w:val="single" w:sz="4" w:space="0" w:color="auto"/>
              <w:right w:val="single" w:sz="4" w:space="0" w:color="auto"/>
            </w:tcBorders>
            <w:shd w:val="clear" w:color="000000" w:fill="008080"/>
            <w:vAlign w:val="bottom"/>
            <w:hideMark/>
          </w:tcPr>
          <w:p w:rsidR="00F704B2" w:rsidRPr="00E147E0" w:rsidRDefault="00F704B2" w:rsidP="003C5498">
            <w:pPr>
              <w:spacing w:before="0" w:after="0"/>
              <w:jc w:val="center"/>
              <w:rPr>
                <w:rFonts w:cs="Arial"/>
                <w:b/>
                <w:bCs/>
                <w:color w:val="FFFFFF"/>
                <w:sz w:val="20"/>
                <w:szCs w:val="20"/>
                <w:lang w:eastAsia="en-GB"/>
              </w:rPr>
            </w:pPr>
            <w:r w:rsidRPr="00E147E0">
              <w:rPr>
                <w:rFonts w:cs="Arial"/>
                <w:b/>
                <w:bCs/>
                <w:color w:val="FFFFFF"/>
                <w:sz w:val="20"/>
                <w:szCs w:val="20"/>
                <w:lang w:eastAsia="en-GB"/>
              </w:rPr>
              <w:t>England (%)</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Under £150</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15.5</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17.0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13.0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£150 to &lt;£250</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20.7</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19.0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14.0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£250 to &lt;£350</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15.5</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13.0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11.0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£350 to &lt;£450</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10.6</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9.0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10.0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£450 to &lt;£600</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13.2</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15.0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13.0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£600 to &lt;£750</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7.9</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10.0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11.0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£750 to &lt;£1000</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8.1</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9.0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12.0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£1000 or over</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8.5</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8.0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16.0</w:t>
            </w:r>
          </w:p>
        </w:tc>
      </w:tr>
      <w:tr w:rsidR="00C3052D" w:rsidRPr="00E147E0" w:rsidTr="003C5498">
        <w:trPr>
          <w:trHeight w:val="25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Total</w:t>
            </w:r>
          </w:p>
        </w:tc>
        <w:tc>
          <w:tcPr>
            <w:tcW w:w="110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100.0</w:t>
            </w:r>
          </w:p>
        </w:tc>
        <w:tc>
          <w:tcPr>
            <w:tcW w:w="9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C3052D" w:rsidRDefault="00C3052D" w:rsidP="00C3052D">
            <w:pPr>
              <w:spacing w:before="0" w:after="0"/>
              <w:jc w:val="center"/>
              <w:rPr>
                <w:rFonts w:cs="Arial"/>
                <w:sz w:val="20"/>
                <w:szCs w:val="20"/>
              </w:rPr>
            </w:pPr>
            <w:r>
              <w:rPr>
                <w:rFonts w:cs="Arial"/>
                <w:sz w:val="20"/>
                <w:szCs w:val="20"/>
              </w:rPr>
              <w:t>100.0</w:t>
            </w:r>
          </w:p>
        </w:tc>
      </w:tr>
      <w:tr w:rsidR="00C3052D" w:rsidRPr="00E147E0" w:rsidTr="003C5498">
        <w:trPr>
          <w:trHeight w:val="510"/>
        </w:trPr>
        <w:tc>
          <w:tcPr>
            <w:tcW w:w="2806" w:type="dxa"/>
            <w:tcBorders>
              <w:top w:val="nil"/>
              <w:left w:val="single" w:sz="4" w:space="0" w:color="auto"/>
              <w:bottom w:val="single" w:sz="4" w:space="0" w:color="auto"/>
              <w:right w:val="single" w:sz="4" w:space="0" w:color="auto"/>
            </w:tcBorders>
            <w:shd w:val="clear" w:color="auto" w:fill="auto"/>
            <w:vAlign w:val="bottom"/>
            <w:hideMark/>
          </w:tcPr>
          <w:p w:rsidR="00C3052D" w:rsidRPr="00E147E0" w:rsidRDefault="00C3052D" w:rsidP="003C5498">
            <w:pPr>
              <w:spacing w:before="0" w:after="0"/>
              <w:rPr>
                <w:rFonts w:cs="Arial"/>
                <w:sz w:val="20"/>
                <w:szCs w:val="20"/>
                <w:lang w:eastAsia="en-GB"/>
              </w:rPr>
            </w:pPr>
            <w:r w:rsidRPr="00E147E0">
              <w:rPr>
                <w:rFonts w:cs="Arial"/>
                <w:sz w:val="20"/>
                <w:szCs w:val="20"/>
                <w:lang w:eastAsia="en-GB"/>
              </w:rPr>
              <w:t>Base (valid responses)</w:t>
            </w:r>
          </w:p>
        </w:tc>
        <w:tc>
          <w:tcPr>
            <w:tcW w:w="1100" w:type="dxa"/>
            <w:tcBorders>
              <w:top w:val="nil"/>
              <w:left w:val="nil"/>
              <w:bottom w:val="single" w:sz="4" w:space="0" w:color="auto"/>
              <w:right w:val="single" w:sz="4" w:space="0" w:color="auto"/>
            </w:tcBorders>
            <w:shd w:val="clear" w:color="auto" w:fill="auto"/>
            <w:vAlign w:val="center"/>
            <w:hideMark/>
          </w:tcPr>
          <w:p w:rsidR="00C3052D" w:rsidRDefault="00C3052D" w:rsidP="00C3052D">
            <w:pPr>
              <w:spacing w:before="0" w:after="0"/>
              <w:jc w:val="center"/>
              <w:rPr>
                <w:rFonts w:cs="Arial"/>
                <w:sz w:val="20"/>
                <w:szCs w:val="20"/>
              </w:rPr>
            </w:pPr>
            <w:r>
              <w:rPr>
                <w:rFonts w:cs="Arial"/>
                <w:sz w:val="20"/>
                <w:szCs w:val="20"/>
              </w:rPr>
              <w:t>190,398</w:t>
            </w:r>
          </w:p>
        </w:tc>
        <w:tc>
          <w:tcPr>
            <w:tcW w:w="960" w:type="dxa"/>
            <w:tcBorders>
              <w:top w:val="nil"/>
              <w:left w:val="nil"/>
              <w:bottom w:val="single" w:sz="4" w:space="0" w:color="auto"/>
              <w:right w:val="single" w:sz="4" w:space="0" w:color="auto"/>
            </w:tcBorders>
            <w:shd w:val="clear" w:color="auto" w:fill="auto"/>
            <w:vAlign w:val="center"/>
            <w:hideMark/>
          </w:tcPr>
          <w:p w:rsidR="00C3052D" w:rsidRDefault="00C3052D" w:rsidP="00C3052D">
            <w:pPr>
              <w:spacing w:before="0" w:after="0"/>
              <w:jc w:val="center"/>
              <w:rPr>
                <w:rFonts w:cs="Arial"/>
                <w:sz w:val="20"/>
                <w:szCs w:val="20"/>
              </w:rPr>
            </w:pPr>
            <w:r>
              <w:rPr>
                <w:rFonts w:cs="Arial"/>
                <w:sz w:val="20"/>
                <w:szCs w:val="20"/>
              </w:rPr>
              <w:t>NA</w:t>
            </w:r>
          </w:p>
        </w:tc>
        <w:tc>
          <w:tcPr>
            <w:tcW w:w="1360" w:type="dxa"/>
            <w:tcBorders>
              <w:top w:val="nil"/>
              <w:left w:val="nil"/>
              <w:bottom w:val="single" w:sz="4" w:space="0" w:color="auto"/>
              <w:right w:val="single" w:sz="4" w:space="0" w:color="auto"/>
            </w:tcBorders>
            <w:shd w:val="clear" w:color="auto" w:fill="auto"/>
            <w:vAlign w:val="center"/>
            <w:hideMark/>
          </w:tcPr>
          <w:p w:rsidR="00C3052D" w:rsidRDefault="00C3052D" w:rsidP="00C3052D">
            <w:pPr>
              <w:spacing w:before="0" w:after="0"/>
              <w:jc w:val="center"/>
              <w:rPr>
                <w:rFonts w:cs="Arial"/>
                <w:sz w:val="20"/>
                <w:szCs w:val="20"/>
              </w:rPr>
            </w:pPr>
            <w:r>
              <w:rPr>
                <w:rFonts w:cs="Arial"/>
                <w:sz w:val="20"/>
                <w:szCs w:val="20"/>
              </w:rPr>
              <w:t>NA</w:t>
            </w:r>
          </w:p>
        </w:tc>
      </w:tr>
    </w:tbl>
    <w:p w:rsidR="00EC06E5" w:rsidRPr="005A3B58" w:rsidRDefault="00F704B2" w:rsidP="00F704B2">
      <w:pPr>
        <w:ind w:left="617"/>
        <w:rPr>
          <w:sz w:val="20"/>
          <w:szCs w:val="20"/>
        </w:rPr>
      </w:pPr>
      <w:r w:rsidRPr="005A3B58">
        <w:rPr>
          <w:sz w:val="20"/>
          <w:szCs w:val="20"/>
        </w:rPr>
        <w:t>Source: 2012 Household Survey</w:t>
      </w:r>
      <w:r w:rsidR="00F363AB" w:rsidRPr="005A3B58">
        <w:rPr>
          <w:sz w:val="20"/>
          <w:szCs w:val="20"/>
        </w:rPr>
        <w:t xml:space="preserve"> rebased to 2011 Census</w:t>
      </w:r>
      <w:r w:rsidR="005A3B58">
        <w:rPr>
          <w:sz w:val="20"/>
          <w:szCs w:val="20"/>
        </w:rPr>
        <w:t>;</w:t>
      </w:r>
      <w:r w:rsidRPr="005A3B58">
        <w:rPr>
          <w:sz w:val="20"/>
          <w:szCs w:val="20"/>
        </w:rPr>
        <w:t xml:space="preserve"> </w:t>
      </w:r>
      <w:r w:rsidR="005A3B58">
        <w:rPr>
          <w:sz w:val="20"/>
          <w:szCs w:val="20"/>
        </w:rPr>
        <w:t>2008 Regional Trends</w:t>
      </w:r>
    </w:p>
    <w:p w:rsidR="00F704B2" w:rsidRDefault="00F704B2" w:rsidP="00F704B2"/>
    <w:p w:rsidR="00F704B2" w:rsidRDefault="00F704B2" w:rsidP="00F704B2">
      <w:pPr>
        <w:pStyle w:val="Maintext"/>
        <w:numPr>
          <w:ilvl w:val="1"/>
          <w:numId w:val="8"/>
        </w:numPr>
      </w:pPr>
      <w:r>
        <w:t>The household survey provides details on household incomes (gross income of head and partner if applicable) and can be used to illustrate how income levels vary by locality, tenure and household type (Tables B10 to B12).</w:t>
      </w:r>
    </w:p>
    <w:p w:rsidR="00F704B2" w:rsidRDefault="00F704B2" w:rsidP="00A969D2">
      <w:pPr>
        <w:rPr>
          <w:b/>
        </w:rPr>
      </w:pPr>
    </w:p>
    <w:p w:rsidR="00F704B2" w:rsidRDefault="00F704B2" w:rsidP="00F704B2">
      <w:pPr>
        <w:ind w:left="1440" w:hanging="1440"/>
      </w:pPr>
      <w:r>
        <w:rPr>
          <w:b/>
        </w:rPr>
        <w:t>Table B10</w:t>
      </w:r>
      <w:r>
        <w:tab/>
        <w:t xml:space="preserve">Lower Quartile, median and upper quartile income by </w:t>
      </w:r>
      <w:r w:rsidR="00B440F0">
        <w:t>delivery area</w:t>
      </w:r>
    </w:p>
    <w:tbl>
      <w:tblPr>
        <w:tblW w:w="7466" w:type="dxa"/>
        <w:tblInd w:w="93" w:type="dxa"/>
        <w:tblLook w:val="04A0" w:firstRow="1" w:lastRow="0" w:firstColumn="1" w:lastColumn="0" w:noHBand="0" w:noVBand="1"/>
      </w:tblPr>
      <w:tblGrid>
        <w:gridCol w:w="1530"/>
        <w:gridCol w:w="972"/>
        <w:gridCol w:w="940"/>
        <w:gridCol w:w="972"/>
        <w:gridCol w:w="972"/>
        <w:gridCol w:w="940"/>
        <w:gridCol w:w="1140"/>
      </w:tblGrid>
      <w:tr w:rsidR="00F704B2" w:rsidRPr="00FE052B" w:rsidTr="00A969D2">
        <w:trPr>
          <w:trHeight w:val="255"/>
        </w:trPr>
        <w:tc>
          <w:tcPr>
            <w:tcW w:w="1530"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F704B2" w:rsidRPr="00FE052B" w:rsidRDefault="00B440F0" w:rsidP="001D4694">
            <w:pPr>
              <w:spacing w:before="0" w:after="0"/>
              <w:rPr>
                <w:rFonts w:cs="Arial"/>
                <w:b/>
                <w:bCs/>
                <w:color w:val="FFFFFF"/>
                <w:sz w:val="20"/>
                <w:szCs w:val="20"/>
                <w:lang w:eastAsia="en-GB"/>
              </w:rPr>
            </w:pPr>
            <w:r>
              <w:rPr>
                <w:rFonts w:cs="Arial"/>
                <w:b/>
                <w:bCs/>
                <w:color w:val="FFFFFF"/>
                <w:sz w:val="20"/>
                <w:szCs w:val="20"/>
                <w:lang w:eastAsia="en-GB"/>
              </w:rPr>
              <w:t>Delivery area</w:t>
            </w:r>
          </w:p>
        </w:tc>
        <w:tc>
          <w:tcPr>
            <w:tcW w:w="2884" w:type="dxa"/>
            <w:gridSpan w:val="3"/>
            <w:tcBorders>
              <w:top w:val="single" w:sz="4" w:space="0" w:color="auto"/>
              <w:left w:val="nil"/>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Weekly Income (£)</w:t>
            </w:r>
          </w:p>
        </w:tc>
        <w:tc>
          <w:tcPr>
            <w:tcW w:w="3052" w:type="dxa"/>
            <w:gridSpan w:val="3"/>
            <w:tcBorders>
              <w:top w:val="single" w:sz="4" w:space="0" w:color="auto"/>
              <w:left w:val="nil"/>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Annual Income (£)</w:t>
            </w:r>
          </w:p>
        </w:tc>
      </w:tr>
      <w:tr w:rsidR="00F704B2" w:rsidRPr="00FE052B" w:rsidTr="00A969D2">
        <w:trPr>
          <w:trHeight w:val="510"/>
        </w:trPr>
        <w:tc>
          <w:tcPr>
            <w:tcW w:w="1530" w:type="dxa"/>
            <w:tcBorders>
              <w:top w:val="nil"/>
              <w:left w:val="single" w:sz="4" w:space="0" w:color="auto"/>
              <w:bottom w:val="single" w:sz="4" w:space="0" w:color="auto"/>
              <w:right w:val="single" w:sz="4" w:space="0" w:color="auto"/>
            </w:tcBorders>
            <w:shd w:val="clear" w:color="000000" w:fill="008080"/>
            <w:vAlign w:val="bottom"/>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 </w:t>
            </w:r>
          </w:p>
        </w:tc>
        <w:tc>
          <w:tcPr>
            <w:tcW w:w="972" w:type="dxa"/>
            <w:tcBorders>
              <w:top w:val="nil"/>
              <w:left w:val="nil"/>
              <w:bottom w:val="single" w:sz="4" w:space="0" w:color="auto"/>
              <w:right w:val="single" w:sz="4" w:space="0" w:color="auto"/>
            </w:tcBorders>
            <w:shd w:val="clear" w:color="000000" w:fill="008080"/>
            <w:vAlign w:val="bottom"/>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Lower Quartile</w:t>
            </w:r>
          </w:p>
        </w:tc>
        <w:tc>
          <w:tcPr>
            <w:tcW w:w="940" w:type="dxa"/>
            <w:tcBorders>
              <w:top w:val="nil"/>
              <w:left w:val="nil"/>
              <w:bottom w:val="single" w:sz="4" w:space="0" w:color="auto"/>
              <w:right w:val="single" w:sz="4" w:space="0" w:color="auto"/>
            </w:tcBorders>
            <w:shd w:val="clear" w:color="000000" w:fill="008080"/>
            <w:vAlign w:val="bottom"/>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Median</w:t>
            </w:r>
          </w:p>
        </w:tc>
        <w:tc>
          <w:tcPr>
            <w:tcW w:w="972" w:type="dxa"/>
            <w:tcBorders>
              <w:top w:val="nil"/>
              <w:left w:val="nil"/>
              <w:bottom w:val="single" w:sz="4" w:space="0" w:color="auto"/>
              <w:right w:val="single" w:sz="4" w:space="0" w:color="auto"/>
            </w:tcBorders>
            <w:shd w:val="clear" w:color="000000" w:fill="008080"/>
            <w:vAlign w:val="bottom"/>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Upper Quartile</w:t>
            </w:r>
          </w:p>
        </w:tc>
        <w:tc>
          <w:tcPr>
            <w:tcW w:w="972" w:type="dxa"/>
            <w:tcBorders>
              <w:top w:val="nil"/>
              <w:left w:val="nil"/>
              <w:bottom w:val="single" w:sz="4" w:space="0" w:color="auto"/>
              <w:right w:val="single" w:sz="4" w:space="0" w:color="auto"/>
            </w:tcBorders>
            <w:shd w:val="clear" w:color="000000" w:fill="008080"/>
            <w:vAlign w:val="bottom"/>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Lower Quartile</w:t>
            </w:r>
          </w:p>
        </w:tc>
        <w:tc>
          <w:tcPr>
            <w:tcW w:w="940" w:type="dxa"/>
            <w:tcBorders>
              <w:top w:val="nil"/>
              <w:left w:val="nil"/>
              <w:bottom w:val="single" w:sz="4" w:space="0" w:color="auto"/>
              <w:right w:val="single" w:sz="4" w:space="0" w:color="auto"/>
            </w:tcBorders>
            <w:shd w:val="clear" w:color="000000" w:fill="008080"/>
            <w:vAlign w:val="bottom"/>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Median</w:t>
            </w:r>
          </w:p>
        </w:tc>
        <w:tc>
          <w:tcPr>
            <w:tcW w:w="1140" w:type="dxa"/>
            <w:tcBorders>
              <w:top w:val="nil"/>
              <w:left w:val="nil"/>
              <w:bottom w:val="single" w:sz="4" w:space="0" w:color="auto"/>
              <w:right w:val="single" w:sz="4" w:space="0" w:color="auto"/>
            </w:tcBorders>
            <w:shd w:val="clear" w:color="000000" w:fill="008080"/>
            <w:vAlign w:val="bottom"/>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Upper Quartile</w:t>
            </w:r>
          </w:p>
        </w:tc>
      </w:tr>
      <w:tr w:rsidR="00A969D2" w:rsidRPr="00FE052B" w:rsidTr="00A969D2">
        <w:trPr>
          <w:trHeight w:val="25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969D2" w:rsidRDefault="00A969D2" w:rsidP="00A969D2">
            <w:pPr>
              <w:spacing w:before="0" w:after="0"/>
              <w:rPr>
                <w:rFonts w:cs="Arial"/>
                <w:sz w:val="20"/>
                <w:szCs w:val="20"/>
              </w:rPr>
            </w:pPr>
            <w:r>
              <w:rPr>
                <w:rFonts w:cs="Arial"/>
                <w:sz w:val="20"/>
                <w:szCs w:val="20"/>
              </w:rPr>
              <w:t>North Durham</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£16,900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£29,900</w:t>
            </w:r>
          </w:p>
        </w:tc>
      </w:tr>
      <w:tr w:rsidR="00A969D2" w:rsidRPr="00FE052B" w:rsidTr="00A969D2">
        <w:trPr>
          <w:trHeight w:val="25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969D2" w:rsidRDefault="00A969D2" w:rsidP="00A969D2">
            <w:pPr>
              <w:spacing w:before="0" w:after="0"/>
              <w:rPr>
                <w:rFonts w:cs="Arial"/>
                <w:sz w:val="20"/>
                <w:szCs w:val="20"/>
              </w:rPr>
            </w:pPr>
            <w:r>
              <w:rPr>
                <w:rFonts w:cs="Arial"/>
                <w:sz w:val="20"/>
                <w:szCs w:val="20"/>
              </w:rPr>
              <w:t>Central Durham</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£22,100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£35,100</w:t>
            </w:r>
          </w:p>
        </w:tc>
      </w:tr>
      <w:tr w:rsidR="00A969D2" w:rsidRPr="00FE052B" w:rsidTr="00A969D2">
        <w:trPr>
          <w:trHeight w:val="25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969D2" w:rsidRDefault="00A969D2" w:rsidP="00A969D2">
            <w:pPr>
              <w:spacing w:before="0" w:after="0"/>
              <w:rPr>
                <w:rFonts w:cs="Arial"/>
                <w:sz w:val="20"/>
                <w:szCs w:val="20"/>
              </w:rPr>
            </w:pPr>
            <w:r>
              <w:rPr>
                <w:rFonts w:cs="Arial"/>
                <w:sz w:val="20"/>
                <w:szCs w:val="20"/>
              </w:rPr>
              <w:t>East Durham</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£27,300</w:t>
            </w:r>
          </w:p>
        </w:tc>
      </w:tr>
      <w:tr w:rsidR="00A969D2" w:rsidRPr="00FE052B" w:rsidTr="00A969D2">
        <w:trPr>
          <w:trHeight w:val="25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969D2" w:rsidRDefault="00A969D2" w:rsidP="00A969D2">
            <w:pPr>
              <w:spacing w:before="0" w:after="0"/>
              <w:rPr>
                <w:rFonts w:cs="Arial"/>
                <w:sz w:val="20"/>
                <w:szCs w:val="20"/>
              </w:rPr>
            </w:pPr>
            <w:r>
              <w:rPr>
                <w:rFonts w:cs="Arial"/>
                <w:sz w:val="20"/>
                <w:szCs w:val="20"/>
              </w:rPr>
              <w:t>The Dales</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£22,100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£35,100</w:t>
            </w:r>
          </w:p>
        </w:tc>
      </w:tr>
      <w:tr w:rsidR="00A969D2" w:rsidRPr="00FE052B" w:rsidTr="00A969D2">
        <w:trPr>
          <w:trHeight w:val="25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969D2" w:rsidRDefault="00A969D2" w:rsidP="00A969D2">
            <w:pPr>
              <w:spacing w:before="0" w:after="0"/>
              <w:rPr>
                <w:rFonts w:cs="Arial"/>
                <w:sz w:val="20"/>
                <w:szCs w:val="20"/>
              </w:rPr>
            </w:pPr>
            <w:r>
              <w:rPr>
                <w:rFonts w:cs="Arial"/>
                <w:sz w:val="20"/>
                <w:szCs w:val="20"/>
              </w:rPr>
              <w:t>South Durham</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£16,900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£29,900</w:t>
            </w:r>
          </w:p>
        </w:tc>
      </w:tr>
      <w:tr w:rsidR="00A969D2" w:rsidRPr="00FE052B" w:rsidTr="00A969D2">
        <w:trPr>
          <w:trHeight w:val="255"/>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969D2" w:rsidRDefault="00A969D2" w:rsidP="00A969D2">
            <w:pPr>
              <w:spacing w:before="0" w:after="0"/>
              <w:rPr>
                <w:rFonts w:cs="Arial"/>
                <w:b/>
                <w:bCs/>
                <w:sz w:val="20"/>
                <w:szCs w:val="20"/>
              </w:rPr>
            </w:pPr>
            <w:r>
              <w:rPr>
                <w:rFonts w:cs="Arial"/>
                <w:b/>
                <w:bCs/>
                <w:sz w:val="20"/>
                <w:szCs w:val="20"/>
              </w:rPr>
              <w:t>County Durham</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£325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£575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£9,100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£16,900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£29,900</w:t>
            </w:r>
          </w:p>
        </w:tc>
      </w:tr>
    </w:tbl>
    <w:p w:rsidR="00A969D2" w:rsidRDefault="00A969D2" w:rsidP="00A969D2">
      <w:pPr>
        <w:rPr>
          <w:b/>
        </w:rPr>
      </w:pPr>
    </w:p>
    <w:p w:rsidR="00F704B2" w:rsidRDefault="00F704B2" w:rsidP="00F704B2">
      <w:r>
        <w:rPr>
          <w:b/>
        </w:rPr>
        <w:t>Table B11</w:t>
      </w:r>
      <w:r>
        <w:tab/>
        <w:t>Lower Quartile, median and upper quartile income by household type</w:t>
      </w:r>
    </w:p>
    <w:tbl>
      <w:tblPr>
        <w:tblW w:w="9588" w:type="dxa"/>
        <w:tblInd w:w="93" w:type="dxa"/>
        <w:tblLook w:val="04A0" w:firstRow="1" w:lastRow="0" w:firstColumn="1" w:lastColumn="0" w:noHBand="0" w:noVBand="1"/>
      </w:tblPr>
      <w:tblGrid>
        <w:gridCol w:w="3620"/>
        <w:gridCol w:w="972"/>
        <w:gridCol w:w="940"/>
        <w:gridCol w:w="972"/>
        <w:gridCol w:w="972"/>
        <w:gridCol w:w="1140"/>
        <w:gridCol w:w="972"/>
      </w:tblGrid>
      <w:tr w:rsidR="00F704B2" w:rsidRPr="00FE052B" w:rsidTr="00A969D2">
        <w:trPr>
          <w:trHeight w:val="255"/>
        </w:trPr>
        <w:tc>
          <w:tcPr>
            <w:tcW w:w="3620" w:type="dxa"/>
            <w:vMerge w:val="restart"/>
            <w:tcBorders>
              <w:top w:val="single" w:sz="4" w:space="0" w:color="auto"/>
              <w:left w:val="single" w:sz="4" w:space="0" w:color="auto"/>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Household Type</w:t>
            </w:r>
          </w:p>
        </w:tc>
        <w:tc>
          <w:tcPr>
            <w:tcW w:w="2884" w:type="dxa"/>
            <w:gridSpan w:val="3"/>
            <w:tcBorders>
              <w:top w:val="single" w:sz="4" w:space="0" w:color="auto"/>
              <w:left w:val="nil"/>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Weekly Income (£)</w:t>
            </w:r>
          </w:p>
        </w:tc>
        <w:tc>
          <w:tcPr>
            <w:tcW w:w="3084" w:type="dxa"/>
            <w:gridSpan w:val="3"/>
            <w:tcBorders>
              <w:top w:val="single" w:sz="4" w:space="0" w:color="auto"/>
              <w:left w:val="nil"/>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Annual Income (£)</w:t>
            </w:r>
          </w:p>
        </w:tc>
      </w:tr>
      <w:tr w:rsidR="00F704B2" w:rsidRPr="00FE052B" w:rsidTr="00A969D2">
        <w:trPr>
          <w:trHeight w:val="510"/>
        </w:trPr>
        <w:tc>
          <w:tcPr>
            <w:tcW w:w="3620" w:type="dxa"/>
            <w:vMerge/>
            <w:tcBorders>
              <w:top w:val="single" w:sz="4" w:space="0" w:color="auto"/>
              <w:left w:val="single" w:sz="4" w:space="0" w:color="auto"/>
              <w:bottom w:val="single" w:sz="4" w:space="0" w:color="auto"/>
              <w:right w:val="single" w:sz="4" w:space="0" w:color="auto"/>
            </w:tcBorders>
            <w:vAlign w:val="center"/>
            <w:hideMark/>
          </w:tcPr>
          <w:p w:rsidR="00F704B2" w:rsidRPr="00FE052B" w:rsidRDefault="00F704B2" w:rsidP="003C5498">
            <w:pPr>
              <w:spacing w:before="0" w:after="0"/>
              <w:rPr>
                <w:rFonts w:cs="Arial"/>
                <w:b/>
                <w:bCs/>
                <w:color w:val="FFFFFF"/>
                <w:sz w:val="20"/>
                <w:szCs w:val="20"/>
                <w:lang w:eastAsia="en-GB"/>
              </w:rPr>
            </w:pP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Lower Quartile</w:t>
            </w:r>
          </w:p>
        </w:tc>
        <w:tc>
          <w:tcPr>
            <w:tcW w:w="940"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Median</w:t>
            </w: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Upper Quartile</w:t>
            </w: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Lower Quartile</w:t>
            </w:r>
          </w:p>
        </w:tc>
        <w:tc>
          <w:tcPr>
            <w:tcW w:w="1140"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Median</w:t>
            </w: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Upper Quartile</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Single adult (under 60)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£6,500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£27,300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Single adult (60 or over)</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£6,500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Couple only (both under 60)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£825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£16,900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£29,900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£42,900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Couple only (one or both over 60)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£16,900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£27,300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Couple 1/2 child(ren) under 18</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£19,500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£32,500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£50,700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Couple 3+ children under 18</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£575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£825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£29,900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£42,900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Lone parent with 1/2 child(ren) under 18</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£6,500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£19,500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Lone parent with 3+ children under 18</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Student household</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£4,680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£6,500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Friends sharing</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£90</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£4,680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Other type of household</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£24,700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Couple with adult child(ren)</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£825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£24,700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£42,900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Lone parent with adult child(ren)</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£6,500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£19,500</w:t>
            </w:r>
          </w:p>
        </w:tc>
      </w:tr>
      <w:tr w:rsidR="00A969D2" w:rsidRPr="00FE052B" w:rsidTr="00A969D2">
        <w:trPr>
          <w:trHeight w:val="255"/>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All households</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£325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£575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£9,100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£16,900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£29,900</w:t>
            </w:r>
          </w:p>
        </w:tc>
      </w:tr>
    </w:tbl>
    <w:p w:rsidR="00F704B2" w:rsidRDefault="00F704B2" w:rsidP="00F704B2"/>
    <w:p w:rsidR="00F704B2" w:rsidRDefault="00F704B2" w:rsidP="00F704B2">
      <w:r>
        <w:rPr>
          <w:b/>
        </w:rPr>
        <w:t>Table B12</w:t>
      </w:r>
      <w:r>
        <w:tab/>
        <w:t>Lower Quartile, median and upper quartile income by tenure</w:t>
      </w:r>
    </w:p>
    <w:tbl>
      <w:tblPr>
        <w:tblW w:w="7997" w:type="dxa"/>
        <w:tblInd w:w="93" w:type="dxa"/>
        <w:tblLook w:val="04A0" w:firstRow="1" w:lastRow="0" w:firstColumn="1" w:lastColumn="0" w:noHBand="0" w:noVBand="1"/>
      </w:tblPr>
      <w:tblGrid>
        <w:gridCol w:w="2029"/>
        <w:gridCol w:w="972"/>
        <w:gridCol w:w="940"/>
        <w:gridCol w:w="972"/>
        <w:gridCol w:w="972"/>
        <w:gridCol w:w="1140"/>
        <w:gridCol w:w="972"/>
      </w:tblGrid>
      <w:tr w:rsidR="00F704B2" w:rsidRPr="00FE052B" w:rsidTr="00A969D2">
        <w:trPr>
          <w:trHeight w:val="255"/>
        </w:trPr>
        <w:tc>
          <w:tcPr>
            <w:tcW w:w="2029" w:type="dxa"/>
            <w:vMerge w:val="restart"/>
            <w:tcBorders>
              <w:top w:val="single" w:sz="4" w:space="0" w:color="auto"/>
              <w:left w:val="single" w:sz="4" w:space="0" w:color="auto"/>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Tenure</w:t>
            </w:r>
          </w:p>
        </w:tc>
        <w:tc>
          <w:tcPr>
            <w:tcW w:w="2884" w:type="dxa"/>
            <w:gridSpan w:val="3"/>
            <w:tcBorders>
              <w:top w:val="single" w:sz="4" w:space="0" w:color="auto"/>
              <w:left w:val="nil"/>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Weekly Income (£)</w:t>
            </w:r>
          </w:p>
        </w:tc>
        <w:tc>
          <w:tcPr>
            <w:tcW w:w="3084" w:type="dxa"/>
            <w:gridSpan w:val="3"/>
            <w:tcBorders>
              <w:top w:val="single" w:sz="4" w:space="0" w:color="auto"/>
              <w:left w:val="nil"/>
              <w:bottom w:val="single" w:sz="4" w:space="0" w:color="auto"/>
              <w:right w:val="single" w:sz="4" w:space="0" w:color="auto"/>
            </w:tcBorders>
            <w:shd w:val="clear" w:color="000000" w:fill="008080"/>
            <w:noWrap/>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Annual Income (£)</w:t>
            </w:r>
          </w:p>
        </w:tc>
      </w:tr>
      <w:tr w:rsidR="00F704B2" w:rsidRPr="00FE052B" w:rsidTr="00A969D2">
        <w:trPr>
          <w:trHeight w:val="510"/>
        </w:trPr>
        <w:tc>
          <w:tcPr>
            <w:tcW w:w="2029" w:type="dxa"/>
            <w:vMerge/>
            <w:tcBorders>
              <w:top w:val="single" w:sz="4" w:space="0" w:color="auto"/>
              <w:left w:val="single" w:sz="4" w:space="0" w:color="auto"/>
              <w:bottom w:val="single" w:sz="4" w:space="0" w:color="auto"/>
              <w:right w:val="single" w:sz="4" w:space="0" w:color="auto"/>
            </w:tcBorders>
            <w:vAlign w:val="center"/>
            <w:hideMark/>
          </w:tcPr>
          <w:p w:rsidR="00F704B2" w:rsidRPr="00FE052B" w:rsidRDefault="00F704B2" w:rsidP="003C5498">
            <w:pPr>
              <w:spacing w:before="0" w:after="0"/>
              <w:rPr>
                <w:rFonts w:cs="Arial"/>
                <w:b/>
                <w:bCs/>
                <w:color w:val="FFFFFF"/>
                <w:sz w:val="20"/>
                <w:szCs w:val="20"/>
                <w:lang w:eastAsia="en-GB"/>
              </w:rPr>
            </w:pP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Lower Quartile</w:t>
            </w:r>
          </w:p>
        </w:tc>
        <w:tc>
          <w:tcPr>
            <w:tcW w:w="940"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Median</w:t>
            </w: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Upper Quartile</w:t>
            </w: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Lower Quartile</w:t>
            </w:r>
          </w:p>
        </w:tc>
        <w:tc>
          <w:tcPr>
            <w:tcW w:w="1140"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Median</w:t>
            </w:r>
          </w:p>
        </w:tc>
        <w:tc>
          <w:tcPr>
            <w:tcW w:w="972" w:type="dxa"/>
            <w:tcBorders>
              <w:top w:val="nil"/>
              <w:left w:val="nil"/>
              <w:bottom w:val="single" w:sz="4" w:space="0" w:color="auto"/>
              <w:right w:val="single" w:sz="4" w:space="0" w:color="auto"/>
            </w:tcBorders>
            <w:shd w:val="clear" w:color="000000" w:fill="008080"/>
            <w:vAlign w:val="center"/>
            <w:hideMark/>
          </w:tcPr>
          <w:p w:rsidR="00F704B2" w:rsidRPr="00FE052B" w:rsidRDefault="00F704B2" w:rsidP="003C5498">
            <w:pPr>
              <w:spacing w:before="0" w:after="0"/>
              <w:jc w:val="center"/>
              <w:rPr>
                <w:rFonts w:cs="Arial"/>
                <w:b/>
                <w:bCs/>
                <w:color w:val="FFFFFF"/>
                <w:sz w:val="20"/>
                <w:szCs w:val="20"/>
                <w:lang w:eastAsia="en-GB"/>
              </w:rPr>
            </w:pPr>
            <w:r w:rsidRPr="00FE052B">
              <w:rPr>
                <w:rFonts w:cs="Arial"/>
                <w:b/>
                <w:bCs/>
                <w:color w:val="FFFFFF"/>
                <w:sz w:val="20"/>
                <w:szCs w:val="20"/>
                <w:lang w:eastAsia="en-GB"/>
              </w:rPr>
              <w:t>Upper Quartile</w:t>
            </w:r>
          </w:p>
        </w:tc>
      </w:tr>
      <w:tr w:rsidR="00A969D2" w:rsidRPr="00FE052B" w:rsidTr="00A969D2">
        <w:trPr>
          <w:trHeight w:val="255"/>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Owner Occupied</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£725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£24,700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£37,700</w:t>
            </w:r>
          </w:p>
        </w:tc>
      </w:tr>
      <w:tr w:rsidR="00A969D2" w:rsidRPr="00FE052B" w:rsidTr="00A969D2">
        <w:trPr>
          <w:trHeight w:val="255"/>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Private Rented</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£425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£14,300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£22,100</w:t>
            </w:r>
          </w:p>
        </w:tc>
      </w:tr>
      <w:tr w:rsidR="00A969D2" w:rsidRPr="00FE052B" w:rsidTr="00A969D2">
        <w:trPr>
          <w:trHeight w:val="510"/>
        </w:trPr>
        <w:tc>
          <w:tcPr>
            <w:tcW w:w="2029" w:type="dxa"/>
            <w:tcBorders>
              <w:top w:val="nil"/>
              <w:left w:val="single" w:sz="4" w:space="0" w:color="auto"/>
              <w:bottom w:val="single" w:sz="4" w:space="0" w:color="auto"/>
              <w:right w:val="single" w:sz="4" w:space="0" w:color="auto"/>
            </w:tcBorders>
            <w:shd w:val="clear" w:color="auto" w:fill="auto"/>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Social/Affordable Rented/Intermediate</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£125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£225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£6,500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£9,100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sz w:val="20"/>
                <w:szCs w:val="20"/>
              </w:rPr>
            </w:pPr>
            <w:r>
              <w:rPr>
                <w:rFonts w:cs="Arial"/>
                <w:sz w:val="20"/>
                <w:szCs w:val="20"/>
              </w:rPr>
              <w:t>£11,700</w:t>
            </w:r>
          </w:p>
        </w:tc>
      </w:tr>
      <w:tr w:rsidR="00A969D2" w:rsidRPr="00FE052B" w:rsidTr="00A969D2">
        <w:trPr>
          <w:trHeight w:val="255"/>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A969D2" w:rsidRPr="00FE052B" w:rsidRDefault="00A969D2" w:rsidP="003C5498">
            <w:pPr>
              <w:spacing w:before="0" w:after="0"/>
              <w:rPr>
                <w:rFonts w:cs="Arial"/>
                <w:sz w:val="20"/>
                <w:szCs w:val="20"/>
                <w:lang w:eastAsia="en-GB"/>
              </w:rPr>
            </w:pPr>
            <w:r w:rsidRPr="00FE052B">
              <w:rPr>
                <w:rFonts w:cs="Arial"/>
                <w:sz w:val="20"/>
                <w:szCs w:val="20"/>
                <w:lang w:eastAsia="en-GB"/>
              </w:rPr>
              <w:t>All tenures</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£175</w:t>
            </w:r>
          </w:p>
        </w:tc>
        <w:tc>
          <w:tcPr>
            <w:tcW w:w="9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£325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£575</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£9,100</w:t>
            </w:r>
          </w:p>
        </w:tc>
        <w:tc>
          <w:tcPr>
            <w:tcW w:w="1140"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£16,900</w:t>
            </w:r>
          </w:p>
        </w:tc>
        <w:tc>
          <w:tcPr>
            <w:tcW w:w="972" w:type="dxa"/>
            <w:tcBorders>
              <w:top w:val="nil"/>
              <w:left w:val="nil"/>
              <w:bottom w:val="single" w:sz="4" w:space="0" w:color="auto"/>
              <w:right w:val="single" w:sz="4" w:space="0" w:color="auto"/>
            </w:tcBorders>
            <w:shd w:val="clear" w:color="auto" w:fill="auto"/>
            <w:noWrap/>
            <w:vAlign w:val="bottom"/>
            <w:hideMark/>
          </w:tcPr>
          <w:p w:rsidR="00A969D2" w:rsidRDefault="00A969D2" w:rsidP="00A969D2">
            <w:pPr>
              <w:spacing w:before="0" w:after="0"/>
              <w:jc w:val="center"/>
              <w:rPr>
                <w:rFonts w:cs="Arial"/>
                <w:b/>
                <w:bCs/>
                <w:sz w:val="20"/>
                <w:szCs w:val="20"/>
              </w:rPr>
            </w:pPr>
            <w:r>
              <w:rPr>
                <w:rFonts w:cs="Arial"/>
                <w:b/>
                <w:bCs/>
                <w:sz w:val="20"/>
                <w:szCs w:val="20"/>
              </w:rPr>
              <w:t>£29,900</w:t>
            </w:r>
          </w:p>
        </w:tc>
      </w:tr>
    </w:tbl>
    <w:p w:rsidR="00F704B2" w:rsidRPr="00206FE7" w:rsidRDefault="00F704B2" w:rsidP="00F704B2">
      <w:pPr>
        <w:rPr>
          <w:sz w:val="18"/>
          <w:szCs w:val="18"/>
        </w:rPr>
      </w:pPr>
      <w:r w:rsidRPr="00206FE7">
        <w:rPr>
          <w:sz w:val="18"/>
          <w:szCs w:val="18"/>
        </w:rPr>
        <w:t>Notes on statistics:</w:t>
      </w:r>
    </w:p>
    <w:p w:rsidR="00F704B2" w:rsidRPr="00206FE7" w:rsidRDefault="00F704B2" w:rsidP="00F704B2">
      <w:pPr>
        <w:rPr>
          <w:sz w:val="18"/>
          <w:szCs w:val="18"/>
        </w:rPr>
      </w:pPr>
      <w:r w:rsidRPr="00206FE7">
        <w:rPr>
          <w:sz w:val="18"/>
          <w:szCs w:val="18"/>
        </w:rPr>
        <w:t xml:space="preserve">Lower Quartile = 25% percentile i.e. 25% of incomes are below this figure and 75% are above </w:t>
      </w:r>
    </w:p>
    <w:p w:rsidR="00F704B2" w:rsidRPr="00206FE7" w:rsidRDefault="00F704B2" w:rsidP="00F704B2">
      <w:pPr>
        <w:rPr>
          <w:sz w:val="18"/>
          <w:szCs w:val="18"/>
        </w:rPr>
      </w:pPr>
      <w:r w:rsidRPr="00206FE7">
        <w:rPr>
          <w:sz w:val="18"/>
          <w:szCs w:val="18"/>
        </w:rPr>
        <w:t>Median = Mid-point of income distribution i.e. 50% incomes are above this figure and 50% are below</w:t>
      </w:r>
    </w:p>
    <w:p w:rsidR="00F704B2" w:rsidRDefault="00AE4DA1" w:rsidP="00F704B2">
      <w:pPr>
        <w:pStyle w:val="Maintext"/>
        <w:numPr>
          <w:ilvl w:val="0"/>
          <w:numId w:val="0"/>
        </w:numPr>
      </w:pPr>
      <w:r>
        <w:rPr>
          <w:rFonts w:cs="Arial"/>
          <w:color w:val="000000"/>
          <w:sz w:val="20"/>
          <w:szCs w:val="20"/>
          <w:lang w:eastAsia="en-GB"/>
        </w:rPr>
        <w:t>Source: 2012 Household Survey</w:t>
      </w:r>
      <w:r w:rsidR="00A969D2">
        <w:rPr>
          <w:rFonts w:cs="Arial"/>
          <w:color w:val="000000"/>
          <w:sz w:val="20"/>
          <w:szCs w:val="20"/>
          <w:lang w:eastAsia="en-GB"/>
        </w:rPr>
        <w:t xml:space="preserve"> </w:t>
      </w:r>
      <w:r w:rsidR="00A969D2" w:rsidRPr="00F363AB">
        <w:rPr>
          <w:rFonts w:cs="Arial"/>
          <w:color w:val="000000"/>
          <w:sz w:val="20"/>
          <w:szCs w:val="20"/>
          <w:lang w:eastAsia="en-GB"/>
        </w:rPr>
        <w:t xml:space="preserve">rebased to the 2011 </w:t>
      </w:r>
      <w:r w:rsidR="00F363AB" w:rsidRPr="00F363AB">
        <w:rPr>
          <w:rFonts w:cs="Arial"/>
          <w:color w:val="000000"/>
          <w:sz w:val="20"/>
          <w:szCs w:val="20"/>
          <w:lang w:eastAsia="en-GB"/>
        </w:rPr>
        <w:t>Cen</w:t>
      </w:r>
      <w:r w:rsidR="00F363AB">
        <w:rPr>
          <w:rFonts w:cs="Arial"/>
          <w:color w:val="000000"/>
          <w:sz w:val="20"/>
          <w:szCs w:val="20"/>
          <w:lang w:eastAsia="en-GB"/>
        </w:rPr>
        <w:t>sus</w:t>
      </w:r>
    </w:p>
    <w:p w:rsidR="00F704B2" w:rsidRDefault="00F704B2" w:rsidP="00F704B2">
      <w:pPr>
        <w:pStyle w:val="Maintext"/>
        <w:numPr>
          <w:ilvl w:val="0"/>
          <w:numId w:val="0"/>
        </w:numPr>
        <w:ind w:left="709"/>
      </w:pPr>
    </w:p>
    <w:p w:rsidR="00F704B2" w:rsidRDefault="00F704B2" w:rsidP="00F704B2">
      <w:pPr>
        <w:pStyle w:val="Maintext"/>
        <w:numPr>
          <w:ilvl w:val="1"/>
          <w:numId w:val="8"/>
        </w:numPr>
      </w:pPr>
      <w:r>
        <w:t xml:space="preserve">Within County Durham, tables B10 to B12 demonstrate there are considerable variations in income levels by area, household type and tenure. Median income levels are highest in Central Durham </w:t>
      </w:r>
      <w:r w:rsidR="00A969D2">
        <w:t xml:space="preserve">and The Dales </w:t>
      </w:r>
      <w:r>
        <w:t xml:space="preserve">and lowest in East Durham. Single parents and single adult households aged over 60 are those most likely to have a lower median income (though students have the lowest). High median incomes are more likely amongst owner occupiers. </w:t>
      </w:r>
    </w:p>
    <w:p w:rsidR="00F704B2" w:rsidRDefault="00F704B2" w:rsidP="00F704B2">
      <w:pPr>
        <w:ind w:left="709"/>
        <w:rPr>
          <w:rFonts w:cs="Arial"/>
          <w:iCs/>
        </w:rPr>
      </w:pPr>
    </w:p>
    <w:p w:rsidR="00F704B2" w:rsidRDefault="00F704B2" w:rsidP="00F704B2">
      <w:pPr>
        <w:pStyle w:val="Maintext"/>
        <w:numPr>
          <w:ilvl w:val="0"/>
          <w:numId w:val="0"/>
        </w:numPr>
        <w:rPr>
          <w:rFonts w:cs="Arial"/>
        </w:rPr>
      </w:pPr>
      <w:bookmarkStart w:id="234" w:name="_Toc170878498"/>
    </w:p>
    <w:p w:rsidR="00F704B2" w:rsidRDefault="00F704B2" w:rsidP="00F704B2">
      <w:pPr>
        <w:pStyle w:val="Heading2"/>
        <w:ind w:left="0"/>
      </w:pPr>
      <w:bookmarkStart w:id="235" w:name="_Toc184123862"/>
      <w:bookmarkStart w:id="236" w:name="_Toc184198281"/>
      <w:bookmarkStart w:id="237" w:name="_Toc184200212"/>
      <w:bookmarkStart w:id="238" w:name="_Toc225941569"/>
      <w:bookmarkStart w:id="239" w:name="_Toc273698048"/>
      <w:bookmarkStart w:id="240" w:name="_Toc273708381"/>
      <w:r>
        <w:tab/>
      </w:r>
      <w:bookmarkStart w:id="241" w:name="_Toc280272451"/>
      <w:bookmarkStart w:id="242" w:name="_Toc318323442"/>
      <w:bookmarkStart w:id="243" w:name="_Toc320271451"/>
      <w:bookmarkStart w:id="244" w:name="_Toc322443361"/>
      <w:bookmarkStart w:id="245" w:name="_Toc333507787"/>
      <w:r>
        <w:t>Stage 2: The housing stock</w:t>
      </w:r>
      <w:bookmarkEnd w:id="234"/>
      <w:bookmarkEnd w:id="235"/>
      <w:bookmarkEnd w:id="236"/>
      <w:bookmarkEnd w:id="237"/>
      <w:bookmarkEnd w:id="238"/>
      <w:bookmarkEnd w:id="239"/>
      <w:bookmarkEnd w:id="240"/>
      <w:bookmarkEnd w:id="241"/>
      <w:bookmarkEnd w:id="242"/>
      <w:bookmarkEnd w:id="243"/>
      <w:bookmarkEnd w:id="244"/>
      <w:bookmarkEnd w:id="245"/>
    </w:p>
    <w:p w:rsidR="00F704B2" w:rsidRDefault="00F704B2" w:rsidP="00F704B2"/>
    <w:p w:rsidR="00F704B2" w:rsidRDefault="00F704B2" w:rsidP="00F704B2">
      <w:pPr>
        <w:pStyle w:val="Heading3"/>
      </w:pPr>
      <w:bookmarkStart w:id="246" w:name="_Toc225941570"/>
      <w:bookmarkStart w:id="247" w:name="_Toc318323443"/>
      <w:r>
        <w:t>Step 2.1</w:t>
      </w:r>
      <w:r>
        <w:tab/>
        <w:t>Dwelling profile</w:t>
      </w:r>
      <w:bookmarkEnd w:id="246"/>
      <w:bookmarkEnd w:id="247"/>
      <w:r>
        <w:t xml:space="preserve"> </w:t>
      </w:r>
    </w:p>
    <w:p w:rsidR="00F704B2" w:rsidRDefault="00F704B2" w:rsidP="00F704B2">
      <w:pPr>
        <w:pStyle w:val="Maintext"/>
        <w:numPr>
          <w:ilvl w:val="1"/>
          <w:numId w:val="8"/>
        </w:numPr>
      </w:pPr>
      <w:r>
        <w:t xml:space="preserve">The 2011 Household Survey provides a wealth of information on current dwelling profiles, which can be used to review dwelling size, type, condition and tenure.  The characteristics of residents living in particular tenures are also explored in more detail to consider the general markets that different tenures are serving.  This analysis is needed to help inform priorities for development for affordable and market housing, explore demand trends for social rented stock and explore inter-relationships between different tenures. </w:t>
      </w:r>
    </w:p>
    <w:p w:rsidR="00F704B2" w:rsidRDefault="00F704B2" w:rsidP="00F704B2">
      <w:pPr>
        <w:pStyle w:val="Maintext"/>
        <w:numPr>
          <w:ilvl w:val="0"/>
          <w:numId w:val="0"/>
        </w:numPr>
        <w:rPr>
          <w:rFonts w:cs="Arial"/>
        </w:rPr>
      </w:pPr>
    </w:p>
    <w:p w:rsidR="00F704B2" w:rsidRDefault="00F704B2" w:rsidP="00F704B2">
      <w:pPr>
        <w:pStyle w:val="Heading4"/>
      </w:pPr>
      <w:bookmarkStart w:id="248" w:name="_Toc225941571"/>
      <w:r>
        <w:t>Total dwelling stock</w:t>
      </w:r>
      <w:bookmarkEnd w:id="248"/>
    </w:p>
    <w:p w:rsidR="00F704B2" w:rsidRPr="007E74D4" w:rsidRDefault="00F704B2" w:rsidP="00F704B2">
      <w:pPr>
        <w:pStyle w:val="Maintext"/>
        <w:numPr>
          <w:ilvl w:val="1"/>
          <w:numId w:val="8"/>
        </w:numPr>
      </w:pPr>
      <w:r w:rsidRPr="007E74D4">
        <w:t xml:space="preserve">There are currently a total of </w:t>
      </w:r>
      <w:r w:rsidR="00AE4DA1" w:rsidRPr="007E74D4">
        <w:t>235,360</w:t>
      </w:r>
      <w:r w:rsidR="007E74D4" w:rsidRPr="007E74D4">
        <w:rPr>
          <w:rStyle w:val="FootnoteReference"/>
        </w:rPr>
        <w:footnoteReference w:id="26"/>
      </w:r>
      <w:r w:rsidRPr="007E74D4">
        <w:t xml:space="preserve"> residential dwellings across the County Durham of which 223,081 are occupied by individual households</w:t>
      </w:r>
      <w:r w:rsidRPr="007E74D4">
        <w:rPr>
          <w:vertAlign w:val="superscript"/>
        </w:rPr>
        <w:footnoteReference w:id="27"/>
      </w:r>
      <w:r w:rsidRPr="007E74D4">
        <w:t>. The total number of dwellings has increased from 221,349 in 2001</w:t>
      </w:r>
      <w:r w:rsidRPr="007E74D4">
        <w:rPr>
          <w:rStyle w:val="FootnoteReference"/>
        </w:rPr>
        <w:footnoteReference w:id="28"/>
      </w:r>
      <w:r w:rsidRPr="007E74D4">
        <w:t>.</w:t>
      </w:r>
    </w:p>
    <w:p w:rsidR="00F704B2" w:rsidRDefault="00F704B2" w:rsidP="00F704B2">
      <w:pPr>
        <w:pStyle w:val="Maintext"/>
        <w:numPr>
          <w:ilvl w:val="1"/>
          <w:numId w:val="8"/>
        </w:numPr>
      </w:pPr>
      <w:r>
        <w:t>The overall tenure</w:t>
      </w:r>
      <w:r w:rsidR="006A62B3">
        <w:t xml:space="preserve"> profile of County Durham</w:t>
      </w:r>
      <w:r>
        <w:t xml:space="preserve"> is summarised in Figure B2.  Table B13 compares this tenure profile with the region.</w:t>
      </w:r>
    </w:p>
    <w:p w:rsidR="00F704B2" w:rsidRDefault="00F704B2" w:rsidP="00F704B2">
      <w:pPr>
        <w:spacing w:before="0" w:after="200" w:line="276" w:lineRule="auto"/>
        <w:rPr>
          <w:rFonts w:cs="Arial"/>
        </w:rPr>
      </w:pPr>
      <w:r>
        <w:rPr>
          <w:rFonts w:cs="Arial"/>
        </w:rPr>
        <w:br w:type="page"/>
      </w:r>
    </w:p>
    <w:p w:rsidR="00F704B2" w:rsidRDefault="00F704B2" w:rsidP="00F704B2">
      <w:pPr>
        <w:ind w:firstLine="709"/>
        <w:rPr>
          <w:rFonts w:cs="Arial"/>
          <w:iCs/>
        </w:rPr>
      </w:pPr>
      <w:r>
        <w:rPr>
          <w:rFonts w:cs="Arial"/>
          <w:b/>
          <w:iCs/>
        </w:rPr>
        <w:t>Figure B2</w:t>
      </w:r>
      <w:r>
        <w:rPr>
          <w:rFonts w:cs="Arial"/>
          <w:iCs/>
        </w:rPr>
        <w:tab/>
      </w:r>
      <w:r>
        <w:t>County Durham tenure profile</w:t>
      </w:r>
      <w:r>
        <w:rPr>
          <w:rFonts w:cs="Arial"/>
          <w:iCs/>
        </w:rPr>
        <w:t xml:space="preserve"> 2011</w:t>
      </w:r>
    </w:p>
    <w:p w:rsidR="00F704B2" w:rsidRDefault="00F363AB" w:rsidP="00F704B2">
      <w:pPr>
        <w:ind w:firstLine="709"/>
      </w:pPr>
      <w:r w:rsidRPr="00F363AB">
        <w:rPr>
          <w:noProof/>
          <w:lang w:eastAsia="en-GB"/>
        </w:rPr>
        <w:drawing>
          <wp:inline distT="0" distB="0" distL="0" distR="0">
            <wp:extent cx="5759450" cy="3127548"/>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759450" cy="3127548"/>
                    </a:xfrm>
                    <a:prstGeom prst="rect">
                      <a:avLst/>
                    </a:prstGeom>
                    <a:noFill/>
                    <a:ln w="9525">
                      <a:noFill/>
                      <a:miter lim="800000"/>
                      <a:headEnd/>
                      <a:tailEnd/>
                    </a:ln>
                  </pic:spPr>
                </pic:pic>
              </a:graphicData>
            </a:graphic>
          </wp:inline>
        </w:drawing>
      </w:r>
    </w:p>
    <w:p w:rsidR="00F704B2" w:rsidRDefault="00F704B2" w:rsidP="00F704B2">
      <w:pPr>
        <w:rPr>
          <w:rFonts w:cs="Arial"/>
          <w:sz w:val="20"/>
          <w:szCs w:val="20"/>
        </w:rPr>
      </w:pPr>
      <w:r>
        <w:rPr>
          <w:rFonts w:cs="Arial"/>
          <w:sz w:val="20"/>
          <w:szCs w:val="20"/>
        </w:rPr>
        <w:tab/>
        <w:t>Source: 2012 Household Survey</w:t>
      </w:r>
      <w:r w:rsidR="00F363AB">
        <w:rPr>
          <w:rFonts w:cs="Arial"/>
          <w:sz w:val="20"/>
          <w:szCs w:val="20"/>
        </w:rPr>
        <w:t xml:space="preserve"> rebased to 2011 Census</w:t>
      </w:r>
    </w:p>
    <w:p w:rsidR="00F704B2" w:rsidRDefault="00F704B2" w:rsidP="00F704B2">
      <w:pPr>
        <w:ind w:left="2160" w:hanging="1440"/>
        <w:rPr>
          <w:rFonts w:cs="Arial"/>
          <w:b/>
          <w:iCs/>
        </w:rPr>
      </w:pPr>
    </w:p>
    <w:p w:rsidR="00F704B2" w:rsidRDefault="00F704B2" w:rsidP="00F704B2">
      <w:pPr>
        <w:ind w:left="2160" w:hanging="1440"/>
      </w:pPr>
      <w:r>
        <w:rPr>
          <w:rFonts w:cs="Arial"/>
          <w:b/>
          <w:iCs/>
        </w:rPr>
        <w:t>Table B13</w:t>
      </w:r>
      <w:r>
        <w:rPr>
          <w:rFonts w:cs="Arial"/>
          <w:b/>
          <w:iCs/>
        </w:rPr>
        <w:tab/>
      </w:r>
      <w:r>
        <w:rPr>
          <w:rFonts w:cs="Arial"/>
          <w:iCs/>
        </w:rPr>
        <w:t xml:space="preserve">Comparison of national and regional tenure profiles with </w:t>
      </w:r>
      <w:r>
        <w:t>County Durham</w:t>
      </w:r>
    </w:p>
    <w:tbl>
      <w:tblPr>
        <w:tblW w:w="547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37"/>
        <w:gridCol w:w="795"/>
        <w:gridCol w:w="1005"/>
      </w:tblGrid>
      <w:tr w:rsidR="00F704B2" w:rsidRPr="00381872" w:rsidTr="003C5498">
        <w:trPr>
          <w:trHeight w:val="765"/>
        </w:trPr>
        <w:tc>
          <w:tcPr>
            <w:tcW w:w="2540" w:type="dxa"/>
            <w:shd w:val="clear" w:color="000000" w:fill="008080"/>
            <w:vAlign w:val="center"/>
            <w:hideMark/>
          </w:tcPr>
          <w:p w:rsidR="00F704B2" w:rsidRPr="00381872" w:rsidRDefault="00F704B2" w:rsidP="003C5498">
            <w:pPr>
              <w:spacing w:before="0" w:after="0"/>
              <w:rPr>
                <w:rFonts w:cs="Arial"/>
                <w:b/>
                <w:bCs/>
                <w:color w:val="FFFFFF"/>
                <w:sz w:val="20"/>
                <w:szCs w:val="20"/>
                <w:lang w:eastAsia="en-GB"/>
              </w:rPr>
            </w:pPr>
            <w:r w:rsidRPr="00381872">
              <w:rPr>
                <w:rFonts w:cs="Arial"/>
                <w:b/>
                <w:bCs/>
                <w:color w:val="FFFFFF"/>
                <w:sz w:val="20"/>
                <w:szCs w:val="20"/>
                <w:lang w:eastAsia="en-GB"/>
              </w:rPr>
              <w:t>Tenure</w:t>
            </w:r>
          </w:p>
        </w:tc>
        <w:tc>
          <w:tcPr>
            <w:tcW w:w="1137" w:type="dxa"/>
            <w:shd w:val="clear" w:color="000000" w:fill="008080"/>
            <w:vAlign w:val="bottom"/>
          </w:tcPr>
          <w:p w:rsidR="00F704B2" w:rsidRPr="00381872" w:rsidRDefault="00F704B2" w:rsidP="003C5498">
            <w:pPr>
              <w:spacing w:before="0" w:after="0"/>
              <w:jc w:val="center"/>
              <w:rPr>
                <w:rFonts w:cs="Arial"/>
                <w:b/>
                <w:bCs/>
                <w:color w:val="FFFFFF"/>
                <w:sz w:val="20"/>
                <w:szCs w:val="20"/>
                <w:lang w:eastAsia="en-GB"/>
              </w:rPr>
            </w:pPr>
            <w:r>
              <w:rPr>
                <w:rFonts w:cs="Arial"/>
                <w:b/>
                <w:bCs/>
                <w:color w:val="FFFFFF"/>
                <w:sz w:val="20"/>
                <w:szCs w:val="20"/>
                <w:lang w:eastAsia="en-GB"/>
              </w:rPr>
              <w:t>County Durham (%)</w:t>
            </w:r>
          </w:p>
        </w:tc>
        <w:tc>
          <w:tcPr>
            <w:tcW w:w="795" w:type="dxa"/>
            <w:shd w:val="clear" w:color="000000" w:fill="008080"/>
            <w:vAlign w:val="bottom"/>
            <w:hideMark/>
          </w:tcPr>
          <w:p w:rsidR="00F704B2" w:rsidRPr="00381872" w:rsidRDefault="00F704B2" w:rsidP="003C5498">
            <w:pPr>
              <w:spacing w:before="0" w:after="0"/>
              <w:jc w:val="center"/>
              <w:rPr>
                <w:rFonts w:cs="Arial"/>
                <w:b/>
                <w:bCs/>
                <w:color w:val="FFFFFF"/>
                <w:sz w:val="20"/>
                <w:szCs w:val="20"/>
                <w:lang w:eastAsia="en-GB"/>
              </w:rPr>
            </w:pPr>
            <w:r w:rsidRPr="00381872">
              <w:rPr>
                <w:rFonts w:cs="Arial"/>
                <w:b/>
                <w:bCs/>
                <w:color w:val="FFFFFF"/>
                <w:sz w:val="20"/>
                <w:szCs w:val="20"/>
                <w:lang w:eastAsia="en-GB"/>
              </w:rPr>
              <w:t xml:space="preserve">North East </w:t>
            </w:r>
            <w:r>
              <w:rPr>
                <w:rFonts w:cs="Arial"/>
                <w:b/>
                <w:bCs/>
                <w:color w:val="FFFFFF"/>
                <w:sz w:val="20"/>
                <w:szCs w:val="20"/>
                <w:lang w:eastAsia="en-GB"/>
              </w:rPr>
              <w:t>(</w:t>
            </w:r>
            <w:r w:rsidRPr="00381872">
              <w:rPr>
                <w:rFonts w:cs="Arial"/>
                <w:b/>
                <w:bCs/>
                <w:color w:val="FFFFFF"/>
                <w:sz w:val="20"/>
                <w:szCs w:val="20"/>
                <w:lang w:eastAsia="en-GB"/>
              </w:rPr>
              <w:t>%</w:t>
            </w:r>
            <w:r>
              <w:rPr>
                <w:rFonts w:cs="Arial"/>
                <w:b/>
                <w:bCs/>
                <w:color w:val="FFFFFF"/>
                <w:sz w:val="20"/>
                <w:szCs w:val="20"/>
                <w:lang w:eastAsia="en-GB"/>
              </w:rPr>
              <w:t>)</w:t>
            </w:r>
          </w:p>
        </w:tc>
        <w:tc>
          <w:tcPr>
            <w:tcW w:w="1005" w:type="dxa"/>
            <w:shd w:val="clear" w:color="000000" w:fill="008080"/>
            <w:vAlign w:val="bottom"/>
            <w:hideMark/>
          </w:tcPr>
          <w:p w:rsidR="00F704B2" w:rsidRPr="00381872" w:rsidRDefault="00F704B2" w:rsidP="003C5498">
            <w:pPr>
              <w:spacing w:before="0" w:after="0"/>
              <w:jc w:val="center"/>
              <w:rPr>
                <w:rFonts w:cs="Arial"/>
                <w:b/>
                <w:bCs/>
                <w:color w:val="FFFFFF"/>
                <w:sz w:val="20"/>
                <w:szCs w:val="20"/>
                <w:lang w:eastAsia="en-GB"/>
              </w:rPr>
            </w:pPr>
            <w:r w:rsidRPr="00381872">
              <w:rPr>
                <w:rFonts w:cs="Arial"/>
                <w:b/>
                <w:bCs/>
                <w:color w:val="FFFFFF"/>
                <w:sz w:val="20"/>
                <w:szCs w:val="20"/>
                <w:lang w:eastAsia="en-GB"/>
              </w:rPr>
              <w:t>England</w:t>
            </w:r>
            <w:r>
              <w:rPr>
                <w:rFonts w:cs="Arial"/>
                <w:b/>
                <w:bCs/>
                <w:color w:val="FFFFFF"/>
                <w:sz w:val="20"/>
                <w:szCs w:val="20"/>
                <w:lang w:eastAsia="en-GB"/>
              </w:rPr>
              <w:t xml:space="preserve"> (%)</w:t>
            </w:r>
          </w:p>
        </w:tc>
      </w:tr>
      <w:tr w:rsidR="005A3B58" w:rsidRPr="00381872" w:rsidTr="003C5498">
        <w:trPr>
          <w:trHeight w:val="255"/>
        </w:trPr>
        <w:tc>
          <w:tcPr>
            <w:tcW w:w="2540" w:type="dxa"/>
            <w:shd w:val="clear" w:color="auto" w:fill="auto"/>
            <w:noWrap/>
            <w:vAlign w:val="bottom"/>
            <w:hideMark/>
          </w:tcPr>
          <w:p w:rsidR="005A3B58" w:rsidRPr="00381872" w:rsidRDefault="005A3B58" w:rsidP="003C5498">
            <w:pPr>
              <w:spacing w:before="0" w:after="0"/>
              <w:rPr>
                <w:rFonts w:cs="Arial"/>
                <w:sz w:val="20"/>
                <w:szCs w:val="20"/>
                <w:lang w:eastAsia="en-GB"/>
              </w:rPr>
            </w:pPr>
            <w:r w:rsidRPr="00381872">
              <w:rPr>
                <w:rFonts w:cs="Arial"/>
                <w:sz w:val="20"/>
                <w:szCs w:val="20"/>
                <w:lang w:eastAsia="en-GB"/>
              </w:rPr>
              <w:t>Owner-occupied</w:t>
            </w:r>
          </w:p>
        </w:tc>
        <w:tc>
          <w:tcPr>
            <w:tcW w:w="1137" w:type="dxa"/>
            <w:vAlign w:val="bottom"/>
          </w:tcPr>
          <w:p w:rsidR="005A3B58" w:rsidRDefault="005A3B58" w:rsidP="005A3B58">
            <w:pPr>
              <w:spacing w:before="0" w:after="0"/>
              <w:jc w:val="center"/>
              <w:rPr>
                <w:rFonts w:cs="Arial"/>
                <w:sz w:val="20"/>
                <w:szCs w:val="20"/>
              </w:rPr>
            </w:pPr>
            <w:r>
              <w:rPr>
                <w:rFonts w:cs="Arial"/>
                <w:sz w:val="20"/>
                <w:szCs w:val="20"/>
              </w:rPr>
              <w:t>65.8</w:t>
            </w:r>
          </w:p>
        </w:tc>
        <w:tc>
          <w:tcPr>
            <w:tcW w:w="79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61.8</w:t>
            </w:r>
          </w:p>
        </w:tc>
        <w:tc>
          <w:tcPr>
            <w:tcW w:w="100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63.3</w:t>
            </w:r>
          </w:p>
        </w:tc>
      </w:tr>
      <w:tr w:rsidR="005A3B58" w:rsidRPr="00381872" w:rsidTr="003C5498">
        <w:trPr>
          <w:trHeight w:val="255"/>
        </w:trPr>
        <w:tc>
          <w:tcPr>
            <w:tcW w:w="2540" w:type="dxa"/>
            <w:shd w:val="clear" w:color="auto" w:fill="auto"/>
            <w:noWrap/>
            <w:vAlign w:val="bottom"/>
            <w:hideMark/>
          </w:tcPr>
          <w:p w:rsidR="005A3B58" w:rsidRPr="00381872" w:rsidRDefault="005A3B58" w:rsidP="003C5498">
            <w:pPr>
              <w:spacing w:before="0" w:after="0"/>
              <w:rPr>
                <w:rFonts w:cs="Arial"/>
                <w:sz w:val="20"/>
                <w:szCs w:val="20"/>
                <w:lang w:eastAsia="en-GB"/>
              </w:rPr>
            </w:pPr>
            <w:r>
              <w:rPr>
                <w:rFonts w:cs="Arial"/>
                <w:sz w:val="20"/>
                <w:szCs w:val="20"/>
                <w:lang w:eastAsia="en-GB"/>
              </w:rPr>
              <w:t>Affordable/Social Rented</w:t>
            </w:r>
          </w:p>
        </w:tc>
        <w:tc>
          <w:tcPr>
            <w:tcW w:w="1137" w:type="dxa"/>
            <w:vAlign w:val="bottom"/>
          </w:tcPr>
          <w:p w:rsidR="005A3B58" w:rsidRDefault="005A3B58" w:rsidP="005A3B58">
            <w:pPr>
              <w:spacing w:before="0" w:after="0"/>
              <w:jc w:val="center"/>
              <w:rPr>
                <w:rFonts w:cs="Arial"/>
                <w:sz w:val="20"/>
                <w:szCs w:val="20"/>
              </w:rPr>
            </w:pPr>
            <w:r>
              <w:rPr>
                <w:rFonts w:cs="Arial"/>
                <w:sz w:val="20"/>
                <w:szCs w:val="20"/>
              </w:rPr>
              <w:t>13.8</w:t>
            </w:r>
          </w:p>
        </w:tc>
        <w:tc>
          <w:tcPr>
            <w:tcW w:w="79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14.8</w:t>
            </w:r>
          </w:p>
        </w:tc>
        <w:tc>
          <w:tcPr>
            <w:tcW w:w="100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18.2</w:t>
            </w:r>
          </w:p>
        </w:tc>
      </w:tr>
      <w:tr w:rsidR="005A3B58" w:rsidRPr="00381872" w:rsidTr="003C5498">
        <w:trPr>
          <w:trHeight w:val="255"/>
        </w:trPr>
        <w:tc>
          <w:tcPr>
            <w:tcW w:w="2540" w:type="dxa"/>
            <w:shd w:val="clear" w:color="auto" w:fill="auto"/>
            <w:noWrap/>
            <w:vAlign w:val="bottom"/>
            <w:hideMark/>
          </w:tcPr>
          <w:p w:rsidR="005A3B58" w:rsidRPr="00381872" w:rsidRDefault="005A3B58" w:rsidP="003C5498">
            <w:pPr>
              <w:spacing w:before="0" w:after="0"/>
              <w:rPr>
                <w:rFonts w:cs="Arial"/>
                <w:sz w:val="20"/>
                <w:szCs w:val="20"/>
                <w:lang w:eastAsia="en-GB"/>
              </w:rPr>
            </w:pPr>
            <w:r w:rsidRPr="00381872">
              <w:rPr>
                <w:rFonts w:cs="Arial"/>
                <w:sz w:val="20"/>
                <w:szCs w:val="20"/>
                <w:lang w:eastAsia="en-GB"/>
              </w:rPr>
              <w:t>Private Rented</w:t>
            </w:r>
          </w:p>
        </w:tc>
        <w:tc>
          <w:tcPr>
            <w:tcW w:w="1137" w:type="dxa"/>
            <w:vAlign w:val="bottom"/>
          </w:tcPr>
          <w:p w:rsidR="005A3B58" w:rsidRDefault="005A3B58" w:rsidP="005A3B58">
            <w:pPr>
              <w:spacing w:before="0" w:after="0"/>
              <w:jc w:val="center"/>
              <w:rPr>
                <w:rFonts w:cs="Arial"/>
                <w:sz w:val="20"/>
                <w:szCs w:val="20"/>
              </w:rPr>
            </w:pPr>
            <w:r>
              <w:rPr>
                <w:rFonts w:cs="Arial"/>
                <w:sz w:val="20"/>
                <w:szCs w:val="20"/>
              </w:rPr>
              <w:t>20.3</w:t>
            </w:r>
          </w:p>
        </w:tc>
        <w:tc>
          <w:tcPr>
            <w:tcW w:w="79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23.3</w:t>
            </w:r>
          </w:p>
        </w:tc>
        <w:tc>
          <w:tcPr>
            <w:tcW w:w="100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18.5</w:t>
            </w:r>
          </w:p>
        </w:tc>
      </w:tr>
      <w:tr w:rsidR="005A3B58" w:rsidRPr="00381872" w:rsidTr="003C5498">
        <w:trPr>
          <w:trHeight w:val="255"/>
        </w:trPr>
        <w:tc>
          <w:tcPr>
            <w:tcW w:w="2540" w:type="dxa"/>
            <w:shd w:val="clear" w:color="auto" w:fill="auto"/>
            <w:noWrap/>
            <w:vAlign w:val="bottom"/>
            <w:hideMark/>
          </w:tcPr>
          <w:p w:rsidR="005A3B58" w:rsidRPr="00381872" w:rsidRDefault="005A3B58" w:rsidP="003C5498">
            <w:pPr>
              <w:spacing w:before="0" w:after="0"/>
              <w:rPr>
                <w:rFonts w:cs="Arial"/>
                <w:sz w:val="20"/>
                <w:szCs w:val="20"/>
                <w:lang w:eastAsia="en-GB"/>
              </w:rPr>
            </w:pPr>
            <w:r w:rsidRPr="00381872">
              <w:rPr>
                <w:rFonts w:cs="Arial"/>
                <w:sz w:val="20"/>
                <w:szCs w:val="20"/>
                <w:lang w:eastAsia="en-GB"/>
              </w:rPr>
              <w:t>Total</w:t>
            </w:r>
          </w:p>
        </w:tc>
        <w:tc>
          <w:tcPr>
            <w:tcW w:w="1137" w:type="dxa"/>
            <w:vAlign w:val="bottom"/>
          </w:tcPr>
          <w:p w:rsidR="005A3B58" w:rsidRDefault="005A3B58" w:rsidP="005A3B58">
            <w:pPr>
              <w:spacing w:before="0" w:after="0"/>
              <w:jc w:val="center"/>
              <w:rPr>
                <w:rFonts w:cs="Arial"/>
                <w:sz w:val="20"/>
                <w:szCs w:val="20"/>
              </w:rPr>
            </w:pPr>
            <w:r>
              <w:rPr>
                <w:rFonts w:cs="Arial"/>
                <w:sz w:val="20"/>
                <w:szCs w:val="20"/>
              </w:rPr>
              <w:t>100.0</w:t>
            </w:r>
          </w:p>
        </w:tc>
        <w:tc>
          <w:tcPr>
            <w:tcW w:w="79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100.0</w:t>
            </w:r>
          </w:p>
        </w:tc>
        <w:tc>
          <w:tcPr>
            <w:tcW w:w="1005" w:type="dxa"/>
            <w:shd w:val="clear" w:color="auto" w:fill="auto"/>
            <w:noWrap/>
            <w:vAlign w:val="bottom"/>
            <w:hideMark/>
          </w:tcPr>
          <w:p w:rsidR="005A3B58" w:rsidRDefault="005A3B58" w:rsidP="005A3B58">
            <w:pPr>
              <w:spacing w:before="0" w:after="0"/>
              <w:jc w:val="center"/>
              <w:rPr>
                <w:rFonts w:cs="Arial"/>
                <w:sz w:val="20"/>
                <w:szCs w:val="20"/>
              </w:rPr>
            </w:pPr>
            <w:r>
              <w:rPr>
                <w:rFonts w:cs="Arial"/>
                <w:sz w:val="20"/>
                <w:szCs w:val="20"/>
              </w:rPr>
              <w:t>100.0</w:t>
            </w:r>
          </w:p>
        </w:tc>
      </w:tr>
    </w:tbl>
    <w:p w:rsidR="00F704B2" w:rsidRDefault="00AE4DA1" w:rsidP="006A62B3">
      <w:pPr>
        <w:ind w:firstLine="720"/>
        <w:rPr>
          <w:rFonts w:cs="Arial"/>
          <w:iCs/>
          <w:sz w:val="20"/>
          <w:szCs w:val="20"/>
        </w:rPr>
      </w:pPr>
      <w:r>
        <w:rPr>
          <w:rFonts w:cs="Arial"/>
          <w:iCs/>
          <w:sz w:val="20"/>
          <w:szCs w:val="20"/>
        </w:rPr>
        <w:t>Source: 2012 Household Survey</w:t>
      </w:r>
      <w:r w:rsidR="005A3B58">
        <w:rPr>
          <w:rFonts w:cs="Arial"/>
          <w:iCs/>
          <w:sz w:val="20"/>
          <w:szCs w:val="20"/>
        </w:rPr>
        <w:t xml:space="preserve"> </w:t>
      </w:r>
      <w:r w:rsidR="005A3B58" w:rsidRPr="005A3B58">
        <w:rPr>
          <w:rFonts w:cs="Arial"/>
          <w:iCs/>
          <w:sz w:val="20"/>
          <w:szCs w:val="20"/>
        </w:rPr>
        <w:t>rebased to 2011 Census</w:t>
      </w:r>
      <w:r w:rsidR="00F704B2" w:rsidRPr="005A3B58">
        <w:rPr>
          <w:rFonts w:cs="Arial"/>
          <w:iCs/>
          <w:sz w:val="20"/>
          <w:szCs w:val="20"/>
        </w:rPr>
        <w:t>; 2008 Regional Trends</w:t>
      </w:r>
    </w:p>
    <w:p w:rsidR="00F704B2" w:rsidRDefault="00F704B2" w:rsidP="00F704B2">
      <w:pPr>
        <w:ind w:firstLine="720"/>
        <w:rPr>
          <w:rFonts w:cs="Arial"/>
          <w:iCs/>
        </w:rPr>
      </w:pPr>
    </w:p>
    <w:p w:rsidR="00F704B2" w:rsidRDefault="00F704B2" w:rsidP="00F704B2">
      <w:pPr>
        <w:pStyle w:val="Maintext"/>
        <w:numPr>
          <w:ilvl w:val="1"/>
          <w:numId w:val="8"/>
        </w:numPr>
      </w:pPr>
      <w:r>
        <w:t>The majority of stock in County Durham is owner-occupied (</w:t>
      </w:r>
      <w:r w:rsidR="005A3B58">
        <w:t>65.8</w:t>
      </w:r>
      <w:r>
        <w:t>%). The proportion of social</w:t>
      </w:r>
      <w:r w:rsidR="005A3B58">
        <w:t xml:space="preserve"> rented property is slightly lower </w:t>
      </w:r>
      <w:r>
        <w:t>than the regional average. The proportion of private rented stock is some</w:t>
      </w:r>
      <w:r w:rsidR="005A3B58">
        <w:t>what lower than</w:t>
      </w:r>
      <w:r>
        <w:t xml:space="preserve"> regional </w:t>
      </w:r>
      <w:r w:rsidR="005A3B58">
        <w:t>levels, but higher than the</w:t>
      </w:r>
      <w:r>
        <w:t xml:space="preserve"> national estimates.</w:t>
      </w:r>
    </w:p>
    <w:p w:rsidR="00F704B2" w:rsidRDefault="00F704B2" w:rsidP="00F704B2">
      <w:pPr>
        <w:rPr>
          <w:rFonts w:cs="Arial"/>
          <w:i/>
        </w:rPr>
      </w:pPr>
    </w:p>
    <w:p w:rsidR="00F704B2" w:rsidRDefault="00F704B2" w:rsidP="00F704B2">
      <w:pPr>
        <w:pStyle w:val="Heading4"/>
      </w:pPr>
      <w:bookmarkStart w:id="249" w:name="_Toc225941572"/>
      <w:r>
        <w:t>Newbuild activity</w:t>
      </w:r>
      <w:bookmarkEnd w:id="249"/>
    </w:p>
    <w:p w:rsidR="00F704B2" w:rsidRDefault="00F704B2" w:rsidP="00F704B2">
      <w:pPr>
        <w:pStyle w:val="Maintext"/>
        <w:numPr>
          <w:ilvl w:val="1"/>
          <w:numId w:val="8"/>
        </w:numPr>
        <w:rPr>
          <w:rFonts w:cs="Arial"/>
          <w:i/>
        </w:rPr>
      </w:pPr>
      <w:r>
        <w:t>Table B14 summarises newbuild activity over the ten year p</w:t>
      </w:r>
      <w:r w:rsidR="001738AF">
        <w:t>eriod 2000/01 to 2010/11</w:t>
      </w:r>
      <w:r>
        <w:t xml:space="preserve"> and during this tim</w:t>
      </w:r>
      <w:r w:rsidR="001738AF">
        <w:t>e completions have averaged 1427</w:t>
      </w:r>
      <w:r>
        <w:t xml:space="preserve"> each year.</w:t>
      </w:r>
    </w:p>
    <w:p w:rsidR="00F704B2" w:rsidRDefault="00F704B2" w:rsidP="00F704B2">
      <w:pPr>
        <w:spacing w:before="0"/>
        <w:rPr>
          <w:b/>
        </w:rPr>
      </w:pPr>
    </w:p>
    <w:p w:rsidR="005A3B58" w:rsidRDefault="005A3B58">
      <w:pPr>
        <w:spacing w:before="0" w:after="0"/>
        <w:rPr>
          <w:b/>
        </w:rPr>
      </w:pPr>
      <w:r>
        <w:rPr>
          <w:b/>
        </w:rPr>
        <w:br w:type="page"/>
      </w:r>
    </w:p>
    <w:p w:rsidR="00F704B2" w:rsidRDefault="00F704B2" w:rsidP="00F704B2">
      <w:pPr>
        <w:pStyle w:val="Maintext"/>
        <w:numPr>
          <w:ilvl w:val="0"/>
          <w:numId w:val="0"/>
        </w:numPr>
        <w:ind w:firstLine="709"/>
      </w:pPr>
      <w:r w:rsidRPr="0056217A">
        <w:rPr>
          <w:b/>
        </w:rPr>
        <w:t>Table B1</w:t>
      </w:r>
      <w:r>
        <w:rPr>
          <w:b/>
        </w:rPr>
        <w:t>4</w:t>
      </w:r>
      <w:r w:rsidRPr="0056217A">
        <w:tab/>
      </w:r>
      <w:r>
        <w:t>Newbuild activity in County Durham</w:t>
      </w:r>
    </w:p>
    <w:tbl>
      <w:tblPr>
        <w:tblW w:w="4560" w:type="dxa"/>
        <w:tblInd w:w="720" w:type="dxa"/>
        <w:tblLook w:val="04A0" w:firstRow="1" w:lastRow="0" w:firstColumn="1" w:lastColumn="0" w:noHBand="0" w:noVBand="1"/>
      </w:tblPr>
      <w:tblGrid>
        <w:gridCol w:w="1640"/>
        <w:gridCol w:w="2920"/>
      </w:tblGrid>
      <w:tr w:rsidR="00F704B2" w:rsidRPr="008462E0" w:rsidTr="006A62B3">
        <w:trPr>
          <w:trHeight w:val="255"/>
        </w:trPr>
        <w:tc>
          <w:tcPr>
            <w:tcW w:w="1640" w:type="dxa"/>
            <w:tcBorders>
              <w:top w:val="nil"/>
              <w:left w:val="nil"/>
              <w:bottom w:val="nil"/>
              <w:right w:val="nil"/>
            </w:tcBorders>
            <w:shd w:val="clear" w:color="000000" w:fill="008080"/>
            <w:noWrap/>
            <w:vAlign w:val="bottom"/>
            <w:hideMark/>
          </w:tcPr>
          <w:p w:rsidR="00F704B2" w:rsidRPr="008462E0" w:rsidRDefault="00F704B2" w:rsidP="003C5498">
            <w:pPr>
              <w:spacing w:before="0" w:after="0"/>
              <w:jc w:val="center"/>
              <w:rPr>
                <w:rFonts w:cs="Arial"/>
                <w:b/>
                <w:bCs/>
                <w:color w:val="FFFFFF"/>
                <w:sz w:val="20"/>
                <w:szCs w:val="20"/>
                <w:lang w:eastAsia="en-GB"/>
              </w:rPr>
            </w:pPr>
            <w:r w:rsidRPr="008462E0">
              <w:rPr>
                <w:rFonts w:cs="Arial"/>
                <w:b/>
                <w:bCs/>
                <w:color w:val="FFFFFF"/>
                <w:sz w:val="20"/>
                <w:szCs w:val="20"/>
                <w:lang w:eastAsia="en-GB"/>
              </w:rPr>
              <w:t xml:space="preserve">Year </w:t>
            </w:r>
          </w:p>
        </w:tc>
        <w:tc>
          <w:tcPr>
            <w:tcW w:w="2920" w:type="dxa"/>
            <w:tcBorders>
              <w:top w:val="nil"/>
              <w:left w:val="nil"/>
              <w:bottom w:val="nil"/>
              <w:right w:val="nil"/>
            </w:tcBorders>
            <w:shd w:val="clear" w:color="000000" w:fill="008080"/>
            <w:noWrap/>
            <w:vAlign w:val="bottom"/>
            <w:hideMark/>
          </w:tcPr>
          <w:p w:rsidR="00F704B2" w:rsidRPr="008462E0" w:rsidRDefault="00F704B2" w:rsidP="003C5498">
            <w:pPr>
              <w:spacing w:before="0" w:after="0"/>
              <w:jc w:val="center"/>
              <w:rPr>
                <w:rFonts w:cs="Arial"/>
                <w:b/>
                <w:bCs/>
                <w:color w:val="FFFFFF"/>
                <w:sz w:val="20"/>
                <w:szCs w:val="20"/>
                <w:lang w:eastAsia="en-GB"/>
              </w:rPr>
            </w:pPr>
            <w:r w:rsidRPr="008462E0">
              <w:rPr>
                <w:rFonts w:cs="Arial"/>
                <w:b/>
                <w:bCs/>
                <w:color w:val="FFFFFF"/>
                <w:sz w:val="20"/>
                <w:szCs w:val="20"/>
                <w:lang w:eastAsia="en-GB"/>
              </w:rPr>
              <w:t>County Net Completions</w:t>
            </w:r>
          </w:p>
        </w:tc>
      </w:tr>
      <w:tr w:rsidR="00F704B2" w:rsidRPr="008462E0" w:rsidTr="006A62B3">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2000-01</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1056</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2001-02</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920</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2002-03</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908</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2003-04</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1581</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2004-05</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1021</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2005-06</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1800</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2006-07</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2361</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2007-08</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2397</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2008-09</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1426</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2009-10</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1179</w:t>
            </w:r>
          </w:p>
        </w:tc>
      </w:tr>
      <w:tr w:rsidR="001738AF"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1738AF" w:rsidRPr="008462E0" w:rsidRDefault="001738AF" w:rsidP="003C5498">
            <w:pPr>
              <w:spacing w:before="0" w:after="0"/>
              <w:jc w:val="center"/>
              <w:rPr>
                <w:rFonts w:cs="Arial"/>
                <w:sz w:val="20"/>
                <w:szCs w:val="20"/>
                <w:lang w:eastAsia="en-GB"/>
              </w:rPr>
            </w:pPr>
            <w:r>
              <w:rPr>
                <w:rFonts w:cs="Arial"/>
                <w:sz w:val="20"/>
                <w:szCs w:val="20"/>
                <w:lang w:eastAsia="en-GB"/>
              </w:rPr>
              <w:t>2010-11</w:t>
            </w:r>
          </w:p>
        </w:tc>
        <w:tc>
          <w:tcPr>
            <w:tcW w:w="2920" w:type="dxa"/>
            <w:tcBorders>
              <w:top w:val="nil"/>
              <w:left w:val="nil"/>
              <w:bottom w:val="single" w:sz="4" w:space="0" w:color="auto"/>
              <w:right w:val="single" w:sz="4" w:space="0" w:color="auto"/>
            </w:tcBorders>
            <w:shd w:val="clear" w:color="auto" w:fill="auto"/>
            <w:noWrap/>
            <w:vAlign w:val="bottom"/>
            <w:hideMark/>
          </w:tcPr>
          <w:p w:rsidR="001738AF" w:rsidRPr="008462E0" w:rsidRDefault="001738AF" w:rsidP="003C5498">
            <w:pPr>
              <w:spacing w:before="0" w:after="0"/>
              <w:jc w:val="center"/>
              <w:rPr>
                <w:rFonts w:cs="Arial"/>
                <w:sz w:val="20"/>
                <w:szCs w:val="20"/>
                <w:lang w:eastAsia="en-GB"/>
              </w:rPr>
            </w:pPr>
            <w:r>
              <w:rPr>
                <w:rFonts w:cs="Arial"/>
                <w:sz w:val="20"/>
                <w:szCs w:val="20"/>
                <w:lang w:eastAsia="en-GB"/>
              </w:rPr>
              <w:t>1046</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1738AF" w:rsidP="003C5498">
            <w:pPr>
              <w:spacing w:before="0" w:after="0"/>
              <w:jc w:val="center"/>
              <w:rPr>
                <w:rFonts w:cs="Arial"/>
                <w:b/>
                <w:bCs/>
                <w:sz w:val="20"/>
                <w:szCs w:val="20"/>
                <w:lang w:eastAsia="en-GB"/>
              </w:rPr>
            </w:pPr>
            <w:r>
              <w:rPr>
                <w:rFonts w:cs="Arial"/>
                <w:b/>
                <w:bCs/>
                <w:sz w:val="20"/>
                <w:szCs w:val="20"/>
                <w:lang w:eastAsia="en-GB"/>
              </w:rPr>
              <w:t>11</w:t>
            </w:r>
            <w:r w:rsidR="00F704B2" w:rsidRPr="008462E0">
              <w:rPr>
                <w:rFonts w:cs="Arial"/>
                <w:b/>
                <w:bCs/>
                <w:sz w:val="20"/>
                <w:szCs w:val="20"/>
                <w:lang w:eastAsia="en-GB"/>
              </w:rPr>
              <w:t xml:space="preserve"> year Total</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1738AF" w:rsidP="003C5498">
            <w:pPr>
              <w:spacing w:before="0" w:after="0"/>
              <w:jc w:val="center"/>
              <w:rPr>
                <w:rFonts w:cs="Arial"/>
                <w:b/>
                <w:bCs/>
                <w:sz w:val="20"/>
                <w:szCs w:val="20"/>
                <w:lang w:eastAsia="en-GB"/>
              </w:rPr>
            </w:pPr>
            <w:r>
              <w:rPr>
                <w:rFonts w:cs="Arial"/>
                <w:b/>
                <w:bCs/>
                <w:sz w:val="20"/>
                <w:szCs w:val="20"/>
                <w:lang w:eastAsia="en-GB"/>
              </w:rPr>
              <w:t>15,695</w:t>
            </w:r>
          </w:p>
        </w:tc>
      </w:tr>
      <w:tr w:rsidR="00F704B2" w:rsidRPr="008462E0" w:rsidTr="006A62B3">
        <w:trPr>
          <w:trHeight w:val="2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8462E0" w:rsidRDefault="00F704B2" w:rsidP="003C5498">
            <w:pPr>
              <w:spacing w:before="0" w:after="0"/>
              <w:jc w:val="center"/>
              <w:rPr>
                <w:rFonts w:cs="Arial"/>
                <w:sz w:val="20"/>
                <w:szCs w:val="20"/>
                <w:lang w:eastAsia="en-GB"/>
              </w:rPr>
            </w:pPr>
            <w:r w:rsidRPr="008462E0">
              <w:rPr>
                <w:rFonts w:cs="Arial"/>
                <w:sz w:val="20"/>
                <w:szCs w:val="20"/>
                <w:lang w:eastAsia="en-GB"/>
              </w:rPr>
              <w:t>yearly average</w:t>
            </w:r>
          </w:p>
        </w:tc>
        <w:tc>
          <w:tcPr>
            <w:tcW w:w="2920" w:type="dxa"/>
            <w:tcBorders>
              <w:top w:val="nil"/>
              <w:left w:val="nil"/>
              <w:bottom w:val="single" w:sz="4" w:space="0" w:color="auto"/>
              <w:right w:val="single" w:sz="4" w:space="0" w:color="auto"/>
            </w:tcBorders>
            <w:shd w:val="clear" w:color="auto" w:fill="auto"/>
            <w:noWrap/>
            <w:vAlign w:val="bottom"/>
            <w:hideMark/>
          </w:tcPr>
          <w:p w:rsidR="00F704B2" w:rsidRPr="008462E0" w:rsidRDefault="001738AF" w:rsidP="003C5498">
            <w:pPr>
              <w:spacing w:before="0" w:after="0"/>
              <w:jc w:val="center"/>
              <w:rPr>
                <w:rFonts w:cs="Arial"/>
                <w:sz w:val="20"/>
                <w:szCs w:val="20"/>
                <w:lang w:eastAsia="en-GB"/>
              </w:rPr>
            </w:pPr>
            <w:r>
              <w:rPr>
                <w:rFonts w:cs="Arial"/>
                <w:sz w:val="20"/>
                <w:szCs w:val="20"/>
                <w:lang w:eastAsia="en-GB"/>
              </w:rPr>
              <w:t>1427</w:t>
            </w:r>
          </w:p>
        </w:tc>
      </w:tr>
    </w:tbl>
    <w:p w:rsidR="00F704B2" w:rsidRPr="00381872" w:rsidRDefault="00F704B2" w:rsidP="00F704B2">
      <w:pPr>
        <w:pStyle w:val="Maintext"/>
        <w:numPr>
          <w:ilvl w:val="0"/>
          <w:numId w:val="0"/>
        </w:numPr>
        <w:ind w:left="709"/>
        <w:rPr>
          <w:rFonts w:cs="Arial"/>
          <w:sz w:val="20"/>
          <w:szCs w:val="20"/>
        </w:rPr>
      </w:pPr>
      <w:r w:rsidRPr="0056217A">
        <w:rPr>
          <w:rFonts w:cs="Arial"/>
          <w:sz w:val="20"/>
          <w:szCs w:val="20"/>
        </w:rPr>
        <w:tab/>
        <w:t xml:space="preserve">Source: </w:t>
      </w:r>
      <w:r>
        <w:rPr>
          <w:rFonts w:cs="Arial"/>
          <w:sz w:val="20"/>
          <w:szCs w:val="20"/>
        </w:rPr>
        <w:t>Local Authority Planning Department.</w:t>
      </w:r>
    </w:p>
    <w:p w:rsidR="00F704B2" w:rsidRPr="0089708D" w:rsidRDefault="00F704B2" w:rsidP="00F704B2">
      <w:bookmarkStart w:id="250" w:name="_Toc225941573"/>
    </w:p>
    <w:p w:rsidR="00F704B2" w:rsidRDefault="00F704B2" w:rsidP="00F704B2">
      <w:pPr>
        <w:pStyle w:val="Heading4"/>
      </w:pPr>
      <w:r>
        <w:t>Right to buy</w:t>
      </w:r>
      <w:bookmarkEnd w:id="250"/>
    </w:p>
    <w:p w:rsidR="00F704B2" w:rsidRPr="0056217A" w:rsidRDefault="00F704B2" w:rsidP="00F704B2">
      <w:pPr>
        <w:pStyle w:val="Maintext"/>
        <w:numPr>
          <w:ilvl w:val="1"/>
          <w:numId w:val="8"/>
        </w:numPr>
      </w:pPr>
      <w:r w:rsidRPr="0056217A">
        <w:t>At the time of the 1980 Housing Act which gave Council renters the right-to-b</w:t>
      </w:r>
      <w:r>
        <w:t xml:space="preserve">uy their homes, there were 84,249 </w:t>
      </w:r>
      <w:r w:rsidRPr="0056217A">
        <w:t xml:space="preserve">Council dwellings across </w:t>
      </w:r>
      <w:r>
        <w:t>County Durham</w:t>
      </w:r>
      <w:r w:rsidRPr="0056217A">
        <w:t xml:space="preserve">. </w:t>
      </w:r>
      <w:r>
        <w:t xml:space="preserve">Available CLG data indicates that upwards of 37,459 dwellings have been sold </w:t>
      </w:r>
      <w:r w:rsidRPr="0056217A">
        <w:t>under right to buy or prese</w:t>
      </w:r>
      <w:r>
        <w:t xml:space="preserve">rved right-to-buy, representing </w:t>
      </w:r>
      <w:r w:rsidRPr="00906501">
        <w:t>44.4</w:t>
      </w:r>
      <w:r w:rsidRPr="0056217A">
        <w:t>% of dwelling stock (this excludes stock transfers).  The level of sales has exacerbated the shortage of affordable a</w:t>
      </w:r>
      <w:r>
        <w:t>ccommodation across the area</w:t>
      </w:r>
      <w:r w:rsidRPr="0056217A">
        <w:t>.  More recently, the ability for renters to buy their homes has become more difficult as house prices have increased and therefore the price paid, after available discounts are taken into consideration, has increased too. However the Government has announced that discounts could increase.</w:t>
      </w:r>
    </w:p>
    <w:p w:rsidR="00F704B2" w:rsidRDefault="00F704B2" w:rsidP="00F704B2">
      <w:pPr>
        <w:rPr>
          <w:rFonts w:cs="Arial"/>
          <w:i/>
        </w:rPr>
      </w:pPr>
    </w:p>
    <w:p w:rsidR="00F704B2" w:rsidRPr="00E4608C" w:rsidRDefault="00F704B2" w:rsidP="00F704B2">
      <w:pPr>
        <w:pStyle w:val="Heading4"/>
        <w:ind w:left="0" w:firstLine="709"/>
      </w:pPr>
      <w:bookmarkStart w:id="251" w:name="_Toc225941575"/>
      <w:r w:rsidRPr="00E4608C">
        <w:t>Owner occupation: stock information</w:t>
      </w:r>
    </w:p>
    <w:p w:rsidR="00F704B2" w:rsidRPr="00E4608C" w:rsidRDefault="00F704B2" w:rsidP="00F704B2">
      <w:pPr>
        <w:pStyle w:val="Maintext"/>
        <w:numPr>
          <w:ilvl w:val="1"/>
          <w:numId w:val="8"/>
        </w:numPr>
        <w:rPr>
          <w:rFonts w:cs="Arial"/>
        </w:rPr>
      </w:pPr>
      <w:r w:rsidRPr="00E4608C">
        <w:t>The majority of households in County Durham (</w:t>
      </w:r>
      <w:r w:rsidR="00710B6E" w:rsidRPr="00E4608C">
        <w:t>146,010</w:t>
      </w:r>
      <w:r w:rsidRPr="00E4608C">
        <w:t xml:space="preserve">) are owner-occupiers; </w:t>
      </w:r>
      <w:r w:rsidR="00E4608C" w:rsidRPr="00E4608C">
        <w:t>35.5</w:t>
      </w:r>
      <w:r w:rsidRPr="00E4608C">
        <w:t>% own outright (</w:t>
      </w:r>
      <w:r w:rsidR="00710B6E" w:rsidRPr="00E4608C">
        <w:t>78,778</w:t>
      </w:r>
      <w:r w:rsidRPr="00E4608C">
        <w:t xml:space="preserve">) and </w:t>
      </w:r>
      <w:r w:rsidR="00E4608C" w:rsidRPr="00E4608C">
        <w:t>30.4</w:t>
      </w:r>
      <w:r w:rsidRPr="00E4608C">
        <w:t>% own with a mortgage (</w:t>
      </w:r>
      <w:r w:rsidR="00E4608C" w:rsidRPr="00E4608C">
        <w:t>67,232</w:t>
      </w:r>
      <w:r w:rsidRPr="00E4608C">
        <w:t>).  Table B15 provides a summary of a range of data associated with owner-occupied stock.</w:t>
      </w:r>
    </w:p>
    <w:p w:rsidR="00F704B2" w:rsidRPr="005A3B58" w:rsidRDefault="00F704B2" w:rsidP="00F704B2">
      <w:pPr>
        <w:spacing w:before="0"/>
        <w:ind w:left="993" w:hanging="284"/>
        <w:rPr>
          <w:rFonts w:cs="Arial"/>
          <w:b/>
          <w:iCs/>
          <w:highlight w:val="yellow"/>
        </w:rPr>
      </w:pPr>
      <w:r w:rsidRPr="005A3B58">
        <w:rPr>
          <w:rFonts w:cs="Arial"/>
          <w:b/>
          <w:iCs/>
          <w:highlight w:val="yellow"/>
        </w:rPr>
        <w:br w:type="page"/>
      </w:r>
    </w:p>
    <w:p w:rsidR="00F704B2" w:rsidRPr="00710B6E" w:rsidRDefault="00F704B2" w:rsidP="00F704B2">
      <w:pPr>
        <w:ind w:firstLine="709"/>
        <w:rPr>
          <w:rFonts w:cs="Arial"/>
          <w:iCs/>
        </w:rPr>
      </w:pPr>
      <w:r w:rsidRPr="00710B6E">
        <w:rPr>
          <w:rFonts w:cs="Arial"/>
          <w:b/>
          <w:iCs/>
        </w:rPr>
        <w:t>Table B15</w:t>
      </w:r>
      <w:r w:rsidRPr="00710B6E">
        <w:rPr>
          <w:rFonts w:cs="Arial"/>
          <w:b/>
          <w:iCs/>
        </w:rPr>
        <w:tab/>
      </w:r>
      <w:r w:rsidRPr="00710B6E">
        <w:rPr>
          <w:rFonts w:cs="Arial"/>
          <w:b/>
          <w:iCs/>
        </w:rPr>
        <w:tab/>
      </w:r>
      <w:r w:rsidRPr="00710B6E">
        <w:rPr>
          <w:rFonts w:cs="Arial"/>
          <w:iCs/>
        </w:rPr>
        <w:t>Attributes of owner-occupied stock</w:t>
      </w:r>
    </w:p>
    <w:tbl>
      <w:tblPr>
        <w:tblpPr w:leftFromText="180" w:rightFromText="180" w:vertAnchor="text" w:tblpY="1"/>
        <w:tblOverlap w:val="never"/>
        <w:tblW w:w="7620" w:type="dxa"/>
        <w:tblLook w:val="04A0" w:firstRow="1" w:lastRow="0" w:firstColumn="1" w:lastColumn="0" w:noHBand="0" w:noVBand="1"/>
      </w:tblPr>
      <w:tblGrid>
        <w:gridCol w:w="2460"/>
        <w:gridCol w:w="1260"/>
        <w:gridCol w:w="1360"/>
        <w:gridCol w:w="1280"/>
        <w:gridCol w:w="1260"/>
      </w:tblGrid>
      <w:tr w:rsidR="00F704B2" w:rsidRPr="00710B6E" w:rsidTr="00710B6E">
        <w:trPr>
          <w:trHeight w:val="1035"/>
        </w:trPr>
        <w:tc>
          <w:tcPr>
            <w:tcW w:w="246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710B6E" w:rsidRDefault="00F704B2" w:rsidP="00710B6E">
            <w:pPr>
              <w:spacing w:before="0" w:after="0"/>
              <w:rPr>
                <w:rFonts w:cs="Arial"/>
                <w:b/>
                <w:bCs/>
                <w:color w:val="FFFFFF"/>
                <w:sz w:val="20"/>
                <w:szCs w:val="20"/>
                <w:lang w:eastAsia="en-GB"/>
              </w:rPr>
            </w:pPr>
            <w:r w:rsidRPr="00710B6E">
              <w:rPr>
                <w:rFonts w:cs="Arial"/>
                <w:b/>
                <w:bCs/>
                <w:color w:val="FFFFFF"/>
                <w:sz w:val="20"/>
                <w:szCs w:val="20"/>
                <w:lang w:eastAsia="en-GB"/>
              </w:rPr>
              <w:t>Property Type</w:t>
            </w:r>
          </w:p>
        </w:tc>
        <w:tc>
          <w:tcPr>
            <w:tcW w:w="1260" w:type="dxa"/>
            <w:tcBorders>
              <w:top w:val="single" w:sz="4" w:space="0" w:color="auto"/>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(no mortgage) (%)</w:t>
            </w:r>
          </w:p>
        </w:tc>
        <w:tc>
          <w:tcPr>
            <w:tcW w:w="1360" w:type="dxa"/>
            <w:tcBorders>
              <w:top w:val="single" w:sz="4" w:space="0" w:color="auto"/>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(with mortgage) (%)</w:t>
            </w:r>
          </w:p>
        </w:tc>
        <w:tc>
          <w:tcPr>
            <w:tcW w:w="1280" w:type="dxa"/>
            <w:tcBorders>
              <w:top w:val="single" w:sz="4" w:space="0" w:color="auto"/>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Owner Occupied (%)</w:t>
            </w:r>
          </w:p>
        </w:tc>
        <w:tc>
          <w:tcPr>
            <w:tcW w:w="1260" w:type="dxa"/>
            <w:tcBorders>
              <w:top w:val="single" w:sz="4" w:space="0" w:color="auto"/>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Occupied Stock (%)</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Detached house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21.2</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25.7</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23.3</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17.8</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Semi-detached house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30.7</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37.8</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34.0</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31.8</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Terraced house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30.7</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30.0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30.4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29.7</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Bungalow</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15.0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5.1</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15.3</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Maisonette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0.2</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Flat/apartment</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1.7</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1.1</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1.5</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4.8</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Caravan/Park Home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0.3</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0.1</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0.1</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Other</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0.4</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0.2</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0.3</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0.3</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r>
      <w:tr w:rsidR="00F704B2" w:rsidRPr="00710B6E" w:rsidTr="00710B6E">
        <w:trPr>
          <w:trHeight w:val="765"/>
        </w:trPr>
        <w:tc>
          <w:tcPr>
            <w:tcW w:w="2460" w:type="dxa"/>
            <w:tcBorders>
              <w:top w:val="nil"/>
              <w:left w:val="single" w:sz="4" w:space="0" w:color="auto"/>
              <w:bottom w:val="single" w:sz="4" w:space="0" w:color="auto"/>
              <w:right w:val="single" w:sz="4" w:space="0" w:color="auto"/>
            </w:tcBorders>
            <w:shd w:val="clear" w:color="000000" w:fill="008080"/>
            <w:noWrap/>
            <w:vAlign w:val="bottom"/>
            <w:hideMark/>
          </w:tcPr>
          <w:p w:rsidR="00F704B2" w:rsidRPr="00710B6E" w:rsidRDefault="00F704B2" w:rsidP="00710B6E">
            <w:pPr>
              <w:spacing w:before="0" w:after="0"/>
              <w:rPr>
                <w:rFonts w:cs="Arial"/>
                <w:b/>
                <w:bCs/>
                <w:color w:val="FFFFFF"/>
                <w:sz w:val="20"/>
                <w:szCs w:val="20"/>
                <w:lang w:eastAsia="en-GB"/>
              </w:rPr>
            </w:pPr>
            <w:r w:rsidRPr="00710B6E">
              <w:rPr>
                <w:rFonts w:cs="Arial"/>
                <w:b/>
                <w:bCs/>
                <w:color w:val="FFFFFF"/>
                <w:sz w:val="20"/>
                <w:szCs w:val="20"/>
                <w:lang w:eastAsia="en-GB"/>
              </w:rPr>
              <w:t>No. Bedrooms</w:t>
            </w:r>
          </w:p>
        </w:tc>
        <w:tc>
          <w:tcPr>
            <w:tcW w:w="12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(no mortgage) (%)</w:t>
            </w:r>
          </w:p>
        </w:tc>
        <w:tc>
          <w:tcPr>
            <w:tcW w:w="13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(with mortgage) (%)</w:t>
            </w:r>
          </w:p>
        </w:tc>
        <w:tc>
          <w:tcPr>
            <w:tcW w:w="128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Owner Occupied (%)</w:t>
            </w:r>
          </w:p>
        </w:tc>
        <w:tc>
          <w:tcPr>
            <w:tcW w:w="12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Occupied Stock (%)</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One/studio</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0.9</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6.1</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Two</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30.3</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22.8</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26.8</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34.8</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Three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49.7</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52.0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50.8</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43.7</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Four</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15.7</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20.8</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18.0</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12.7</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Five or more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3.4</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3.4</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2.7</w:t>
            </w:r>
          </w:p>
        </w:tc>
      </w:tr>
      <w:tr w:rsidR="00F704B2"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710B6E" w:rsidRDefault="00F704B2" w:rsidP="00710B6E">
            <w:pPr>
              <w:spacing w:before="0" w:after="0"/>
              <w:rPr>
                <w:rFonts w:cs="Arial"/>
                <w:sz w:val="20"/>
                <w:szCs w:val="20"/>
                <w:lang w:eastAsia="en-GB"/>
              </w:rPr>
            </w:pPr>
            <w:r w:rsidRPr="00710B6E">
              <w:rPr>
                <w:rFonts w:cs="Arial"/>
                <w:sz w:val="20"/>
                <w:szCs w:val="20"/>
                <w:lang w:eastAsia="en-GB"/>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F704B2" w:rsidRPr="00710B6E" w:rsidRDefault="00F704B2" w:rsidP="00710B6E">
            <w:pPr>
              <w:spacing w:before="0" w:after="0"/>
              <w:jc w:val="center"/>
              <w:rPr>
                <w:rFonts w:cs="Arial"/>
                <w:sz w:val="20"/>
                <w:szCs w:val="20"/>
                <w:lang w:eastAsia="en-GB"/>
              </w:rPr>
            </w:pPr>
            <w:r w:rsidRPr="00710B6E">
              <w:rPr>
                <w:rFonts w:cs="Arial"/>
                <w:sz w:val="20"/>
                <w:szCs w:val="20"/>
                <w:lang w:eastAsia="en-GB"/>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F704B2" w:rsidRPr="00710B6E" w:rsidRDefault="00F704B2" w:rsidP="00710B6E">
            <w:pPr>
              <w:spacing w:before="0" w:after="0"/>
              <w:jc w:val="center"/>
              <w:rPr>
                <w:rFonts w:cs="Arial"/>
                <w:sz w:val="20"/>
                <w:szCs w:val="20"/>
                <w:lang w:eastAsia="en-GB"/>
              </w:rPr>
            </w:pPr>
            <w:r w:rsidRPr="00710B6E">
              <w:rPr>
                <w:rFonts w:cs="Arial"/>
                <w:sz w:val="20"/>
                <w:szCs w:val="20"/>
                <w:lang w:eastAsia="en-GB"/>
              </w:rPr>
              <w:t>100.0</w:t>
            </w:r>
          </w:p>
        </w:tc>
        <w:tc>
          <w:tcPr>
            <w:tcW w:w="1280" w:type="dxa"/>
            <w:tcBorders>
              <w:top w:val="nil"/>
              <w:left w:val="nil"/>
              <w:bottom w:val="single" w:sz="4" w:space="0" w:color="auto"/>
              <w:right w:val="single" w:sz="4" w:space="0" w:color="auto"/>
            </w:tcBorders>
            <w:shd w:val="clear" w:color="auto" w:fill="auto"/>
            <w:noWrap/>
            <w:vAlign w:val="bottom"/>
            <w:hideMark/>
          </w:tcPr>
          <w:p w:rsidR="00F704B2" w:rsidRPr="00710B6E" w:rsidRDefault="00F704B2" w:rsidP="00710B6E">
            <w:pPr>
              <w:spacing w:before="0" w:after="0"/>
              <w:jc w:val="center"/>
              <w:rPr>
                <w:rFonts w:cs="Arial"/>
                <w:sz w:val="20"/>
                <w:szCs w:val="20"/>
                <w:lang w:eastAsia="en-GB"/>
              </w:rPr>
            </w:pPr>
            <w:r w:rsidRPr="00710B6E">
              <w:rPr>
                <w:rFonts w:cs="Arial"/>
                <w:sz w:val="20"/>
                <w:szCs w:val="20"/>
                <w:lang w:eastAsia="en-GB"/>
              </w:rPr>
              <w:t>100.0</w:t>
            </w:r>
          </w:p>
        </w:tc>
        <w:tc>
          <w:tcPr>
            <w:tcW w:w="1260" w:type="dxa"/>
            <w:tcBorders>
              <w:top w:val="nil"/>
              <w:left w:val="nil"/>
              <w:bottom w:val="single" w:sz="4" w:space="0" w:color="auto"/>
              <w:right w:val="single" w:sz="4" w:space="0" w:color="auto"/>
            </w:tcBorders>
            <w:shd w:val="clear" w:color="auto" w:fill="auto"/>
            <w:noWrap/>
            <w:vAlign w:val="bottom"/>
            <w:hideMark/>
          </w:tcPr>
          <w:p w:rsidR="00F704B2" w:rsidRPr="00710B6E" w:rsidRDefault="00F704B2" w:rsidP="00710B6E">
            <w:pPr>
              <w:spacing w:before="0" w:after="0"/>
              <w:jc w:val="center"/>
              <w:rPr>
                <w:rFonts w:cs="Arial"/>
                <w:sz w:val="20"/>
                <w:szCs w:val="20"/>
                <w:lang w:eastAsia="en-GB"/>
              </w:rPr>
            </w:pPr>
            <w:r w:rsidRPr="00710B6E">
              <w:rPr>
                <w:rFonts w:cs="Arial"/>
                <w:sz w:val="20"/>
                <w:szCs w:val="20"/>
                <w:lang w:eastAsia="en-GB"/>
              </w:rPr>
              <w:t>100.0</w:t>
            </w:r>
          </w:p>
        </w:tc>
      </w:tr>
      <w:tr w:rsidR="00F704B2" w:rsidRPr="00710B6E" w:rsidTr="00710B6E">
        <w:trPr>
          <w:trHeight w:val="765"/>
        </w:trPr>
        <w:tc>
          <w:tcPr>
            <w:tcW w:w="2460" w:type="dxa"/>
            <w:tcBorders>
              <w:top w:val="nil"/>
              <w:left w:val="single" w:sz="4" w:space="0" w:color="auto"/>
              <w:bottom w:val="single" w:sz="4" w:space="0" w:color="auto"/>
              <w:right w:val="single" w:sz="4" w:space="0" w:color="auto"/>
            </w:tcBorders>
            <w:shd w:val="clear" w:color="000000" w:fill="008080"/>
            <w:noWrap/>
            <w:vAlign w:val="bottom"/>
            <w:hideMark/>
          </w:tcPr>
          <w:p w:rsidR="00F704B2" w:rsidRPr="00710B6E" w:rsidRDefault="00F704B2" w:rsidP="00710B6E">
            <w:pPr>
              <w:spacing w:before="0" w:after="0"/>
              <w:rPr>
                <w:rFonts w:cs="Arial"/>
                <w:b/>
                <w:bCs/>
                <w:color w:val="FFFFFF"/>
                <w:sz w:val="20"/>
                <w:szCs w:val="20"/>
                <w:lang w:eastAsia="en-GB"/>
              </w:rPr>
            </w:pPr>
            <w:r w:rsidRPr="00710B6E">
              <w:rPr>
                <w:rFonts w:cs="Arial"/>
                <w:b/>
                <w:bCs/>
                <w:color w:val="FFFFFF"/>
                <w:sz w:val="20"/>
                <w:szCs w:val="20"/>
                <w:lang w:eastAsia="en-GB"/>
              </w:rPr>
              <w:t>Property Age</w:t>
            </w:r>
          </w:p>
        </w:tc>
        <w:tc>
          <w:tcPr>
            <w:tcW w:w="12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(no mortgage) (%)</w:t>
            </w:r>
          </w:p>
        </w:tc>
        <w:tc>
          <w:tcPr>
            <w:tcW w:w="13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(with mortgage) (%)</w:t>
            </w:r>
          </w:p>
        </w:tc>
        <w:tc>
          <w:tcPr>
            <w:tcW w:w="128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Owner Occupied (%)</w:t>
            </w:r>
          </w:p>
        </w:tc>
        <w:tc>
          <w:tcPr>
            <w:tcW w:w="12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Occupied Stock (%)</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Pre 1919</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22.1</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18.5</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20.4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17.6</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1919-1944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17.4</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12.8</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15.3</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16.5</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1945-1964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18.8</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17.4</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18.2</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21.7</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1965-1984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26.0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20.1</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23.3</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23.1</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1985-2004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13.2</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21.7</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17.1</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14.9</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2005 onwards</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2.6</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9.5</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5.7</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6.3</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r>
      <w:tr w:rsidR="00F704B2" w:rsidRPr="00710B6E" w:rsidTr="00710B6E">
        <w:trPr>
          <w:trHeight w:val="765"/>
        </w:trPr>
        <w:tc>
          <w:tcPr>
            <w:tcW w:w="2460" w:type="dxa"/>
            <w:tcBorders>
              <w:top w:val="nil"/>
              <w:left w:val="single" w:sz="4" w:space="0" w:color="auto"/>
              <w:bottom w:val="single" w:sz="4" w:space="0" w:color="auto"/>
              <w:right w:val="single" w:sz="4" w:space="0" w:color="auto"/>
            </w:tcBorders>
            <w:shd w:val="clear" w:color="000000" w:fill="008080"/>
            <w:noWrap/>
            <w:vAlign w:val="bottom"/>
            <w:hideMark/>
          </w:tcPr>
          <w:p w:rsidR="00F704B2" w:rsidRPr="00710B6E" w:rsidRDefault="00F704B2" w:rsidP="00710B6E">
            <w:pPr>
              <w:spacing w:before="0" w:after="0"/>
              <w:rPr>
                <w:rFonts w:cs="Arial"/>
                <w:b/>
                <w:bCs/>
                <w:color w:val="FFFFFF"/>
                <w:sz w:val="20"/>
                <w:szCs w:val="20"/>
                <w:lang w:eastAsia="en-GB"/>
              </w:rPr>
            </w:pPr>
            <w:r w:rsidRPr="00710B6E">
              <w:rPr>
                <w:rFonts w:cs="Arial"/>
                <w:b/>
                <w:bCs/>
                <w:color w:val="FFFFFF"/>
                <w:sz w:val="20"/>
                <w:szCs w:val="20"/>
                <w:lang w:eastAsia="en-GB"/>
              </w:rPr>
              <w:t>Satisfaction with quality</w:t>
            </w:r>
          </w:p>
        </w:tc>
        <w:tc>
          <w:tcPr>
            <w:tcW w:w="12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(no mortgage) (%)</w:t>
            </w:r>
          </w:p>
        </w:tc>
        <w:tc>
          <w:tcPr>
            <w:tcW w:w="13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Owned (with mortgage) (%)</w:t>
            </w:r>
          </w:p>
        </w:tc>
        <w:tc>
          <w:tcPr>
            <w:tcW w:w="128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Owner Occupied (%)</w:t>
            </w:r>
          </w:p>
        </w:tc>
        <w:tc>
          <w:tcPr>
            <w:tcW w:w="1260" w:type="dxa"/>
            <w:tcBorders>
              <w:top w:val="nil"/>
              <w:left w:val="nil"/>
              <w:bottom w:val="single" w:sz="4" w:space="0" w:color="auto"/>
              <w:right w:val="single" w:sz="4" w:space="0" w:color="auto"/>
            </w:tcBorders>
            <w:shd w:val="clear" w:color="000000" w:fill="008080"/>
            <w:vAlign w:val="bottom"/>
            <w:hideMark/>
          </w:tcPr>
          <w:p w:rsidR="00F704B2" w:rsidRPr="00710B6E" w:rsidRDefault="00F704B2" w:rsidP="00710B6E">
            <w:pPr>
              <w:spacing w:before="0" w:after="0"/>
              <w:jc w:val="center"/>
              <w:rPr>
                <w:rFonts w:cs="Arial"/>
                <w:b/>
                <w:bCs/>
                <w:color w:val="FFFFFF"/>
                <w:sz w:val="20"/>
                <w:szCs w:val="20"/>
                <w:lang w:eastAsia="en-GB"/>
              </w:rPr>
            </w:pPr>
            <w:r w:rsidRPr="00710B6E">
              <w:rPr>
                <w:rFonts w:cs="Arial"/>
                <w:b/>
                <w:bCs/>
                <w:color w:val="FFFFFF"/>
                <w:sz w:val="20"/>
                <w:szCs w:val="20"/>
                <w:lang w:eastAsia="en-GB"/>
              </w:rPr>
              <w:t>All Occupied Stock (%)</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Very Satisfied</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69.5</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58.8</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64.6</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54.0</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Satisfied</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26.8</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34.5</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30.4</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35.0</w:t>
            </w:r>
          </w:p>
        </w:tc>
      </w:tr>
      <w:tr w:rsidR="00710B6E" w:rsidRPr="00710B6E" w:rsidTr="00710B6E">
        <w:trPr>
          <w:trHeight w:val="51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Neither satisfied nor dissatisfied</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4.2</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3.6</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6.9</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Dissatisfied</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0.5</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1.2</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3.2</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Very Dissatisfied</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0.2</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0.5</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0.3</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0.9</w:t>
            </w:r>
          </w:p>
        </w:tc>
      </w:tr>
      <w:tr w:rsidR="00710B6E" w:rsidRPr="00710B6E" w:rsidTr="00710B6E">
        <w:trPr>
          <w:trHeight w:val="2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100.0</w:t>
            </w:r>
          </w:p>
        </w:tc>
      </w:tr>
      <w:tr w:rsidR="00710B6E" w:rsidRPr="00710B6E" w:rsidTr="00710B6E">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10B6E" w:rsidRPr="00710B6E" w:rsidRDefault="00710B6E" w:rsidP="00710B6E">
            <w:pPr>
              <w:spacing w:before="0" w:after="0"/>
              <w:rPr>
                <w:rFonts w:cs="Arial"/>
                <w:sz w:val="20"/>
                <w:szCs w:val="20"/>
                <w:lang w:eastAsia="en-GB"/>
              </w:rPr>
            </w:pPr>
            <w:r w:rsidRPr="00710B6E">
              <w:rPr>
                <w:rFonts w:cs="Arial"/>
                <w:sz w:val="20"/>
                <w:szCs w:val="20"/>
                <w:lang w:eastAsia="en-GB"/>
              </w:rPr>
              <w:t>Base</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78778</w:t>
            </w:r>
          </w:p>
        </w:tc>
        <w:tc>
          <w:tcPr>
            <w:tcW w:w="13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67232</w:t>
            </w:r>
          </w:p>
        </w:tc>
        <w:tc>
          <w:tcPr>
            <w:tcW w:w="128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146010</w:t>
            </w:r>
          </w:p>
        </w:tc>
        <w:tc>
          <w:tcPr>
            <w:tcW w:w="1260" w:type="dxa"/>
            <w:tcBorders>
              <w:top w:val="nil"/>
              <w:left w:val="nil"/>
              <w:bottom w:val="single" w:sz="4" w:space="0" w:color="auto"/>
              <w:right w:val="single" w:sz="4" w:space="0" w:color="auto"/>
            </w:tcBorders>
            <w:shd w:val="clear" w:color="auto" w:fill="auto"/>
            <w:noWrap/>
            <w:vAlign w:val="bottom"/>
            <w:hideMark/>
          </w:tcPr>
          <w:p w:rsidR="00710B6E" w:rsidRDefault="00710B6E" w:rsidP="00710B6E">
            <w:pPr>
              <w:spacing w:before="0" w:after="0"/>
              <w:jc w:val="center"/>
              <w:rPr>
                <w:rFonts w:cs="Arial"/>
                <w:sz w:val="20"/>
                <w:szCs w:val="20"/>
              </w:rPr>
            </w:pPr>
            <w:r>
              <w:rPr>
                <w:rFonts w:cs="Arial"/>
                <w:sz w:val="20"/>
                <w:szCs w:val="20"/>
              </w:rPr>
              <w:t>221612</w:t>
            </w:r>
          </w:p>
        </w:tc>
      </w:tr>
    </w:tbl>
    <w:p w:rsidR="00F704B2" w:rsidRPr="00710B6E" w:rsidRDefault="00710B6E" w:rsidP="00F704B2">
      <w:pPr>
        <w:rPr>
          <w:rFonts w:cs="Arial"/>
          <w:iCs/>
          <w:sz w:val="20"/>
          <w:szCs w:val="20"/>
        </w:rPr>
      </w:pPr>
      <w:r w:rsidRPr="00710B6E">
        <w:rPr>
          <w:rFonts w:cs="Arial"/>
          <w:iCs/>
          <w:sz w:val="20"/>
          <w:szCs w:val="20"/>
        </w:rPr>
        <w:br w:type="textWrapping" w:clear="all"/>
      </w:r>
      <w:r w:rsidR="00F704B2" w:rsidRPr="00710B6E">
        <w:rPr>
          <w:rFonts w:cs="Arial"/>
          <w:iCs/>
          <w:sz w:val="20"/>
          <w:szCs w:val="20"/>
        </w:rPr>
        <w:t>Source: 2012 Household Survey</w:t>
      </w:r>
      <w:r>
        <w:rPr>
          <w:rFonts w:cs="Arial"/>
          <w:iCs/>
          <w:sz w:val="20"/>
          <w:szCs w:val="20"/>
        </w:rPr>
        <w:t xml:space="preserve"> rebased to 2011 Census</w:t>
      </w:r>
    </w:p>
    <w:p w:rsidR="00F704B2" w:rsidRPr="00710B6E" w:rsidRDefault="00F704B2" w:rsidP="00F704B2">
      <w:pPr>
        <w:pStyle w:val="Maintext"/>
        <w:numPr>
          <w:ilvl w:val="0"/>
          <w:numId w:val="0"/>
        </w:numPr>
        <w:rPr>
          <w:rFonts w:cs="Arial"/>
        </w:rPr>
      </w:pPr>
    </w:p>
    <w:p w:rsidR="00F704B2" w:rsidRPr="00E4608C" w:rsidRDefault="00F704B2" w:rsidP="00F704B2">
      <w:pPr>
        <w:pStyle w:val="Maintext"/>
        <w:numPr>
          <w:ilvl w:val="1"/>
          <w:numId w:val="8"/>
        </w:numPr>
        <w:rPr>
          <w:rFonts w:cs="Arial"/>
        </w:rPr>
      </w:pPr>
      <w:r w:rsidRPr="005A3B58">
        <w:rPr>
          <w:highlight w:val="yellow"/>
        </w:rPr>
        <w:br w:type="page"/>
      </w:r>
      <w:r w:rsidRPr="00E4608C">
        <w:t>Key observations include:</w:t>
      </w:r>
    </w:p>
    <w:p w:rsidR="00F704B2" w:rsidRPr="00E4608C" w:rsidRDefault="00F704B2" w:rsidP="00F704B2">
      <w:pPr>
        <w:pStyle w:val="Maintext"/>
        <w:numPr>
          <w:ilvl w:val="2"/>
          <w:numId w:val="10"/>
        </w:numPr>
        <w:rPr>
          <w:b/>
        </w:rPr>
      </w:pPr>
      <w:r w:rsidRPr="00E4608C">
        <w:t>Most owner-occupied properties are houses, with 34.</w:t>
      </w:r>
      <w:r w:rsidR="00E4608C" w:rsidRPr="00E4608C">
        <w:t>0</w:t>
      </w:r>
      <w:r w:rsidRPr="00E4608C">
        <w:t>% semi-detached, 3</w:t>
      </w:r>
      <w:r w:rsidR="00E4608C" w:rsidRPr="00E4608C">
        <w:t>0</w:t>
      </w:r>
      <w:r w:rsidRPr="00E4608C">
        <w:t>.4% terraced and 2</w:t>
      </w:r>
      <w:r w:rsidR="00E4608C" w:rsidRPr="00E4608C">
        <w:t>3</w:t>
      </w:r>
      <w:r w:rsidRPr="00E4608C">
        <w:t xml:space="preserve">.3% detached; a further </w:t>
      </w:r>
      <w:r w:rsidR="00E4608C" w:rsidRPr="00E4608C">
        <w:t>10.4</w:t>
      </w:r>
      <w:r w:rsidRPr="00E4608C">
        <w:t>% are bungalows, 1.5% flats/maisonettes and 0.</w:t>
      </w:r>
      <w:r w:rsidR="00E4608C" w:rsidRPr="00E4608C">
        <w:t>3</w:t>
      </w:r>
      <w:r w:rsidRPr="00E4608C">
        <w:t xml:space="preserve">% other property types; </w:t>
      </w:r>
    </w:p>
    <w:p w:rsidR="00F704B2" w:rsidRPr="00E4608C" w:rsidRDefault="00F704B2" w:rsidP="00F704B2">
      <w:pPr>
        <w:pStyle w:val="Maintext"/>
        <w:numPr>
          <w:ilvl w:val="2"/>
          <w:numId w:val="10"/>
        </w:numPr>
        <w:rPr>
          <w:b/>
        </w:rPr>
      </w:pPr>
      <w:r w:rsidRPr="00E4608C">
        <w:t>50.</w:t>
      </w:r>
      <w:r w:rsidR="00E4608C" w:rsidRPr="00E4608C">
        <w:t>8</w:t>
      </w:r>
      <w:r w:rsidRPr="00E4608C">
        <w:t xml:space="preserve">% of properties have three bedrooms, </w:t>
      </w:r>
      <w:r w:rsidR="00E4608C" w:rsidRPr="00E4608C">
        <w:t>21.4</w:t>
      </w:r>
      <w:r w:rsidRPr="00E4608C">
        <w:t xml:space="preserve">% have four or more bedrooms, </w:t>
      </w:r>
      <w:r w:rsidR="00E4608C" w:rsidRPr="00E4608C">
        <w:t>26.8</w:t>
      </w:r>
      <w:r w:rsidRPr="00E4608C">
        <w:t>% have two bedrooms and 0.9% have one bedroom;</w:t>
      </w:r>
    </w:p>
    <w:p w:rsidR="00F704B2" w:rsidRPr="00E4608C" w:rsidRDefault="00F704B2" w:rsidP="00F704B2">
      <w:pPr>
        <w:pStyle w:val="Maintext"/>
        <w:numPr>
          <w:ilvl w:val="2"/>
          <w:numId w:val="10"/>
        </w:numPr>
      </w:pPr>
      <w:r w:rsidRPr="00E4608C">
        <w:t>Around 20.</w:t>
      </w:r>
      <w:r w:rsidR="00E4608C" w:rsidRPr="00E4608C">
        <w:t>4</w:t>
      </w:r>
      <w:r w:rsidRPr="00E4608C">
        <w:t xml:space="preserve">% of owner-occupied stock was built pre-1919, </w:t>
      </w:r>
      <w:r w:rsidR="00E4608C" w:rsidRPr="00E4608C">
        <w:t>33.5</w:t>
      </w:r>
      <w:r w:rsidRPr="00E4608C">
        <w:t xml:space="preserve">% was built between 1919 and 1964; </w:t>
      </w:r>
      <w:r w:rsidR="00E4608C" w:rsidRPr="00E4608C">
        <w:t>23.3</w:t>
      </w:r>
      <w:r w:rsidRPr="00E4608C">
        <w:t xml:space="preserve">% was built between 1965 and 1984 and </w:t>
      </w:r>
      <w:r w:rsidR="00E4608C" w:rsidRPr="00E4608C">
        <w:t>22.8</w:t>
      </w:r>
      <w:r w:rsidRPr="00E4608C">
        <w:t xml:space="preserve">% has been built since 1985; </w:t>
      </w:r>
    </w:p>
    <w:p w:rsidR="00F704B2" w:rsidRPr="00E4608C" w:rsidRDefault="00E4608C" w:rsidP="00F704B2">
      <w:pPr>
        <w:pStyle w:val="Maintext"/>
        <w:numPr>
          <w:ilvl w:val="2"/>
          <w:numId w:val="10"/>
        </w:numPr>
      </w:pPr>
      <w:r w:rsidRPr="00E4608C">
        <w:t>95.0</w:t>
      </w:r>
      <w:r w:rsidR="00F704B2" w:rsidRPr="00E4608C">
        <w:t>% of owner-occupier households are satisfied or very satisfied with the quality of their accommodation, 3.</w:t>
      </w:r>
      <w:r w:rsidRPr="00E4608C">
        <w:t>6</w:t>
      </w:r>
      <w:r w:rsidR="00F704B2" w:rsidRPr="00E4608C">
        <w:t>% are neither satisfied nor dissatisfied and 1.</w:t>
      </w:r>
      <w:r w:rsidRPr="00E4608C">
        <w:t>5</w:t>
      </w:r>
      <w:r w:rsidR="00F704B2" w:rsidRPr="00E4608C">
        <w:t xml:space="preserve">% expressed degrees of dissatisfaction. </w:t>
      </w:r>
    </w:p>
    <w:p w:rsidR="00F704B2" w:rsidRPr="00E4608C" w:rsidRDefault="00F704B2" w:rsidP="00F704B2">
      <w:pPr>
        <w:rPr>
          <w:i/>
        </w:rPr>
      </w:pPr>
    </w:p>
    <w:p w:rsidR="00F704B2" w:rsidRPr="00A76821" w:rsidRDefault="00F704B2" w:rsidP="00F704B2">
      <w:pPr>
        <w:pStyle w:val="Heading4"/>
        <w:rPr>
          <w:iCs/>
        </w:rPr>
      </w:pPr>
      <w:r w:rsidRPr="00A76821">
        <w:t>Owner occupation: household characteristics</w:t>
      </w:r>
    </w:p>
    <w:p w:rsidR="00F704B2" w:rsidRPr="00A76821" w:rsidRDefault="00F704B2" w:rsidP="00F704B2">
      <w:pPr>
        <w:pStyle w:val="Maintext"/>
        <w:numPr>
          <w:ilvl w:val="1"/>
          <w:numId w:val="8"/>
        </w:numPr>
        <w:rPr>
          <w:rFonts w:cs="Arial"/>
          <w:iCs/>
        </w:rPr>
      </w:pPr>
      <w:r w:rsidRPr="00A76821">
        <w:t>A range of socio-economic and demographic information on residents has been obtained from the household survey.  Some interesting observations relating to owner-occupiers include:</w:t>
      </w:r>
    </w:p>
    <w:p w:rsidR="00F704B2" w:rsidRPr="00A76821" w:rsidRDefault="00F704B2" w:rsidP="00F704B2">
      <w:pPr>
        <w:pStyle w:val="Maintext"/>
        <w:numPr>
          <w:ilvl w:val="2"/>
          <w:numId w:val="8"/>
        </w:numPr>
      </w:pPr>
      <w:r w:rsidRPr="00A76821">
        <w:t xml:space="preserve">In terms of household type, </w:t>
      </w:r>
      <w:r w:rsidR="00A76821" w:rsidRPr="00A76821">
        <w:t>28.0</w:t>
      </w:r>
      <w:r w:rsidRPr="00A76821">
        <w:t xml:space="preserve">% of owner occupiers are couples with children, </w:t>
      </w:r>
      <w:r w:rsidR="00A76821" w:rsidRPr="00A76821">
        <w:t>41.9</w:t>
      </w:r>
      <w:r w:rsidRPr="00A76821">
        <w:t xml:space="preserve">% are older (60 or over) singles and couples, </w:t>
      </w:r>
      <w:r w:rsidR="00A76821" w:rsidRPr="00A76821">
        <w:t>14.6</w:t>
      </w:r>
      <w:r w:rsidRPr="00A76821">
        <w:t xml:space="preserve">% are couples (under 60 with no children), </w:t>
      </w:r>
      <w:r w:rsidR="00A76821" w:rsidRPr="00A76821">
        <w:t>9.0</w:t>
      </w:r>
      <w:r w:rsidRPr="00A76821">
        <w:t xml:space="preserve">% are singles, </w:t>
      </w:r>
      <w:r w:rsidR="00A76821" w:rsidRPr="00A76821">
        <w:t>4.4</w:t>
      </w:r>
      <w:r w:rsidRPr="00A76821">
        <w:t>% are lone parents and 2</w:t>
      </w:r>
      <w:r w:rsidR="00A76821" w:rsidRPr="00A76821">
        <w:t>.1</w:t>
      </w:r>
      <w:r w:rsidRPr="00A76821">
        <w:t>% are other household types;</w:t>
      </w:r>
    </w:p>
    <w:p w:rsidR="00F704B2" w:rsidRPr="00A76821" w:rsidRDefault="00F704B2" w:rsidP="00F704B2">
      <w:pPr>
        <w:pStyle w:val="Maintext"/>
        <w:numPr>
          <w:ilvl w:val="2"/>
          <w:numId w:val="8"/>
        </w:numPr>
      </w:pPr>
      <w:r w:rsidRPr="00A76821">
        <w:t>The majority of Household Reference People (Heads of Household) living in owner occupied dwellings are in employment (</w:t>
      </w:r>
      <w:r w:rsidR="00A76821" w:rsidRPr="00A76821">
        <w:t>55.9</w:t>
      </w:r>
      <w:r w:rsidRPr="00A76821">
        <w:t xml:space="preserve">%) and a further </w:t>
      </w:r>
      <w:r w:rsidR="00A76821" w:rsidRPr="00A76821">
        <w:t>35.0</w:t>
      </w:r>
      <w:r w:rsidRPr="00A76821">
        <w:t>% are wholly retired from work. The proportion retired is considerably higher for outright owners (</w:t>
      </w:r>
      <w:r w:rsidR="00A76821" w:rsidRPr="00A76821">
        <w:t>59.8</w:t>
      </w:r>
      <w:r w:rsidRPr="00A76821">
        <w:t>%);</w:t>
      </w:r>
    </w:p>
    <w:p w:rsidR="00F704B2" w:rsidRPr="00A76821" w:rsidRDefault="00F704B2" w:rsidP="00F704B2">
      <w:pPr>
        <w:pStyle w:val="Maintext"/>
        <w:numPr>
          <w:ilvl w:val="2"/>
          <w:numId w:val="8"/>
        </w:numPr>
      </w:pPr>
      <w:r w:rsidRPr="00A76821">
        <w:t xml:space="preserve">Incomes amongst owner occupiers tend to be high, with </w:t>
      </w:r>
      <w:r w:rsidR="00A76821" w:rsidRPr="00A76821">
        <w:t>45.0</w:t>
      </w:r>
      <w:r w:rsidRPr="00A76821">
        <w:t xml:space="preserve">% receiving at least £500 each week. That said, incomes amongst outright owners tend to be lower than for mortgaged owners, with </w:t>
      </w:r>
      <w:r w:rsidR="00A76821" w:rsidRPr="00A76821">
        <w:t>42.8</w:t>
      </w:r>
      <w:r w:rsidRPr="00A76821">
        <w:t xml:space="preserve">% receiving less than £300 each week compared with </w:t>
      </w:r>
      <w:r w:rsidR="00A76821" w:rsidRPr="00A76821">
        <w:t>16.2</w:t>
      </w:r>
      <w:r w:rsidRPr="00A76821">
        <w:t>% of mortgaged owners. This reflects the different age profile and economic status of outright owners;</w:t>
      </w:r>
    </w:p>
    <w:p w:rsidR="00F704B2" w:rsidRPr="00A76821" w:rsidRDefault="00F704B2" w:rsidP="00F704B2">
      <w:pPr>
        <w:pStyle w:val="Maintext"/>
        <w:numPr>
          <w:ilvl w:val="2"/>
          <w:numId w:val="8"/>
        </w:numPr>
      </w:pPr>
      <w:r w:rsidRPr="00A76821">
        <w:t xml:space="preserve">In terms of length of residency, </w:t>
      </w:r>
      <w:r w:rsidR="00A76821" w:rsidRPr="00A76821">
        <w:t>42.5</w:t>
      </w:r>
      <w:r w:rsidRPr="00A76821">
        <w:t>% of owner occupiers have lived in the same property for 20 years or more;</w:t>
      </w:r>
    </w:p>
    <w:p w:rsidR="00F704B2" w:rsidRPr="0018673F" w:rsidRDefault="00F704B2" w:rsidP="00F704B2">
      <w:pPr>
        <w:pStyle w:val="Heading4"/>
      </w:pPr>
    </w:p>
    <w:p w:rsidR="00F704B2" w:rsidRPr="0018673F" w:rsidRDefault="00F704B2" w:rsidP="00F704B2">
      <w:pPr>
        <w:pStyle w:val="Heading4"/>
      </w:pPr>
      <w:r w:rsidRPr="0018673F">
        <w:t>Affordable housing: stock information</w:t>
      </w:r>
    </w:p>
    <w:p w:rsidR="00F704B2" w:rsidRPr="0018673F" w:rsidRDefault="00F704B2" w:rsidP="00F704B2">
      <w:pPr>
        <w:pStyle w:val="Maintext"/>
        <w:numPr>
          <w:ilvl w:val="1"/>
          <w:numId w:val="8"/>
        </w:numPr>
        <w:rPr>
          <w:rFonts w:cs="Arial"/>
        </w:rPr>
      </w:pPr>
      <w:r w:rsidRPr="0018673F">
        <w:t xml:space="preserve">Affordable housing comprises Housing Association and other social rented accommodations and intermediate tenure dwellings and accounts for </w:t>
      </w:r>
      <w:r w:rsidR="0018673F" w:rsidRPr="0018673F">
        <w:t>44,766</w:t>
      </w:r>
      <w:r w:rsidRPr="0018673F">
        <w:t xml:space="preserve"> (</w:t>
      </w:r>
      <w:r w:rsidR="0018673F" w:rsidRPr="0018673F">
        <w:t>20.2</w:t>
      </w:r>
      <w:r w:rsidRPr="0018673F">
        <w:t>%) of all occupied dwellings.  Intermediate housing is defined in the NPPF as ‘homes for sale and rent provided at a cost above social rent, but below market levels’</w:t>
      </w:r>
      <w:r w:rsidRPr="0018673F">
        <w:rPr>
          <w:rFonts w:cs="Arial"/>
        </w:rPr>
        <w:t xml:space="preserve">. </w:t>
      </w:r>
      <w:r w:rsidRPr="0018673F">
        <w:t>Intermediate tenure includes shared equity products (e.g. Homebuy), discounted for sale houses etc.  Observations relating to affordable housing based on the household survey are presented in Table B16.  This shows:</w:t>
      </w:r>
      <w:r w:rsidRPr="0018673F">
        <w:rPr>
          <w:rFonts w:cs="Arial"/>
        </w:rPr>
        <w:t xml:space="preserve"> </w:t>
      </w:r>
    </w:p>
    <w:p w:rsidR="00F704B2" w:rsidRPr="00AD6643" w:rsidRDefault="00F704B2" w:rsidP="00F704B2">
      <w:pPr>
        <w:pStyle w:val="Maintext"/>
        <w:numPr>
          <w:ilvl w:val="2"/>
          <w:numId w:val="8"/>
        </w:numPr>
      </w:pPr>
      <w:r w:rsidRPr="00AD6643">
        <w:t xml:space="preserve">Houses account for </w:t>
      </w:r>
      <w:r w:rsidR="00AD6643" w:rsidRPr="00AD6643">
        <w:t>51.1</w:t>
      </w:r>
      <w:r w:rsidRPr="00AD6643">
        <w:t>% of occupied affordable dwelling stock, 3</w:t>
      </w:r>
      <w:r w:rsidR="00AD6643" w:rsidRPr="00AD6643">
        <w:t>7.8</w:t>
      </w:r>
      <w:r w:rsidRPr="00AD6643">
        <w:t>% are bungalows and 1</w:t>
      </w:r>
      <w:r w:rsidR="00AD6643" w:rsidRPr="00AD6643">
        <w:t>0.7</w:t>
      </w:r>
      <w:r w:rsidRPr="00AD6643">
        <w:t>% are flats/apartments/maisonettes. Affordable dwellings tend to have one (</w:t>
      </w:r>
      <w:r w:rsidR="00AD6643" w:rsidRPr="00AD6643">
        <w:t>23.0</w:t>
      </w:r>
      <w:r w:rsidRPr="00AD6643">
        <w:t>%), two (</w:t>
      </w:r>
      <w:r w:rsidR="00AD6643" w:rsidRPr="00AD6643">
        <w:t>51.8</w:t>
      </w:r>
      <w:r w:rsidRPr="00AD6643">
        <w:t>%) or three (</w:t>
      </w:r>
      <w:r w:rsidR="00AD6643" w:rsidRPr="00AD6643">
        <w:t>24.3</w:t>
      </w:r>
      <w:r w:rsidRPr="00AD6643">
        <w:t>%) bedrooms, with a further 0.</w:t>
      </w:r>
      <w:r w:rsidR="00AD6643" w:rsidRPr="00AD6643">
        <w:t>9</w:t>
      </w:r>
      <w:r w:rsidRPr="00AD6643">
        <w:t xml:space="preserve">% having four or more bedrooms; </w:t>
      </w:r>
    </w:p>
    <w:p w:rsidR="00F704B2" w:rsidRPr="00AD6643" w:rsidRDefault="00F704B2" w:rsidP="00F704B2">
      <w:pPr>
        <w:pStyle w:val="Maintext"/>
        <w:numPr>
          <w:ilvl w:val="2"/>
          <w:numId w:val="8"/>
        </w:numPr>
      </w:pPr>
      <w:r w:rsidRPr="00AD6643">
        <w:t>Most affordable homes have been built since 1945,</w:t>
      </w:r>
      <w:r w:rsidR="00AD6643" w:rsidRPr="00AD6643">
        <w:t xml:space="preserve"> </w:t>
      </w:r>
      <w:r w:rsidRPr="00AD6643">
        <w:t xml:space="preserve">with </w:t>
      </w:r>
      <w:r w:rsidR="00AD6643" w:rsidRPr="00AD6643">
        <w:t>63.7</w:t>
      </w:r>
      <w:r w:rsidRPr="00AD6643">
        <w:t>% built between 1945 and 1984, with a further 13.</w:t>
      </w:r>
      <w:r w:rsidR="00AD6643" w:rsidRPr="00AD6643">
        <w:t>0</w:t>
      </w:r>
      <w:r w:rsidRPr="00AD6643">
        <w:t>% built since 1984;</w:t>
      </w:r>
    </w:p>
    <w:p w:rsidR="00F704B2" w:rsidRPr="00AD6643" w:rsidRDefault="00AD6643" w:rsidP="00F704B2">
      <w:pPr>
        <w:pStyle w:val="Maintext"/>
        <w:numPr>
          <w:ilvl w:val="2"/>
          <w:numId w:val="8"/>
        </w:numPr>
      </w:pPr>
      <w:r w:rsidRPr="00AD6643">
        <w:t>80.0</w:t>
      </w:r>
      <w:r w:rsidR="00F704B2" w:rsidRPr="00AD6643">
        <w:t xml:space="preserve">% of </w:t>
      </w:r>
      <w:r w:rsidRPr="00AD6643">
        <w:t xml:space="preserve">households stated </w:t>
      </w:r>
      <w:r w:rsidR="00F704B2" w:rsidRPr="00AD6643">
        <w:t>they were satisfied or very satisfied with the quality of their dwelling and 7.</w:t>
      </w:r>
      <w:r w:rsidRPr="00AD6643">
        <w:t>7</w:t>
      </w:r>
      <w:r w:rsidR="00F704B2" w:rsidRPr="00AD6643">
        <w:t>% expressed degrees of dissatisfaction.</w:t>
      </w:r>
    </w:p>
    <w:p w:rsidR="00F704B2" w:rsidRPr="00AD6643" w:rsidRDefault="00F704B2" w:rsidP="00F704B2">
      <w:pPr>
        <w:pStyle w:val="Heading4"/>
      </w:pPr>
    </w:p>
    <w:p w:rsidR="00F704B2" w:rsidRPr="00AD6643" w:rsidRDefault="00F704B2" w:rsidP="00F704B2">
      <w:pPr>
        <w:pStyle w:val="Heading4"/>
      </w:pPr>
      <w:r w:rsidRPr="00AD6643">
        <w:t>Affordable housing: household characteristics</w:t>
      </w:r>
    </w:p>
    <w:p w:rsidR="00F704B2" w:rsidRPr="00AD6643" w:rsidRDefault="00F704B2" w:rsidP="00F704B2">
      <w:pPr>
        <w:pStyle w:val="Maintext"/>
        <w:numPr>
          <w:ilvl w:val="1"/>
          <w:numId w:val="8"/>
        </w:numPr>
        <w:rPr>
          <w:iCs/>
        </w:rPr>
      </w:pPr>
      <w:r w:rsidRPr="00AD6643">
        <w:t>Key observations relating to the characteristics of households living in affordable dwellings:</w:t>
      </w:r>
    </w:p>
    <w:p w:rsidR="00F704B2" w:rsidRPr="00A9728A" w:rsidRDefault="00F704B2" w:rsidP="00F704B2">
      <w:pPr>
        <w:pStyle w:val="Maintext"/>
        <w:numPr>
          <w:ilvl w:val="2"/>
          <w:numId w:val="8"/>
        </w:numPr>
        <w:spacing w:before="240"/>
        <w:rPr>
          <w:rFonts w:cs="Arial"/>
          <w:iCs/>
        </w:rPr>
      </w:pPr>
      <w:r w:rsidRPr="00AD6643">
        <w:t xml:space="preserve">A variety of household types live in affordable housing: </w:t>
      </w:r>
      <w:r w:rsidR="00AD6643" w:rsidRPr="00AD6643">
        <w:t>51.8</w:t>
      </w:r>
      <w:r w:rsidRPr="00AD6643">
        <w:t xml:space="preserve">% are older singles and couples, a further </w:t>
      </w:r>
      <w:r w:rsidR="00AD6643" w:rsidRPr="00AD6643">
        <w:t>11.1</w:t>
      </w:r>
      <w:r w:rsidRPr="00AD6643">
        <w:t xml:space="preserve">% are couples with children, </w:t>
      </w:r>
      <w:r w:rsidR="00AD6643" w:rsidRPr="00AD6643">
        <w:t>18.1</w:t>
      </w:r>
      <w:r w:rsidRPr="00AD6643">
        <w:t xml:space="preserve">% are singles, </w:t>
      </w:r>
      <w:r w:rsidR="00AD6643" w:rsidRPr="00AD6643">
        <w:t>11.7% are lone parents, 5.3</w:t>
      </w:r>
      <w:r w:rsidRPr="00AD6643">
        <w:t xml:space="preserve">% are couples with no children and </w:t>
      </w:r>
      <w:r w:rsidR="00AD6643" w:rsidRPr="00AD6643">
        <w:t>2.0</w:t>
      </w:r>
      <w:r w:rsidRPr="00AD6643">
        <w:t xml:space="preserve">% </w:t>
      </w:r>
      <w:r w:rsidRPr="00A9728A">
        <w:t>are other types of household;</w:t>
      </w:r>
    </w:p>
    <w:p w:rsidR="00F704B2" w:rsidRPr="00A9728A" w:rsidRDefault="00AD6643" w:rsidP="00F704B2">
      <w:pPr>
        <w:pStyle w:val="Maintext"/>
        <w:numPr>
          <w:ilvl w:val="2"/>
          <w:numId w:val="8"/>
        </w:numPr>
      </w:pPr>
      <w:r w:rsidRPr="00A9728A">
        <w:t>21.5</w:t>
      </w:r>
      <w:r w:rsidR="00F704B2" w:rsidRPr="00A9728A">
        <w:t xml:space="preserve">% of Household Reference People (Heads of Household) living in affordable housing are in employment. A further </w:t>
      </w:r>
      <w:r w:rsidRPr="00A9728A">
        <w:t>38.3</w:t>
      </w:r>
      <w:r w:rsidR="00F704B2" w:rsidRPr="00A9728A">
        <w:t>% are wholly retired from work, 23.</w:t>
      </w:r>
      <w:r w:rsidRPr="00A9728A">
        <w:t>8</w:t>
      </w:r>
      <w:r w:rsidR="00F704B2" w:rsidRPr="00A9728A">
        <w:t xml:space="preserve">% are permanently sick/disabled, </w:t>
      </w:r>
      <w:r w:rsidR="00A9728A" w:rsidRPr="00A9728A">
        <w:t>7.7</w:t>
      </w:r>
      <w:r w:rsidR="00F704B2" w:rsidRPr="00A9728A">
        <w:t xml:space="preserve">% are unemployed, </w:t>
      </w:r>
      <w:r w:rsidR="00A9728A" w:rsidRPr="00A9728A">
        <w:t>7.6</w:t>
      </w:r>
      <w:r w:rsidR="00F704B2" w:rsidRPr="00A9728A">
        <w:t>% are looking after the home/a full-time carer or volunteer and 1.</w:t>
      </w:r>
      <w:r w:rsidR="00A9728A" w:rsidRPr="00A9728A">
        <w:t>1</w:t>
      </w:r>
      <w:r w:rsidR="00F704B2" w:rsidRPr="00A9728A">
        <w:t>% are in full-time education/training</w:t>
      </w:r>
      <w:r w:rsidR="00A9728A" w:rsidRPr="00A9728A">
        <w:t>;</w:t>
      </w:r>
    </w:p>
    <w:p w:rsidR="00F704B2" w:rsidRPr="00A9728A" w:rsidRDefault="00F704B2" w:rsidP="00F704B2">
      <w:pPr>
        <w:pStyle w:val="Maintext"/>
        <w:numPr>
          <w:ilvl w:val="2"/>
          <w:numId w:val="8"/>
        </w:numPr>
        <w:rPr>
          <w:rFonts w:cs="Arial"/>
        </w:rPr>
      </w:pPr>
      <w:r w:rsidRPr="00A9728A">
        <w:t xml:space="preserve">Incomes are generally low, with </w:t>
      </w:r>
      <w:r w:rsidR="00A9728A" w:rsidRPr="00A9728A">
        <w:t>84.6</w:t>
      </w:r>
      <w:r w:rsidRPr="00A9728A">
        <w:t xml:space="preserve">% receiving an income of less than £300 gross each week and </w:t>
      </w:r>
      <w:r w:rsidR="00A9728A" w:rsidRPr="00A9728A">
        <w:t>39.4</w:t>
      </w:r>
      <w:r w:rsidRPr="00A9728A">
        <w:t>% receiving less than £150 gross each week</w:t>
      </w:r>
      <w:r w:rsidR="00A9728A" w:rsidRPr="00A9728A">
        <w:t>.</w:t>
      </w:r>
    </w:p>
    <w:p w:rsidR="00F704B2" w:rsidRPr="00A9728A" w:rsidRDefault="00F704B2" w:rsidP="00F704B2">
      <w:pPr>
        <w:rPr>
          <w:rFonts w:cs="Arial"/>
          <w:b/>
          <w:i/>
        </w:rPr>
      </w:pPr>
    </w:p>
    <w:p w:rsidR="00F704B2" w:rsidRPr="005A3B58" w:rsidRDefault="00F704B2" w:rsidP="00F704B2">
      <w:pPr>
        <w:rPr>
          <w:rFonts w:cs="Arial"/>
          <w:b/>
          <w:iCs/>
          <w:highlight w:val="yellow"/>
        </w:rPr>
      </w:pPr>
    </w:p>
    <w:p w:rsidR="00F704B2" w:rsidRPr="005A3B58" w:rsidRDefault="00F704B2" w:rsidP="00F704B2">
      <w:pPr>
        <w:spacing w:before="0"/>
        <w:ind w:left="993" w:hanging="284"/>
        <w:rPr>
          <w:rFonts w:cs="Arial"/>
          <w:b/>
          <w:iCs/>
          <w:highlight w:val="yellow"/>
        </w:rPr>
      </w:pPr>
      <w:r w:rsidRPr="005A3B58">
        <w:rPr>
          <w:rFonts w:cs="Arial"/>
          <w:b/>
          <w:iCs/>
          <w:highlight w:val="yellow"/>
        </w:rPr>
        <w:br w:type="page"/>
      </w:r>
    </w:p>
    <w:p w:rsidR="00F704B2" w:rsidRPr="005A3B58" w:rsidRDefault="00F704B2" w:rsidP="00F704B2">
      <w:pPr>
        <w:rPr>
          <w:rFonts w:cs="Arial"/>
          <w:b/>
          <w:iCs/>
          <w:highlight w:val="yellow"/>
        </w:rPr>
      </w:pPr>
    </w:p>
    <w:p w:rsidR="00F704B2" w:rsidRPr="0018673F" w:rsidRDefault="00F704B2" w:rsidP="00F704B2">
      <w:pPr>
        <w:rPr>
          <w:rFonts w:cs="Arial"/>
          <w:iCs/>
        </w:rPr>
      </w:pPr>
      <w:r w:rsidRPr="0018673F">
        <w:rPr>
          <w:rFonts w:cs="Arial"/>
          <w:b/>
          <w:iCs/>
        </w:rPr>
        <w:t>Table B16</w:t>
      </w:r>
      <w:r w:rsidRPr="0018673F">
        <w:rPr>
          <w:rFonts w:cs="Arial"/>
          <w:iCs/>
        </w:rPr>
        <w:tab/>
        <w:t>Attributes of affordable dwelling stock</w:t>
      </w:r>
    </w:p>
    <w:tbl>
      <w:tblPr>
        <w:tblW w:w="5800" w:type="dxa"/>
        <w:tblInd w:w="103" w:type="dxa"/>
        <w:tblLook w:val="04A0" w:firstRow="1" w:lastRow="0" w:firstColumn="1" w:lastColumn="0" w:noHBand="0" w:noVBand="1"/>
      </w:tblPr>
      <w:tblGrid>
        <w:gridCol w:w="2720"/>
        <w:gridCol w:w="1420"/>
        <w:gridCol w:w="1660"/>
      </w:tblGrid>
      <w:tr w:rsidR="006A62B3" w:rsidRPr="0018673F" w:rsidTr="006A62B3">
        <w:trPr>
          <w:trHeight w:val="510"/>
        </w:trPr>
        <w:tc>
          <w:tcPr>
            <w:tcW w:w="272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6A62B3" w:rsidRPr="0018673F" w:rsidRDefault="006A62B3" w:rsidP="006A62B3">
            <w:pPr>
              <w:spacing w:before="0" w:after="0"/>
              <w:rPr>
                <w:rFonts w:cs="Arial"/>
                <w:b/>
                <w:bCs/>
                <w:color w:val="FFFFFF"/>
                <w:sz w:val="20"/>
                <w:szCs w:val="20"/>
                <w:lang w:eastAsia="en-GB"/>
              </w:rPr>
            </w:pPr>
            <w:r w:rsidRPr="0018673F">
              <w:rPr>
                <w:rFonts w:cs="Arial"/>
                <w:b/>
                <w:bCs/>
                <w:color w:val="FFFFFF"/>
                <w:sz w:val="20"/>
                <w:szCs w:val="20"/>
                <w:lang w:eastAsia="en-GB"/>
              </w:rPr>
              <w:t>Property Type</w:t>
            </w:r>
          </w:p>
        </w:tc>
        <w:tc>
          <w:tcPr>
            <w:tcW w:w="1420" w:type="dxa"/>
            <w:tcBorders>
              <w:top w:val="single" w:sz="4" w:space="0" w:color="auto"/>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Affordable (%)</w:t>
            </w:r>
          </w:p>
        </w:tc>
        <w:tc>
          <w:tcPr>
            <w:tcW w:w="1660" w:type="dxa"/>
            <w:tcBorders>
              <w:top w:val="single" w:sz="4" w:space="0" w:color="auto"/>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Occupied Stock (%)</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Detached house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2.5</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17.8</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Semi-detached house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30.0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31.8</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Terraced house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18.6</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29.7</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Bungalow</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37.8</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15.3</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Maisonette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0.2</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Flat/apartment</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9.7</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4.8</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Caravan/Park Home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0.1</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Other</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0.4</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0.3</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100.0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100.0</w:t>
            </w:r>
          </w:p>
        </w:tc>
      </w:tr>
      <w:tr w:rsidR="006A62B3" w:rsidRPr="0018673F" w:rsidTr="006A62B3">
        <w:trPr>
          <w:trHeight w:val="510"/>
        </w:trPr>
        <w:tc>
          <w:tcPr>
            <w:tcW w:w="2720" w:type="dxa"/>
            <w:tcBorders>
              <w:top w:val="nil"/>
              <w:left w:val="single" w:sz="4" w:space="0" w:color="auto"/>
              <w:bottom w:val="single" w:sz="4" w:space="0" w:color="auto"/>
              <w:right w:val="single" w:sz="4" w:space="0" w:color="auto"/>
            </w:tcBorders>
            <w:shd w:val="clear" w:color="000000" w:fill="008080"/>
            <w:noWrap/>
            <w:vAlign w:val="bottom"/>
            <w:hideMark/>
          </w:tcPr>
          <w:p w:rsidR="006A62B3" w:rsidRPr="0018673F" w:rsidRDefault="006A62B3" w:rsidP="006A62B3">
            <w:pPr>
              <w:spacing w:before="0" w:after="0"/>
              <w:rPr>
                <w:rFonts w:cs="Arial"/>
                <w:b/>
                <w:bCs/>
                <w:color w:val="FFFFFF"/>
                <w:sz w:val="20"/>
                <w:szCs w:val="20"/>
                <w:lang w:eastAsia="en-GB"/>
              </w:rPr>
            </w:pPr>
            <w:r w:rsidRPr="0018673F">
              <w:rPr>
                <w:rFonts w:cs="Arial"/>
                <w:b/>
                <w:bCs/>
                <w:color w:val="FFFFFF"/>
                <w:sz w:val="20"/>
                <w:szCs w:val="20"/>
                <w:lang w:eastAsia="en-GB"/>
              </w:rPr>
              <w:t>No. Bedrooms</w:t>
            </w:r>
          </w:p>
        </w:tc>
        <w:tc>
          <w:tcPr>
            <w:tcW w:w="1420" w:type="dxa"/>
            <w:tcBorders>
              <w:top w:val="nil"/>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Affordable (%)</w:t>
            </w:r>
          </w:p>
        </w:tc>
        <w:tc>
          <w:tcPr>
            <w:tcW w:w="1660" w:type="dxa"/>
            <w:tcBorders>
              <w:top w:val="nil"/>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Occupied Stock (%)</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One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23.0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6.1</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Two</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51.8</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34.8</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Three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24.3</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43.7</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Four</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0.4</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12.7</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Five or more</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0.5</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2.7</w:t>
            </w:r>
          </w:p>
        </w:tc>
      </w:tr>
      <w:tr w:rsidR="006A62B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A62B3" w:rsidRPr="0018673F" w:rsidRDefault="006A62B3" w:rsidP="006A62B3">
            <w:pPr>
              <w:spacing w:before="0" w:after="0"/>
              <w:rPr>
                <w:rFonts w:cs="Arial"/>
                <w:sz w:val="20"/>
                <w:szCs w:val="20"/>
                <w:lang w:eastAsia="en-GB"/>
              </w:rPr>
            </w:pPr>
            <w:r w:rsidRPr="0018673F">
              <w:rPr>
                <w:rFonts w:cs="Arial"/>
                <w:sz w:val="20"/>
                <w:szCs w:val="20"/>
                <w:lang w:eastAsia="en-GB"/>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6A62B3" w:rsidRPr="0018673F" w:rsidRDefault="006A62B3" w:rsidP="006A62B3">
            <w:pPr>
              <w:spacing w:before="0" w:after="0"/>
              <w:jc w:val="center"/>
              <w:rPr>
                <w:rFonts w:cs="Arial"/>
                <w:sz w:val="20"/>
                <w:szCs w:val="20"/>
                <w:lang w:eastAsia="en-GB"/>
              </w:rPr>
            </w:pPr>
            <w:r w:rsidRPr="0018673F">
              <w:rPr>
                <w:rFonts w:cs="Arial"/>
                <w:sz w:val="20"/>
                <w:szCs w:val="20"/>
                <w:lang w:eastAsia="en-GB"/>
              </w:rPr>
              <w:t>100</w:t>
            </w:r>
          </w:p>
        </w:tc>
        <w:tc>
          <w:tcPr>
            <w:tcW w:w="1660" w:type="dxa"/>
            <w:tcBorders>
              <w:top w:val="nil"/>
              <w:left w:val="nil"/>
              <w:bottom w:val="single" w:sz="4" w:space="0" w:color="auto"/>
              <w:right w:val="single" w:sz="4" w:space="0" w:color="auto"/>
            </w:tcBorders>
            <w:shd w:val="clear" w:color="auto" w:fill="auto"/>
            <w:noWrap/>
            <w:vAlign w:val="bottom"/>
            <w:hideMark/>
          </w:tcPr>
          <w:p w:rsidR="006A62B3" w:rsidRPr="0018673F" w:rsidRDefault="006A62B3" w:rsidP="006A62B3">
            <w:pPr>
              <w:spacing w:before="0" w:after="0"/>
              <w:jc w:val="center"/>
              <w:rPr>
                <w:rFonts w:cs="Arial"/>
                <w:sz w:val="20"/>
                <w:szCs w:val="20"/>
                <w:lang w:eastAsia="en-GB"/>
              </w:rPr>
            </w:pPr>
            <w:r w:rsidRPr="0018673F">
              <w:rPr>
                <w:rFonts w:cs="Arial"/>
                <w:sz w:val="20"/>
                <w:szCs w:val="20"/>
                <w:lang w:eastAsia="en-GB"/>
              </w:rPr>
              <w:t>100</w:t>
            </w:r>
          </w:p>
        </w:tc>
      </w:tr>
      <w:tr w:rsidR="006A62B3" w:rsidRPr="0018673F" w:rsidTr="006A62B3">
        <w:trPr>
          <w:trHeight w:val="510"/>
        </w:trPr>
        <w:tc>
          <w:tcPr>
            <w:tcW w:w="2720" w:type="dxa"/>
            <w:tcBorders>
              <w:top w:val="nil"/>
              <w:left w:val="single" w:sz="4" w:space="0" w:color="auto"/>
              <w:bottom w:val="single" w:sz="4" w:space="0" w:color="auto"/>
              <w:right w:val="single" w:sz="4" w:space="0" w:color="auto"/>
            </w:tcBorders>
            <w:shd w:val="clear" w:color="000000" w:fill="008080"/>
            <w:noWrap/>
            <w:vAlign w:val="bottom"/>
            <w:hideMark/>
          </w:tcPr>
          <w:p w:rsidR="006A62B3" w:rsidRPr="0018673F" w:rsidRDefault="006A62B3" w:rsidP="006A62B3">
            <w:pPr>
              <w:spacing w:before="0" w:after="0"/>
              <w:rPr>
                <w:rFonts w:cs="Arial"/>
                <w:b/>
                <w:bCs/>
                <w:color w:val="FFFFFF"/>
                <w:sz w:val="20"/>
                <w:szCs w:val="20"/>
                <w:lang w:eastAsia="en-GB"/>
              </w:rPr>
            </w:pPr>
            <w:r w:rsidRPr="0018673F">
              <w:rPr>
                <w:rFonts w:cs="Arial"/>
                <w:b/>
                <w:bCs/>
                <w:color w:val="FFFFFF"/>
                <w:sz w:val="20"/>
                <w:szCs w:val="20"/>
                <w:lang w:eastAsia="en-GB"/>
              </w:rPr>
              <w:t>Property Age</w:t>
            </w:r>
          </w:p>
        </w:tc>
        <w:tc>
          <w:tcPr>
            <w:tcW w:w="1420" w:type="dxa"/>
            <w:tcBorders>
              <w:top w:val="nil"/>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Affordable (%)</w:t>
            </w:r>
          </w:p>
        </w:tc>
        <w:tc>
          <w:tcPr>
            <w:tcW w:w="1660" w:type="dxa"/>
            <w:tcBorders>
              <w:top w:val="nil"/>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Occupied Stock (%)</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Pre 1919</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4.3</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17.6</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1919-1944</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19.0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16.5</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1945-1964</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37.5</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21.7</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1965-1984</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26.2</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23.1</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1985-2004</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8.6</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14.9</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2005 onwards</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4.4</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6.3</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100.0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100.0</w:t>
            </w:r>
          </w:p>
        </w:tc>
      </w:tr>
      <w:tr w:rsidR="006A62B3" w:rsidRPr="0018673F" w:rsidTr="006A62B3">
        <w:trPr>
          <w:trHeight w:val="510"/>
        </w:trPr>
        <w:tc>
          <w:tcPr>
            <w:tcW w:w="2720" w:type="dxa"/>
            <w:tcBorders>
              <w:top w:val="nil"/>
              <w:left w:val="single" w:sz="4" w:space="0" w:color="auto"/>
              <w:bottom w:val="single" w:sz="4" w:space="0" w:color="auto"/>
              <w:right w:val="single" w:sz="4" w:space="0" w:color="auto"/>
            </w:tcBorders>
            <w:shd w:val="clear" w:color="000000" w:fill="006666"/>
            <w:vAlign w:val="bottom"/>
            <w:hideMark/>
          </w:tcPr>
          <w:p w:rsidR="006A62B3" w:rsidRPr="0018673F" w:rsidRDefault="006A62B3" w:rsidP="006A62B3">
            <w:pPr>
              <w:spacing w:before="0" w:after="0"/>
              <w:rPr>
                <w:rFonts w:cs="Arial"/>
                <w:b/>
                <w:bCs/>
                <w:color w:val="FFFFFF"/>
                <w:sz w:val="20"/>
                <w:szCs w:val="20"/>
                <w:lang w:eastAsia="en-GB"/>
              </w:rPr>
            </w:pPr>
            <w:r w:rsidRPr="0018673F">
              <w:rPr>
                <w:rFonts w:cs="Arial"/>
                <w:b/>
                <w:bCs/>
                <w:color w:val="FFFFFF"/>
                <w:sz w:val="20"/>
                <w:szCs w:val="20"/>
                <w:lang w:eastAsia="en-GB"/>
              </w:rPr>
              <w:t>Satisfaction with state of repairs</w:t>
            </w:r>
          </w:p>
        </w:tc>
        <w:tc>
          <w:tcPr>
            <w:tcW w:w="1420" w:type="dxa"/>
            <w:tcBorders>
              <w:top w:val="nil"/>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Affordable (%)</w:t>
            </w:r>
          </w:p>
        </w:tc>
        <w:tc>
          <w:tcPr>
            <w:tcW w:w="1660" w:type="dxa"/>
            <w:tcBorders>
              <w:top w:val="nil"/>
              <w:left w:val="nil"/>
              <w:bottom w:val="single" w:sz="4" w:space="0" w:color="auto"/>
              <w:right w:val="single" w:sz="4" w:space="0" w:color="auto"/>
            </w:tcBorders>
            <w:shd w:val="clear" w:color="000000" w:fill="008080"/>
            <w:vAlign w:val="bottom"/>
            <w:hideMark/>
          </w:tcPr>
          <w:p w:rsidR="006A62B3" w:rsidRPr="0018673F" w:rsidRDefault="006A62B3" w:rsidP="006A62B3">
            <w:pPr>
              <w:spacing w:before="0" w:after="0"/>
              <w:jc w:val="center"/>
              <w:rPr>
                <w:rFonts w:cs="Arial"/>
                <w:b/>
                <w:bCs/>
                <w:color w:val="FFFFFF"/>
                <w:sz w:val="20"/>
                <w:szCs w:val="20"/>
                <w:lang w:eastAsia="en-GB"/>
              </w:rPr>
            </w:pPr>
            <w:r w:rsidRPr="0018673F">
              <w:rPr>
                <w:rFonts w:cs="Arial"/>
                <w:b/>
                <w:bCs/>
                <w:color w:val="FFFFFF"/>
                <w:sz w:val="20"/>
                <w:szCs w:val="20"/>
                <w:lang w:eastAsia="en-GB"/>
              </w:rPr>
              <w:t>All Occupied Stock (%)</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Very Satisfied</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34.2</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54.0</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Satisfied</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45.8</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35.0</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Neither satisfied / dissatisfied</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12.4</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6.9</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Dissatisfied</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6.3</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3.2</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Very Dissatisfied</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1.4</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0.9</w:t>
            </w:r>
          </w:p>
        </w:tc>
      </w:tr>
      <w:tr w:rsidR="00AD664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AD6643" w:rsidRPr="0018673F" w:rsidRDefault="00AD6643" w:rsidP="006A62B3">
            <w:pPr>
              <w:spacing w:before="0" w:after="0"/>
              <w:rPr>
                <w:rFonts w:cs="Arial"/>
                <w:sz w:val="20"/>
                <w:szCs w:val="20"/>
                <w:lang w:eastAsia="en-GB"/>
              </w:rPr>
            </w:pPr>
            <w:r w:rsidRPr="0018673F">
              <w:rPr>
                <w:rFonts w:cs="Arial"/>
                <w:sz w:val="20"/>
                <w:szCs w:val="20"/>
                <w:lang w:eastAsia="en-GB"/>
              </w:rPr>
              <w:t>Total</w:t>
            </w:r>
          </w:p>
        </w:tc>
        <w:tc>
          <w:tcPr>
            <w:tcW w:w="142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100.0</w:t>
            </w:r>
          </w:p>
        </w:tc>
        <w:tc>
          <w:tcPr>
            <w:tcW w:w="1660" w:type="dxa"/>
            <w:tcBorders>
              <w:top w:val="nil"/>
              <w:left w:val="nil"/>
              <w:bottom w:val="single" w:sz="4" w:space="0" w:color="auto"/>
              <w:right w:val="single" w:sz="4" w:space="0" w:color="auto"/>
            </w:tcBorders>
            <w:shd w:val="clear" w:color="auto" w:fill="auto"/>
            <w:noWrap/>
            <w:vAlign w:val="bottom"/>
            <w:hideMark/>
          </w:tcPr>
          <w:p w:rsidR="00AD6643" w:rsidRDefault="00AD6643" w:rsidP="00AD6643">
            <w:pPr>
              <w:spacing w:before="0" w:after="0"/>
              <w:jc w:val="center"/>
              <w:rPr>
                <w:rFonts w:cs="Arial"/>
                <w:sz w:val="20"/>
                <w:szCs w:val="20"/>
              </w:rPr>
            </w:pPr>
            <w:r>
              <w:rPr>
                <w:rFonts w:cs="Arial"/>
                <w:sz w:val="20"/>
                <w:szCs w:val="20"/>
              </w:rPr>
              <w:t>100.0</w:t>
            </w:r>
          </w:p>
        </w:tc>
      </w:tr>
      <w:tr w:rsidR="006A62B3" w:rsidRPr="0018673F" w:rsidTr="006A62B3">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6A62B3" w:rsidRPr="0018673F" w:rsidRDefault="006A62B3" w:rsidP="006A62B3">
            <w:pPr>
              <w:spacing w:before="0" w:after="0"/>
              <w:rPr>
                <w:rFonts w:cs="Arial"/>
                <w:sz w:val="20"/>
                <w:szCs w:val="20"/>
                <w:lang w:eastAsia="en-GB"/>
              </w:rPr>
            </w:pPr>
            <w:r w:rsidRPr="0018673F">
              <w:rPr>
                <w:rFonts w:cs="Arial"/>
                <w:sz w:val="20"/>
                <w:szCs w:val="20"/>
                <w:lang w:eastAsia="en-GB"/>
              </w:rPr>
              <w:t>Base</w:t>
            </w:r>
          </w:p>
        </w:tc>
        <w:tc>
          <w:tcPr>
            <w:tcW w:w="1420" w:type="dxa"/>
            <w:tcBorders>
              <w:top w:val="nil"/>
              <w:left w:val="nil"/>
              <w:bottom w:val="single" w:sz="4" w:space="0" w:color="auto"/>
              <w:right w:val="single" w:sz="4" w:space="0" w:color="auto"/>
            </w:tcBorders>
            <w:shd w:val="clear" w:color="auto" w:fill="auto"/>
            <w:noWrap/>
            <w:vAlign w:val="bottom"/>
            <w:hideMark/>
          </w:tcPr>
          <w:p w:rsidR="006A62B3" w:rsidRPr="0018673F" w:rsidRDefault="00AD6643" w:rsidP="006A62B3">
            <w:pPr>
              <w:spacing w:before="0" w:after="0"/>
              <w:jc w:val="center"/>
              <w:rPr>
                <w:rFonts w:cs="Arial"/>
                <w:sz w:val="20"/>
                <w:szCs w:val="20"/>
                <w:lang w:eastAsia="en-GB"/>
              </w:rPr>
            </w:pPr>
            <w:r>
              <w:rPr>
                <w:rFonts w:cs="Arial"/>
                <w:sz w:val="20"/>
                <w:szCs w:val="20"/>
                <w:lang w:eastAsia="en-GB"/>
              </w:rPr>
              <w:t>44,766</w:t>
            </w:r>
          </w:p>
        </w:tc>
        <w:tc>
          <w:tcPr>
            <w:tcW w:w="1660" w:type="dxa"/>
            <w:tcBorders>
              <w:top w:val="nil"/>
              <w:left w:val="nil"/>
              <w:bottom w:val="single" w:sz="4" w:space="0" w:color="auto"/>
              <w:right w:val="single" w:sz="4" w:space="0" w:color="auto"/>
            </w:tcBorders>
            <w:shd w:val="clear" w:color="auto" w:fill="auto"/>
            <w:noWrap/>
            <w:vAlign w:val="bottom"/>
            <w:hideMark/>
          </w:tcPr>
          <w:p w:rsidR="006A62B3" w:rsidRPr="0018673F" w:rsidRDefault="00AD6643" w:rsidP="006A62B3">
            <w:pPr>
              <w:spacing w:before="0" w:after="0"/>
              <w:jc w:val="center"/>
              <w:rPr>
                <w:rFonts w:cs="Arial"/>
                <w:sz w:val="20"/>
                <w:szCs w:val="20"/>
                <w:lang w:eastAsia="en-GB"/>
              </w:rPr>
            </w:pPr>
            <w:r>
              <w:rPr>
                <w:rFonts w:cs="Arial"/>
                <w:sz w:val="20"/>
                <w:szCs w:val="20"/>
                <w:lang w:eastAsia="en-GB"/>
              </w:rPr>
              <w:t>221,612</w:t>
            </w:r>
          </w:p>
        </w:tc>
      </w:tr>
    </w:tbl>
    <w:p w:rsidR="00F704B2" w:rsidRPr="0018673F" w:rsidRDefault="00F704B2" w:rsidP="00F704B2">
      <w:pPr>
        <w:pStyle w:val="Maintext"/>
        <w:numPr>
          <w:ilvl w:val="0"/>
          <w:numId w:val="0"/>
        </w:numPr>
      </w:pPr>
      <w:r w:rsidRPr="0018673F">
        <w:rPr>
          <w:rFonts w:cs="Arial"/>
          <w:color w:val="000000"/>
          <w:sz w:val="20"/>
          <w:szCs w:val="20"/>
          <w:lang w:eastAsia="en-GB"/>
        </w:rPr>
        <w:t>Source: 2012 Household Survey</w:t>
      </w:r>
      <w:r w:rsidR="0018673F">
        <w:rPr>
          <w:rFonts w:cs="Arial"/>
          <w:color w:val="000000"/>
          <w:sz w:val="20"/>
          <w:szCs w:val="20"/>
          <w:lang w:eastAsia="en-GB"/>
        </w:rPr>
        <w:t xml:space="preserve"> rebased to 2011 Census</w:t>
      </w:r>
    </w:p>
    <w:p w:rsidR="006A62B3" w:rsidRPr="0094483D" w:rsidRDefault="006A62B3" w:rsidP="00F704B2">
      <w:pPr>
        <w:rPr>
          <w:rFonts w:cs="Arial"/>
          <w:b/>
          <w:i/>
        </w:rPr>
      </w:pPr>
    </w:p>
    <w:p w:rsidR="00F704B2" w:rsidRPr="0094483D" w:rsidRDefault="00F704B2" w:rsidP="00F704B2">
      <w:pPr>
        <w:pStyle w:val="Heading4"/>
        <w:ind w:left="0" w:firstLine="709"/>
      </w:pPr>
      <w:r w:rsidRPr="0094483D">
        <w:t>Private rented sector: stock information</w:t>
      </w:r>
    </w:p>
    <w:p w:rsidR="00F704B2" w:rsidRPr="0094483D" w:rsidRDefault="00F704B2" w:rsidP="00F704B2">
      <w:pPr>
        <w:ind w:firstLine="709"/>
        <w:rPr>
          <w:rFonts w:cs="Arial"/>
          <w:i/>
          <w:sz w:val="20"/>
          <w:szCs w:val="20"/>
        </w:rPr>
      </w:pPr>
    </w:p>
    <w:p w:rsidR="00F704B2" w:rsidRPr="0094483D" w:rsidRDefault="00F704B2" w:rsidP="00F704B2">
      <w:pPr>
        <w:pStyle w:val="Maintext"/>
        <w:numPr>
          <w:ilvl w:val="1"/>
          <w:numId w:val="8"/>
        </w:numPr>
        <w:rPr>
          <w:rFonts w:cs="Arial"/>
        </w:rPr>
      </w:pPr>
      <w:r w:rsidRPr="0094483D">
        <w:t xml:space="preserve">The household survey estimated that there are around </w:t>
      </w:r>
      <w:r w:rsidR="0094483D" w:rsidRPr="0094483D">
        <w:t>30,837</w:t>
      </w:r>
      <w:r w:rsidRPr="0094483D">
        <w:t xml:space="preserve"> privately renting households across County Durham, representing </w:t>
      </w:r>
      <w:r w:rsidR="0094483D" w:rsidRPr="0094483D">
        <w:t>13.9</w:t>
      </w:r>
      <w:r w:rsidRPr="0094483D">
        <w:t>% of households, broken down as follows:</w:t>
      </w:r>
    </w:p>
    <w:p w:rsidR="00F704B2" w:rsidRPr="0094483D" w:rsidRDefault="0094483D" w:rsidP="00F704B2">
      <w:pPr>
        <w:pStyle w:val="Maintext"/>
        <w:numPr>
          <w:ilvl w:val="2"/>
          <w:numId w:val="8"/>
        </w:numPr>
      </w:pPr>
      <w:r w:rsidRPr="0094483D">
        <w:t>14.4</w:t>
      </w:r>
      <w:r w:rsidR="00F704B2" w:rsidRPr="0094483D">
        <w:t>% (</w:t>
      </w:r>
      <w:r w:rsidRPr="0094483D">
        <w:t>4,432</w:t>
      </w:r>
      <w:r w:rsidR="00F704B2" w:rsidRPr="0094483D">
        <w:t>) rent furnished properties;</w:t>
      </w:r>
    </w:p>
    <w:p w:rsidR="00F704B2" w:rsidRPr="0094483D" w:rsidRDefault="0094483D" w:rsidP="00F704B2">
      <w:pPr>
        <w:pStyle w:val="Maintext"/>
        <w:numPr>
          <w:ilvl w:val="2"/>
          <w:numId w:val="8"/>
        </w:numPr>
      </w:pPr>
      <w:r w:rsidRPr="0094483D">
        <w:t>82.6</w:t>
      </w:r>
      <w:r w:rsidR="00F704B2" w:rsidRPr="0094483D">
        <w:t>% (</w:t>
      </w:r>
      <w:r w:rsidRPr="0094483D">
        <w:t>25,456</w:t>
      </w:r>
      <w:r w:rsidR="00F704B2" w:rsidRPr="0094483D">
        <w:t>) rent unfurnished properties; and</w:t>
      </w:r>
    </w:p>
    <w:p w:rsidR="00F704B2" w:rsidRPr="007C3E20" w:rsidRDefault="0094483D" w:rsidP="00F704B2">
      <w:pPr>
        <w:pStyle w:val="Maintext"/>
        <w:numPr>
          <w:ilvl w:val="2"/>
          <w:numId w:val="8"/>
        </w:numPr>
      </w:pPr>
      <w:r w:rsidRPr="0094483D">
        <w:t>3.1</w:t>
      </w:r>
      <w:r w:rsidR="00F704B2" w:rsidRPr="0094483D">
        <w:t>% (</w:t>
      </w:r>
      <w:r w:rsidRPr="0094483D">
        <w:t>949</w:t>
      </w:r>
      <w:r w:rsidR="00F704B2" w:rsidRPr="0094483D">
        <w:t xml:space="preserve">) rent </w:t>
      </w:r>
      <w:r w:rsidR="00F704B2" w:rsidRPr="007C3E20">
        <w:t xml:space="preserve">tied accommodation. </w:t>
      </w:r>
    </w:p>
    <w:p w:rsidR="00F704B2" w:rsidRPr="007C3E20" w:rsidRDefault="00F704B2" w:rsidP="00F704B2">
      <w:pPr>
        <w:pStyle w:val="Maintext"/>
        <w:numPr>
          <w:ilvl w:val="1"/>
          <w:numId w:val="8"/>
        </w:numPr>
      </w:pPr>
      <w:r w:rsidRPr="007C3E20">
        <w:t>Table B17 summarises a range of data relating to private rented properties.  Key observations include:</w:t>
      </w:r>
    </w:p>
    <w:p w:rsidR="00F704B2" w:rsidRPr="007C3E20" w:rsidRDefault="00F704B2" w:rsidP="00F704B2">
      <w:pPr>
        <w:pStyle w:val="Maintext"/>
        <w:numPr>
          <w:ilvl w:val="2"/>
          <w:numId w:val="8"/>
        </w:numPr>
        <w:rPr>
          <w:rFonts w:cs="Arial"/>
          <w:iCs/>
        </w:rPr>
      </w:pPr>
      <w:r w:rsidRPr="007C3E20">
        <w:t>Houses account for the majority of private rented stock (</w:t>
      </w:r>
      <w:r w:rsidR="007C3E20" w:rsidRPr="007C3E20">
        <w:t>79.9</w:t>
      </w:r>
      <w:r w:rsidRPr="007C3E20">
        <w:t xml:space="preserve">% overall), with flats accounting for a further </w:t>
      </w:r>
      <w:r w:rsidR="007C3E20" w:rsidRPr="007C3E20">
        <w:t>13.3</w:t>
      </w:r>
      <w:r w:rsidRPr="007C3E20">
        <w:t xml:space="preserve">%, bungalows </w:t>
      </w:r>
      <w:r w:rsidR="007C3E20" w:rsidRPr="007C3E20">
        <w:t>5.9</w:t>
      </w:r>
      <w:r w:rsidRPr="007C3E20">
        <w:t xml:space="preserve">% and other property types </w:t>
      </w:r>
      <w:r w:rsidR="007C3E20" w:rsidRPr="007C3E20">
        <w:t>0.9</w:t>
      </w:r>
      <w:r w:rsidRPr="007C3E20">
        <w:t xml:space="preserve">%.  Flats account for </w:t>
      </w:r>
      <w:r w:rsidR="007C3E20" w:rsidRPr="007C3E20">
        <w:t>29.9</w:t>
      </w:r>
      <w:r w:rsidRPr="007C3E20">
        <w:t xml:space="preserve">% of furnished rented properties; </w:t>
      </w:r>
    </w:p>
    <w:p w:rsidR="00F704B2" w:rsidRPr="007C3E20" w:rsidRDefault="007C3E20" w:rsidP="00F704B2">
      <w:pPr>
        <w:pStyle w:val="Maintext"/>
        <w:numPr>
          <w:ilvl w:val="2"/>
          <w:numId w:val="8"/>
        </w:numPr>
        <w:rPr>
          <w:rFonts w:cs="Arial"/>
          <w:iCs/>
        </w:rPr>
      </w:pPr>
      <w:r w:rsidRPr="007C3E20">
        <w:t>47.9</w:t>
      </w:r>
      <w:r w:rsidR="00F704B2" w:rsidRPr="007C3E20">
        <w:t>% of private rented accommodation has two bedrooms and 38.</w:t>
      </w:r>
      <w:r w:rsidRPr="007C3E20">
        <w:t>1</w:t>
      </w:r>
      <w:r w:rsidR="00F704B2" w:rsidRPr="007C3E20">
        <w:t xml:space="preserve">% has three bedrooms. </w:t>
      </w:r>
      <w:r w:rsidRPr="007C3E20">
        <w:t>16.1</w:t>
      </w:r>
      <w:r w:rsidR="00F704B2" w:rsidRPr="007C3E20">
        <w:t xml:space="preserve">% of private furnished property has one bedroom or is a bedsit and </w:t>
      </w:r>
      <w:r w:rsidRPr="007C3E20">
        <w:t>19.1</w:t>
      </w:r>
      <w:r w:rsidR="00F704B2" w:rsidRPr="007C3E20">
        <w:t xml:space="preserve">% have four or more bedrooms; </w:t>
      </w:r>
    </w:p>
    <w:p w:rsidR="00F704B2" w:rsidRPr="007C3E20" w:rsidRDefault="00F704B2" w:rsidP="00F704B2">
      <w:pPr>
        <w:pStyle w:val="Maintext"/>
        <w:numPr>
          <w:ilvl w:val="2"/>
          <w:numId w:val="8"/>
        </w:numPr>
      </w:pPr>
      <w:r w:rsidRPr="007C3E20">
        <w:rPr>
          <w:rFonts w:cs="Arial"/>
        </w:rPr>
        <w:t xml:space="preserve">Overall, </w:t>
      </w:r>
      <w:r w:rsidR="007C3E20" w:rsidRPr="007C3E20">
        <w:rPr>
          <w:rFonts w:cs="Arial"/>
        </w:rPr>
        <w:t>11.1</w:t>
      </w:r>
      <w:r w:rsidRPr="007C3E20">
        <w:rPr>
          <w:rFonts w:cs="Arial"/>
        </w:rPr>
        <w:t>% of private renters expressed dissatisfaction with the state of repair of their accommodation.  Dissatisfaction was highest amongst unfurnished renters (</w:t>
      </w:r>
      <w:r w:rsidR="007C3E20" w:rsidRPr="007C3E20">
        <w:rPr>
          <w:rFonts w:cs="Arial"/>
        </w:rPr>
        <w:t>13.0</w:t>
      </w:r>
      <w:r w:rsidRPr="007C3E20">
        <w:rPr>
          <w:rFonts w:cs="Arial"/>
        </w:rPr>
        <w:t xml:space="preserve">%). </w:t>
      </w:r>
    </w:p>
    <w:p w:rsidR="00F704B2" w:rsidRPr="005A3B58" w:rsidRDefault="00F704B2" w:rsidP="00F704B2">
      <w:pPr>
        <w:pStyle w:val="Maintext"/>
        <w:numPr>
          <w:ilvl w:val="0"/>
          <w:numId w:val="0"/>
        </w:numPr>
        <w:ind w:left="709" w:hanging="709"/>
        <w:rPr>
          <w:highlight w:val="yellow"/>
        </w:rPr>
      </w:pPr>
    </w:p>
    <w:p w:rsidR="00F704B2" w:rsidRPr="00E17564" w:rsidRDefault="00F704B2" w:rsidP="00F704B2">
      <w:pPr>
        <w:pStyle w:val="Heading4"/>
        <w:ind w:left="0" w:firstLine="709"/>
        <w:rPr>
          <w:sz w:val="20"/>
          <w:szCs w:val="20"/>
        </w:rPr>
      </w:pPr>
      <w:r w:rsidRPr="00E17564">
        <w:t>Private rented sector: characteristics of tenants</w:t>
      </w:r>
    </w:p>
    <w:p w:rsidR="00F704B2" w:rsidRPr="00E17564" w:rsidRDefault="00F704B2" w:rsidP="00F704B2">
      <w:pPr>
        <w:pStyle w:val="Maintext"/>
        <w:numPr>
          <w:ilvl w:val="1"/>
          <w:numId w:val="8"/>
        </w:numPr>
      </w:pPr>
      <w:r w:rsidRPr="00E17564">
        <w:t>Key observations relating to the characteristics of private renters are:</w:t>
      </w:r>
    </w:p>
    <w:p w:rsidR="00F704B2" w:rsidRPr="00E17564" w:rsidRDefault="00F704B2" w:rsidP="00F704B2">
      <w:pPr>
        <w:pStyle w:val="Maintext"/>
        <w:numPr>
          <w:ilvl w:val="2"/>
          <w:numId w:val="8"/>
        </w:numPr>
      </w:pPr>
      <w:r w:rsidRPr="00E17564">
        <w:t>The characteristics of tenants are diverse and in particular the private rented sector accommodates singles under 60 (</w:t>
      </w:r>
      <w:r w:rsidR="00E17564" w:rsidRPr="00E17564">
        <w:t>23.5</w:t>
      </w:r>
      <w:r w:rsidRPr="00E17564">
        <w:t>%), couples with no children (</w:t>
      </w:r>
      <w:r w:rsidR="00E17564" w:rsidRPr="00E17564">
        <w:t>17.2</w:t>
      </w:r>
      <w:r w:rsidRPr="00E17564">
        <w:t>%), couples with children (20.</w:t>
      </w:r>
      <w:r w:rsidR="00E17564" w:rsidRPr="00E17564">
        <w:t>2</w:t>
      </w:r>
      <w:r w:rsidRPr="00E17564">
        <w:t>%) and lone parents (</w:t>
      </w:r>
      <w:r w:rsidR="00E17564" w:rsidRPr="00E17564">
        <w:t>17.1</w:t>
      </w:r>
      <w:r w:rsidRPr="00E17564">
        <w:t xml:space="preserve">%). </w:t>
      </w:r>
      <w:r w:rsidR="00E17564" w:rsidRPr="00E17564">
        <w:t>46.4</w:t>
      </w:r>
      <w:r w:rsidRPr="00E17564">
        <w:t>% have lived in their accommodation for less than two years;</w:t>
      </w:r>
    </w:p>
    <w:p w:rsidR="00F704B2" w:rsidRPr="00E17564" w:rsidRDefault="00F704B2" w:rsidP="00F704B2">
      <w:pPr>
        <w:pStyle w:val="Maintext"/>
        <w:numPr>
          <w:ilvl w:val="2"/>
          <w:numId w:val="8"/>
        </w:numPr>
        <w:rPr>
          <w:rFonts w:cs="Arial"/>
        </w:rPr>
      </w:pPr>
      <w:r w:rsidRPr="00E17564">
        <w:t xml:space="preserve">In terms of income, </w:t>
      </w:r>
      <w:r w:rsidR="00E17564" w:rsidRPr="00E17564">
        <w:t>60.0</w:t>
      </w:r>
      <w:r w:rsidRPr="00E17564">
        <w:t xml:space="preserve">% of privately renting households receive less than £300 gross each week, </w:t>
      </w:r>
      <w:r w:rsidR="00E17564" w:rsidRPr="00E17564">
        <w:t>19.9</w:t>
      </w:r>
      <w:r w:rsidRPr="00E17564">
        <w:t xml:space="preserve">% receive between £300 and £500 each week and </w:t>
      </w:r>
      <w:r w:rsidR="00E17564" w:rsidRPr="00E17564">
        <w:t>20.1</w:t>
      </w:r>
      <w:r w:rsidRPr="00E17564">
        <w:t>% receive at least £500 each week, indicating that the private rented sector tends to accommodate lower income households overall;</w:t>
      </w:r>
    </w:p>
    <w:p w:rsidR="00F704B2" w:rsidRPr="00E17564" w:rsidRDefault="00E17564" w:rsidP="00F704B2">
      <w:pPr>
        <w:pStyle w:val="Maintext"/>
        <w:numPr>
          <w:ilvl w:val="2"/>
          <w:numId w:val="8"/>
        </w:numPr>
        <w:rPr>
          <w:rFonts w:cs="Arial"/>
        </w:rPr>
      </w:pPr>
      <w:r w:rsidRPr="00E17564">
        <w:t>52.0</w:t>
      </w:r>
      <w:r w:rsidR="00F704B2" w:rsidRPr="00E17564">
        <w:t xml:space="preserve">% of household reference people (heads of household) living in private rented accommodation are employed, </w:t>
      </w:r>
      <w:r w:rsidRPr="00E17564">
        <w:t>9.2</w:t>
      </w:r>
      <w:r w:rsidR="00F704B2" w:rsidRPr="00E17564">
        <w:t>% ar</w:t>
      </w:r>
      <w:r w:rsidRPr="00E17564">
        <w:t>e unemployed, 12.6</w:t>
      </w:r>
      <w:r w:rsidR="00F704B2" w:rsidRPr="00E17564">
        <w:t xml:space="preserve">% are permanently sick/disabled, </w:t>
      </w:r>
      <w:r w:rsidRPr="00E17564">
        <w:t>9.8</w:t>
      </w:r>
      <w:r w:rsidR="00F704B2" w:rsidRPr="00E17564">
        <w:t>% are car</w:t>
      </w:r>
      <w:r w:rsidRPr="00E17564">
        <w:t>ers or looking after the home, 12.</w:t>
      </w:r>
      <w:r w:rsidR="00F704B2" w:rsidRPr="00E17564">
        <w:t xml:space="preserve">5% are wholly retired from work and </w:t>
      </w:r>
      <w:r w:rsidRPr="00E17564">
        <w:t>3.9</w:t>
      </w:r>
      <w:r w:rsidR="00F704B2" w:rsidRPr="00E17564">
        <w:t>% are in full-time education;</w:t>
      </w:r>
    </w:p>
    <w:p w:rsidR="00F704B2" w:rsidRPr="00E17564" w:rsidRDefault="00F704B2" w:rsidP="00F704B2">
      <w:pPr>
        <w:rPr>
          <w:szCs w:val="16"/>
        </w:rPr>
      </w:pPr>
    </w:p>
    <w:p w:rsidR="00F704B2" w:rsidRPr="005A3B58" w:rsidRDefault="00F704B2" w:rsidP="00F704B2">
      <w:pPr>
        <w:spacing w:before="0"/>
        <w:ind w:left="993" w:hanging="284"/>
        <w:rPr>
          <w:b/>
          <w:highlight w:val="yellow"/>
        </w:rPr>
      </w:pPr>
      <w:r w:rsidRPr="005A3B58">
        <w:rPr>
          <w:b/>
          <w:highlight w:val="yellow"/>
        </w:rPr>
        <w:br w:type="page"/>
      </w:r>
    </w:p>
    <w:p w:rsidR="00F704B2" w:rsidRPr="0094483D" w:rsidRDefault="00F704B2" w:rsidP="00F704B2">
      <w:pPr>
        <w:pStyle w:val="Maintext"/>
        <w:numPr>
          <w:ilvl w:val="0"/>
          <w:numId w:val="0"/>
        </w:numPr>
        <w:ind w:left="709" w:hanging="709"/>
      </w:pPr>
      <w:r w:rsidRPr="0094483D">
        <w:rPr>
          <w:b/>
        </w:rPr>
        <w:t>Table B17</w:t>
      </w:r>
      <w:r w:rsidRPr="0094483D">
        <w:tab/>
        <w:t>Summary of key data relating to private rented stock County Durham</w:t>
      </w:r>
    </w:p>
    <w:tbl>
      <w:tblPr>
        <w:tblpPr w:leftFromText="180" w:rightFromText="180" w:vertAnchor="text" w:tblpX="93" w:tblpY="1"/>
        <w:tblOverlap w:val="never"/>
        <w:tblW w:w="8928" w:type="dxa"/>
        <w:tblLook w:val="04A0" w:firstRow="1" w:lastRow="0" w:firstColumn="1" w:lastColumn="0" w:noHBand="0" w:noVBand="1"/>
      </w:tblPr>
      <w:tblGrid>
        <w:gridCol w:w="2040"/>
        <w:gridCol w:w="1340"/>
        <w:gridCol w:w="1700"/>
        <w:gridCol w:w="1628"/>
        <w:gridCol w:w="1060"/>
        <w:gridCol w:w="1160"/>
      </w:tblGrid>
      <w:tr w:rsidR="00F704B2" w:rsidRPr="0094483D" w:rsidTr="0094483D">
        <w:trPr>
          <w:trHeight w:val="1065"/>
        </w:trPr>
        <w:tc>
          <w:tcPr>
            <w:tcW w:w="204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94483D" w:rsidRDefault="00F704B2" w:rsidP="003C5498">
            <w:pPr>
              <w:spacing w:before="0" w:after="0"/>
              <w:rPr>
                <w:rFonts w:cs="Arial"/>
                <w:b/>
                <w:bCs/>
                <w:color w:val="FFFFFF"/>
                <w:sz w:val="20"/>
                <w:szCs w:val="20"/>
                <w:lang w:eastAsia="en-GB"/>
              </w:rPr>
            </w:pPr>
            <w:r w:rsidRPr="0094483D">
              <w:rPr>
                <w:rFonts w:cs="Arial"/>
                <w:b/>
                <w:bCs/>
                <w:color w:val="FFFFFF"/>
                <w:sz w:val="20"/>
                <w:szCs w:val="20"/>
                <w:lang w:eastAsia="en-GB"/>
              </w:rPr>
              <w:t>Property Type</w:t>
            </w:r>
          </w:p>
        </w:tc>
        <w:tc>
          <w:tcPr>
            <w:tcW w:w="1340" w:type="dxa"/>
            <w:tcBorders>
              <w:top w:val="single" w:sz="4" w:space="0" w:color="auto"/>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(furnished) (%)</w:t>
            </w:r>
          </w:p>
        </w:tc>
        <w:tc>
          <w:tcPr>
            <w:tcW w:w="1700" w:type="dxa"/>
            <w:tcBorders>
              <w:top w:val="single" w:sz="4" w:space="0" w:color="auto"/>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(unfurnished) (%)</w:t>
            </w:r>
          </w:p>
        </w:tc>
        <w:tc>
          <w:tcPr>
            <w:tcW w:w="1628" w:type="dxa"/>
            <w:tcBorders>
              <w:top w:val="single" w:sz="4" w:space="0" w:color="auto"/>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 xml:space="preserve">Tied </w:t>
            </w:r>
            <w:r w:rsidR="00582920" w:rsidRPr="0094483D">
              <w:rPr>
                <w:rFonts w:cs="Arial"/>
                <w:color w:val="FFFFFF"/>
                <w:sz w:val="20"/>
                <w:szCs w:val="20"/>
                <w:lang w:eastAsia="en-GB"/>
              </w:rPr>
              <w:t>accommodation</w:t>
            </w:r>
            <w:r w:rsidRPr="0094483D">
              <w:rPr>
                <w:rFonts w:cs="Arial"/>
                <w:color w:val="FFFFFF"/>
                <w:sz w:val="20"/>
                <w:szCs w:val="20"/>
                <w:lang w:eastAsia="en-GB"/>
              </w:rPr>
              <w:t xml:space="preserve"> (%)</w:t>
            </w:r>
          </w:p>
        </w:tc>
        <w:tc>
          <w:tcPr>
            <w:tcW w:w="1060" w:type="dxa"/>
            <w:tcBorders>
              <w:top w:val="single" w:sz="4" w:space="0" w:color="auto"/>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Private Rented (%)</w:t>
            </w:r>
          </w:p>
        </w:tc>
        <w:tc>
          <w:tcPr>
            <w:tcW w:w="1160" w:type="dxa"/>
            <w:tcBorders>
              <w:top w:val="single" w:sz="4" w:space="0" w:color="auto"/>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Occupied Stock (%)</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Detached house</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12.7</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12.9</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36.2</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13.6</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17.8</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Semi-detached house</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28.1</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23.3</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18.7</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23.9</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31.8</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Terraced house</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24.7</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45.7</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37.1</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42.4</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29.7</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Bungalow</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1.4</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6.7</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5.0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5.9</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15.3</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Maisonette</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0.2</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Flat/apartment</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29.9</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10.8</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13.3</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4.8</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Caravan/Park Home</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2.7</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0.4</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0.1</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Other</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0.4</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0.5</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0.5</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0.3</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Total</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r>
      <w:tr w:rsidR="00F704B2" w:rsidRPr="0094483D" w:rsidTr="0094483D">
        <w:trPr>
          <w:trHeight w:val="1020"/>
        </w:trPr>
        <w:tc>
          <w:tcPr>
            <w:tcW w:w="2040" w:type="dxa"/>
            <w:tcBorders>
              <w:top w:val="nil"/>
              <w:left w:val="single" w:sz="4" w:space="0" w:color="auto"/>
              <w:bottom w:val="single" w:sz="4" w:space="0" w:color="auto"/>
              <w:right w:val="single" w:sz="4" w:space="0" w:color="auto"/>
            </w:tcBorders>
            <w:shd w:val="clear" w:color="000000" w:fill="008080"/>
            <w:noWrap/>
            <w:vAlign w:val="bottom"/>
            <w:hideMark/>
          </w:tcPr>
          <w:p w:rsidR="00F704B2" w:rsidRPr="0094483D" w:rsidRDefault="00F704B2" w:rsidP="003C5498">
            <w:pPr>
              <w:spacing w:before="0" w:after="0"/>
              <w:rPr>
                <w:rFonts w:cs="Arial"/>
                <w:b/>
                <w:bCs/>
                <w:color w:val="FFFFFF"/>
                <w:sz w:val="20"/>
                <w:szCs w:val="20"/>
                <w:lang w:eastAsia="en-GB"/>
              </w:rPr>
            </w:pPr>
            <w:r w:rsidRPr="0094483D">
              <w:rPr>
                <w:rFonts w:cs="Arial"/>
                <w:b/>
                <w:bCs/>
                <w:color w:val="FFFFFF"/>
                <w:sz w:val="20"/>
                <w:szCs w:val="20"/>
                <w:lang w:eastAsia="en-GB"/>
              </w:rPr>
              <w:t>No. Bedrooms</w:t>
            </w:r>
          </w:p>
        </w:tc>
        <w:tc>
          <w:tcPr>
            <w:tcW w:w="134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(furnished) (%)</w:t>
            </w:r>
          </w:p>
        </w:tc>
        <w:tc>
          <w:tcPr>
            <w:tcW w:w="170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(unfurnished) (%)</w:t>
            </w:r>
          </w:p>
        </w:tc>
        <w:tc>
          <w:tcPr>
            <w:tcW w:w="1628"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 xml:space="preserve">Tied </w:t>
            </w:r>
            <w:r w:rsidR="00582920" w:rsidRPr="0094483D">
              <w:rPr>
                <w:rFonts w:cs="Arial"/>
                <w:color w:val="FFFFFF"/>
                <w:sz w:val="20"/>
                <w:szCs w:val="20"/>
                <w:lang w:eastAsia="en-GB"/>
              </w:rPr>
              <w:t>accommodation</w:t>
            </w:r>
            <w:r w:rsidRPr="0094483D">
              <w:rPr>
                <w:rFonts w:cs="Arial"/>
                <w:color w:val="FFFFFF"/>
                <w:sz w:val="20"/>
                <w:szCs w:val="20"/>
                <w:lang w:eastAsia="en-GB"/>
              </w:rPr>
              <w:t xml:space="preserve"> (%)</w:t>
            </w:r>
          </w:p>
        </w:tc>
        <w:tc>
          <w:tcPr>
            <w:tcW w:w="106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Private Rented (%)</w:t>
            </w:r>
          </w:p>
        </w:tc>
        <w:tc>
          <w:tcPr>
            <w:tcW w:w="116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Occupied Stock (%)</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One/studio</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16.1</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4.6</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6.1</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6.1</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Two</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38.6</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51.0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8.0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47.9</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34.8</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Three</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26.1</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39.0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69.7</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38.1</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43.7</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Four</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10.9</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4.3</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5.9</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5.3</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12.7</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Five or more</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8.2</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1.1</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13.4</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2.5</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2.7</w:t>
            </w:r>
          </w:p>
        </w:tc>
      </w:tr>
      <w:tr w:rsidR="00F704B2"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4483D" w:rsidRDefault="00F704B2" w:rsidP="003C5498">
            <w:pPr>
              <w:spacing w:before="0" w:after="0"/>
              <w:rPr>
                <w:rFonts w:cs="Arial"/>
                <w:sz w:val="20"/>
                <w:szCs w:val="20"/>
                <w:lang w:eastAsia="en-GB"/>
              </w:rPr>
            </w:pPr>
            <w:r w:rsidRPr="0094483D">
              <w:rPr>
                <w:rFonts w:cs="Arial"/>
                <w:sz w:val="20"/>
                <w:szCs w:val="20"/>
                <w:lang w:eastAsia="en-GB"/>
              </w:rPr>
              <w:t>Total</w:t>
            </w:r>
          </w:p>
        </w:tc>
        <w:tc>
          <w:tcPr>
            <w:tcW w:w="1340" w:type="dxa"/>
            <w:tcBorders>
              <w:top w:val="nil"/>
              <w:left w:val="nil"/>
              <w:bottom w:val="single" w:sz="4" w:space="0" w:color="auto"/>
              <w:right w:val="single" w:sz="4" w:space="0" w:color="auto"/>
            </w:tcBorders>
            <w:shd w:val="clear" w:color="auto" w:fill="auto"/>
            <w:noWrap/>
            <w:vAlign w:val="bottom"/>
            <w:hideMark/>
          </w:tcPr>
          <w:p w:rsidR="00F704B2" w:rsidRPr="0094483D" w:rsidRDefault="00F704B2" w:rsidP="003C5498">
            <w:pPr>
              <w:spacing w:before="0" w:after="0"/>
              <w:jc w:val="center"/>
              <w:rPr>
                <w:rFonts w:cs="Arial"/>
                <w:sz w:val="20"/>
                <w:szCs w:val="20"/>
                <w:lang w:eastAsia="en-GB"/>
              </w:rPr>
            </w:pPr>
            <w:r w:rsidRPr="0094483D">
              <w:rPr>
                <w:rFonts w:cs="Arial"/>
                <w:sz w:val="20"/>
                <w:szCs w:val="20"/>
                <w:lang w:eastAsia="en-GB"/>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F704B2" w:rsidRPr="0094483D" w:rsidRDefault="00F704B2" w:rsidP="003C5498">
            <w:pPr>
              <w:spacing w:before="0" w:after="0"/>
              <w:jc w:val="center"/>
              <w:rPr>
                <w:rFonts w:cs="Arial"/>
                <w:sz w:val="20"/>
                <w:szCs w:val="20"/>
                <w:lang w:eastAsia="en-GB"/>
              </w:rPr>
            </w:pPr>
            <w:r w:rsidRPr="0094483D">
              <w:rPr>
                <w:rFonts w:cs="Arial"/>
                <w:sz w:val="20"/>
                <w:szCs w:val="20"/>
                <w:lang w:eastAsia="en-GB"/>
              </w:rPr>
              <w:t>100.0</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4483D" w:rsidRDefault="00F704B2" w:rsidP="003C5498">
            <w:pPr>
              <w:spacing w:before="0" w:after="0"/>
              <w:jc w:val="center"/>
              <w:rPr>
                <w:rFonts w:cs="Arial"/>
                <w:sz w:val="20"/>
                <w:szCs w:val="20"/>
                <w:lang w:eastAsia="en-GB"/>
              </w:rPr>
            </w:pPr>
            <w:r w:rsidRPr="0094483D">
              <w:rPr>
                <w:rFonts w:cs="Arial"/>
                <w:sz w:val="20"/>
                <w:szCs w:val="20"/>
                <w:lang w:eastAsia="en-GB"/>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F704B2" w:rsidRPr="0094483D" w:rsidRDefault="00F704B2" w:rsidP="003C5498">
            <w:pPr>
              <w:spacing w:before="0" w:after="0"/>
              <w:jc w:val="center"/>
              <w:rPr>
                <w:rFonts w:cs="Arial"/>
                <w:sz w:val="20"/>
                <w:szCs w:val="20"/>
                <w:lang w:eastAsia="en-GB"/>
              </w:rPr>
            </w:pPr>
            <w:r w:rsidRPr="0094483D">
              <w:rPr>
                <w:rFonts w:cs="Arial"/>
                <w:sz w:val="20"/>
                <w:szCs w:val="20"/>
                <w:lang w:eastAsia="en-GB"/>
              </w:rPr>
              <w:t>100.0</w:t>
            </w:r>
          </w:p>
        </w:tc>
        <w:tc>
          <w:tcPr>
            <w:tcW w:w="1160" w:type="dxa"/>
            <w:tcBorders>
              <w:top w:val="nil"/>
              <w:left w:val="nil"/>
              <w:bottom w:val="single" w:sz="4" w:space="0" w:color="auto"/>
              <w:right w:val="single" w:sz="4" w:space="0" w:color="auto"/>
            </w:tcBorders>
            <w:shd w:val="clear" w:color="auto" w:fill="auto"/>
            <w:noWrap/>
            <w:vAlign w:val="bottom"/>
            <w:hideMark/>
          </w:tcPr>
          <w:p w:rsidR="00F704B2" w:rsidRPr="0094483D" w:rsidRDefault="00F704B2" w:rsidP="003C5498">
            <w:pPr>
              <w:spacing w:before="0" w:after="0"/>
              <w:jc w:val="center"/>
              <w:rPr>
                <w:rFonts w:cs="Arial"/>
                <w:sz w:val="20"/>
                <w:szCs w:val="20"/>
                <w:lang w:eastAsia="en-GB"/>
              </w:rPr>
            </w:pPr>
            <w:r w:rsidRPr="0094483D">
              <w:rPr>
                <w:rFonts w:cs="Arial"/>
                <w:sz w:val="20"/>
                <w:szCs w:val="20"/>
                <w:lang w:eastAsia="en-GB"/>
              </w:rPr>
              <w:t>100.0</w:t>
            </w:r>
          </w:p>
        </w:tc>
      </w:tr>
      <w:tr w:rsidR="00F704B2" w:rsidRPr="0094483D" w:rsidTr="0094483D">
        <w:trPr>
          <w:trHeight w:val="1020"/>
        </w:trPr>
        <w:tc>
          <w:tcPr>
            <w:tcW w:w="2040" w:type="dxa"/>
            <w:tcBorders>
              <w:top w:val="nil"/>
              <w:left w:val="single" w:sz="4" w:space="0" w:color="auto"/>
              <w:bottom w:val="single" w:sz="4" w:space="0" w:color="auto"/>
              <w:right w:val="single" w:sz="4" w:space="0" w:color="auto"/>
            </w:tcBorders>
            <w:shd w:val="clear" w:color="000000" w:fill="008080"/>
            <w:noWrap/>
            <w:vAlign w:val="bottom"/>
            <w:hideMark/>
          </w:tcPr>
          <w:p w:rsidR="00F704B2" w:rsidRPr="0094483D" w:rsidRDefault="00F704B2" w:rsidP="003C5498">
            <w:pPr>
              <w:spacing w:before="0" w:after="0"/>
              <w:rPr>
                <w:rFonts w:cs="Arial"/>
                <w:b/>
                <w:bCs/>
                <w:color w:val="FFFFFF"/>
                <w:sz w:val="20"/>
                <w:szCs w:val="20"/>
                <w:lang w:eastAsia="en-GB"/>
              </w:rPr>
            </w:pPr>
            <w:r w:rsidRPr="0094483D">
              <w:rPr>
                <w:rFonts w:cs="Arial"/>
                <w:b/>
                <w:bCs/>
                <w:color w:val="FFFFFF"/>
                <w:sz w:val="20"/>
                <w:szCs w:val="20"/>
                <w:lang w:eastAsia="en-GB"/>
              </w:rPr>
              <w:t>Property Age</w:t>
            </w:r>
          </w:p>
        </w:tc>
        <w:tc>
          <w:tcPr>
            <w:tcW w:w="134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(furnished) (%)</w:t>
            </w:r>
          </w:p>
        </w:tc>
        <w:tc>
          <w:tcPr>
            <w:tcW w:w="170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(unfurnished) (%)</w:t>
            </w:r>
          </w:p>
        </w:tc>
        <w:tc>
          <w:tcPr>
            <w:tcW w:w="1628"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 xml:space="preserve">Tied </w:t>
            </w:r>
            <w:r w:rsidR="00582920" w:rsidRPr="0094483D">
              <w:rPr>
                <w:rFonts w:cs="Arial"/>
                <w:color w:val="FFFFFF"/>
                <w:sz w:val="20"/>
                <w:szCs w:val="20"/>
                <w:lang w:eastAsia="en-GB"/>
              </w:rPr>
              <w:t>accommodation</w:t>
            </w:r>
            <w:r w:rsidRPr="0094483D">
              <w:rPr>
                <w:rFonts w:cs="Arial"/>
                <w:color w:val="FFFFFF"/>
                <w:sz w:val="20"/>
                <w:szCs w:val="20"/>
                <w:lang w:eastAsia="en-GB"/>
              </w:rPr>
              <w:t xml:space="preserve"> (%)</w:t>
            </w:r>
          </w:p>
        </w:tc>
        <w:tc>
          <w:tcPr>
            <w:tcW w:w="106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Private Rented (%)</w:t>
            </w:r>
          </w:p>
        </w:tc>
        <w:tc>
          <w:tcPr>
            <w:tcW w:w="116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Occupied Stock (%)</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Pre 1919</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18.8</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20.2</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32.8</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20.5</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17.6</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1919-1944</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4.0</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22.3</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15.5</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19.5</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16.5</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1945-1964</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19.1</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19.6</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17.2</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19.4</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21.7</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1965-1984</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31.1</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15.9</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2.1</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17.5</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23.1</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1985-2004</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19.6</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8.9</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32.4</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11.3</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14.9</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2005 onwards</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7.4</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13.0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11.8</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6.3</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Total</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r>
      <w:tr w:rsidR="00F704B2" w:rsidRPr="0094483D" w:rsidTr="0094483D">
        <w:trPr>
          <w:trHeight w:val="1020"/>
        </w:trPr>
        <w:tc>
          <w:tcPr>
            <w:tcW w:w="2040" w:type="dxa"/>
            <w:tcBorders>
              <w:top w:val="nil"/>
              <w:left w:val="single" w:sz="4" w:space="0" w:color="auto"/>
              <w:bottom w:val="single" w:sz="4" w:space="0" w:color="auto"/>
              <w:right w:val="single" w:sz="4" w:space="0" w:color="auto"/>
            </w:tcBorders>
            <w:shd w:val="clear" w:color="000000" w:fill="008080"/>
            <w:vAlign w:val="bottom"/>
            <w:hideMark/>
          </w:tcPr>
          <w:p w:rsidR="00F704B2" w:rsidRPr="0094483D" w:rsidRDefault="00F704B2" w:rsidP="003C5498">
            <w:pPr>
              <w:spacing w:before="0" w:after="0"/>
              <w:rPr>
                <w:rFonts w:cs="Arial"/>
                <w:b/>
                <w:bCs/>
                <w:color w:val="FFFFFF"/>
                <w:sz w:val="20"/>
                <w:szCs w:val="20"/>
                <w:lang w:eastAsia="en-GB"/>
              </w:rPr>
            </w:pPr>
            <w:r w:rsidRPr="0094483D">
              <w:rPr>
                <w:rFonts w:cs="Arial"/>
                <w:b/>
                <w:bCs/>
                <w:color w:val="FFFFFF"/>
                <w:sz w:val="20"/>
                <w:szCs w:val="20"/>
                <w:lang w:eastAsia="en-GB"/>
              </w:rPr>
              <w:t>Satisfaction with quality</w:t>
            </w:r>
          </w:p>
        </w:tc>
        <w:tc>
          <w:tcPr>
            <w:tcW w:w="134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(furnished) (%)</w:t>
            </w:r>
          </w:p>
        </w:tc>
        <w:tc>
          <w:tcPr>
            <w:tcW w:w="170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Rented privately (unfurnished) (%)</w:t>
            </w:r>
          </w:p>
        </w:tc>
        <w:tc>
          <w:tcPr>
            <w:tcW w:w="1628"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 xml:space="preserve">Tied </w:t>
            </w:r>
            <w:r w:rsidR="00582920" w:rsidRPr="0094483D">
              <w:rPr>
                <w:rFonts w:cs="Arial"/>
                <w:color w:val="FFFFFF"/>
                <w:sz w:val="20"/>
                <w:szCs w:val="20"/>
                <w:lang w:eastAsia="en-GB"/>
              </w:rPr>
              <w:t>accommodation</w:t>
            </w:r>
            <w:r w:rsidRPr="0094483D">
              <w:rPr>
                <w:rFonts w:cs="Arial"/>
                <w:color w:val="FFFFFF"/>
                <w:sz w:val="20"/>
                <w:szCs w:val="20"/>
                <w:lang w:eastAsia="en-GB"/>
              </w:rPr>
              <w:t xml:space="preserve"> (%)</w:t>
            </w:r>
          </w:p>
        </w:tc>
        <w:tc>
          <w:tcPr>
            <w:tcW w:w="106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Private Rented (%)</w:t>
            </w:r>
          </w:p>
        </w:tc>
        <w:tc>
          <w:tcPr>
            <w:tcW w:w="1160" w:type="dxa"/>
            <w:tcBorders>
              <w:top w:val="nil"/>
              <w:left w:val="nil"/>
              <w:bottom w:val="single" w:sz="4" w:space="0" w:color="auto"/>
              <w:right w:val="single" w:sz="4" w:space="0" w:color="auto"/>
            </w:tcBorders>
            <w:shd w:val="clear" w:color="000000" w:fill="008080"/>
            <w:vAlign w:val="bottom"/>
            <w:hideMark/>
          </w:tcPr>
          <w:p w:rsidR="00F704B2" w:rsidRPr="0094483D" w:rsidRDefault="00F704B2" w:rsidP="003C5498">
            <w:pPr>
              <w:spacing w:before="0" w:after="0"/>
              <w:jc w:val="center"/>
              <w:rPr>
                <w:rFonts w:cs="Arial"/>
                <w:color w:val="FFFFFF"/>
                <w:sz w:val="20"/>
                <w:szCs w:val="20"/>
                <w:lang w:eastAsia="en-GB"/>
              </w:rPr>
            </w:pPr>
            <w:r w:rsidRPr="0094483D">
              <w:rPr>
                <w:rFonts w:cs="Arial"/>
                <w:color w:val="FFFFFF"/>
                <w:sz w:val="20"/>
                <w:szCs w:val="20"/>
                <w:lang w:eastAsia="en-GB"/>
              </w:rPr>
              <w:t>All Occupied Stock (%)</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Very Satisfied</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26.7</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32.1</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77.1</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32.7</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54.0</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Satisfied</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53.7</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39.7</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22.9</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41.2</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35.0</w:t>
            </w:r>
          </w:p>
        </w:tc>
      </w:tr>
      <w:tr w:rsidR="0094483D" w:rsidRPr="0094483D" w:rsidTr="0094483D">
        <w:trPr>
          <w:trHeight w:val="510"/>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Neither satisfied nor dissatisfied</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16.7</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15.1</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14.9</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6.9</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Dissatisfied</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9.7</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8.0</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3.2</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Very Dissatisfied</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2.9</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3.3</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3.1</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0.9</w:t>
            </w:r>
          </w:p>
        </w:tc>
      </w:tr>
      <w:tr w:rsidR="0094483D"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94483D" w:rsidRPr="0094483D" w:rsidRDefault="0094483D" w:rsidP="003C5498">
            <w:pPr>
              <w:spacing w:before="0" w:after="0"/>
              <w:rPr>
                <w:rFonts w:cs="Arial"/>
                <w:sz w:val="20"/>
                <w:szCs w:val="20"/>
                <w:lang w:eastAsia="en-GB"/>
              </w:rPr>
            </w:pPr>
            <w:r w:rsidRPr="0094483D">
              <w:rPr>
                <w:rFonts w:cs="Arial"/>
                <w:sz w:val="20"/>
                <w:szCs w:val="20"/>
                <w:lang w:eastAsia="en-GB"/>
              </w:rPr>
              <w:t>TOTAL</w:t>
            </w:r>
          </w:p>
        </w:tc>
        <w:tc>
          <w:tcPr>
            <w:tcW w:w="134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628"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c>
          <w:tcPr>
            <w:tcW w:w="1160" w:type="dxa"/>
            <w:tcBorders>
              <w:top w:val="nil"/>
              <w:left w:val="nil"/>
              <w:bottom w:val="single" w:sz="4" w:space="0" w:color="auto"/>
              <w:right w:val="single" w:sz="4" w:space="0" w:color="auto"/>
            </w:tcBorders>
            <w:shd w:val="clear" w:color="auto" w:fill="auto"/>
            <w:noWrap/>
            <w:vAlign w:val="bottom"/>
            <w:hideMark/>
          </w:tcPr>
          <w:p w:rsidR="0094483D" w:rsidRDefault="0094483D" w:rsidP="0094483D">
            <w:pPr>
              <w:spacing w:before="0" w:after="0"/>
              <w:jc w:val="center"/>
              <w:rPr>
                <w:rFonts w:cs="Arial"/>
                <w:sz w:val="20"/>
                <w:szCs w:val="20"/>
              </w:rPr>
            </w:pPr>
            <w:r>
              <w:rPr>
                <w:rFonts w:cs="Arial"/>
                <w:sz w:val="20"/>
                <w:szCs w:val="20"/>
              </w:rPr>
              <w:t>100.0</w:t>
            </w:r>
          </w:p>
        </w:tc>
      </w:tr>
      <w:tr w:rsidR="00F704B2" w:rsidRPr="0094483D" w:rsidTr="0094483D">
        <w:trPr>
          <w:trHeight w:val="25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4483D" w:rsidRDefault="00F704B2" w:rsidP="003C5498">
            <w:pPr>
              <w:spacing w:before="0" w:after="0"/>
              <w:rPr>
                <w:rFonts w:cs="Arial"/>
                <w:sz w:val="20"/>
                <w:szCs w:val="20"/>
                <w:lang w:eastAsia="en-GB"/>
              </w:rPr>
            </w:pPr>
            <w:r w:rsidRPr="0094483D">
              <w:rPr>
                <w:rFonts w:cs="Arial"/>
                <w:sz w:val="20"/>
                <w:szCs w:val="20"/>
                <w:lang w:eastAsia="en-GB"/>
              </w:rPr>
              <w:t>Base</w:t>
            </w:r>
          </w:p>
        </w:tc>
        <w:tc>
          <w:tcPr>
            <w:tcW w:w="1340" w:type="dxa"/>
            <w:tcBorders>
              <w:top w:val="nil"/>
              <w:left w:val="nil"/>
              <w:bottom w:val="single" w:sz="4" w:space="0" w:color="auto"/>
              <w:right w:val="single" w:sz="4" w:space="0" w:color="auto"/>
            </w:tcBorders>
            <w:shd w:val="clear" w:color="auto" w:fill="auto"/>
            <w:noWrap/>
            <w:vAlign w:val="bottom"/>
            <w:hideMark/>
          </w:tcPr>
          <w:p w:rsidR="00F704B2" w:rsidRPr="0094483D" w:rsidRDefault="007C3E20" w:rsidP="003C5498">
            <w:pPr>
              <w:spacing w:before="0" w:after="0"/>
              <w:jc w:val="center"/>
              <w:rPr>
                <w:rFonts w:cs="Arial"/>
                <w:sz w:val="20"/>
                <w:szCs w:val="20"/>
                <w:lang w:eastAsia="en-GB"/>
              </w:rPr>
            </w:pPr>
            <w:r>
              <w:rPr>
                <w:rFonts w:cs="Arial"/>
                <w:sz w:val="20"/>
                <w:szCs w:val="20"/>
                <w:lang w:eastAsia="en-GB"/>
              </w:rPr>
              <w:t>4,432</w:t>
            </w:r>
          </w:p>
        </w:tc>
        <w:tc>
          <w:tcPr>
            <w:tcW w:w="1700" w:type="dxa"/>
            <w:tcBorders>
              <w:top w:val="nil"/>
              <w:left w:val="nil"/>
              <w:bottom w:val="single" w:sz="4" w:space="0" w:color="auto"/>
              <w:right w:val="single" w:sz="4" w:space="0" w:color="auto"/>
            </w:tcBorders>
            <w:shd w:val="clear" w:color="auto" w:fill="auto"/>
            <w:noWrap/>
            <w:vAlign w:val="bottom"/>
            <w:hideMark/>
          </w:tcPr>
          <w:p w:rsidR="00F704B2" w:rsidRPr="0094483D" w:rsidRDefault="007C3E20" w:rsidP="003C5498">
            <w:pPr>
              <w:spacing w:before="0" w:after="0"/>
              <w:jc w:val="center"/>
              <w:rPr>
                <w:rFonts w:cs="Arial"/>
                <w:sz w:val="20"/>
                <w:szCs w:val="20"/>
                <w:lang w:eastAsia="en-GB"/>
              </w:rPr>
            </w:pPr>
            <w:r>
              <w:rPr>
                <w:rFonts w:cs="Arial"/>
                <w:sz w:val="20"/>
                <w:szCs w:val="20"/>
                <w:lang w:eastAsia="en-GB"/>
              </w:rPr>
              <w:t>25,456</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4483D" w:rsidRDefault="007C3E20" w:rsidP="003C5498">
            <w:pPr>
              <w:spacing w:before="0" w:after="0"/>
              <w:jc w:val="center"/>
              <w:rPr>
                <w:rFonts w:cs="Arial"/>
                <w:sz w:val="20"/>
                <w:szCs w:val="20"/>
                <w:lang w:eastAsia="en-GB"/>
              </w:rPr>
            </w:pPr>
            <w:r>
              <w:rPr>
                <w:rFonts w:cs="Arial"/>
                <w:sz w:val="20"/>
                <w:szCs w:val="20"/>
                <w:lang w:eastAsia="en-GB"/>
              </w:rPr>
              <w:t>949</w:t>
            </w:r>
          </w:p>
        </w:tc>
        <w:tc>
          <w:tcPr>
            <w:tcW w:w="1060" w:type="dxa"/>
            <w:tcBorders>
              <w:top w:val="nil"/>
              <w:left w:val="nil"/>
              <w:bottom w:val="single" w:sz="4" w:space="0" w:color="auto"/>
              <w:right w:val="single" w:sz="4" w:space="0" w:color="auto"/>
            </w:tcBorders>
            <w:shd w:val="clear" w:color="auto" w:fill="auto"/>
            <w:noWrap/>
            <w:vAlign w:val="bottom"/>
            <w:hideMark/>
          </w:tcPr>
          <w:p w:rsidR="00F704B2" w:rsidRPr="0094483D" w:rsidRDefault="007C3E20" w:rsidP="003C5498">
            <w:pPr>
              <w:spacing w:before="0" w:after="0"/>
              <w:jc w:val="center"/>
              <w:rPr>
                <w:rFonts w:cs="Arial"/>
                <w:sz w:val="20"/>
                <w:szCs w:val="20"/>
                <w:lang w:eastAsia="en-GB"/>
              </w:rPr>
            </w:pPr>
            <w:r>
              <w:rPr>
                <w:rFonts w:cs="Arial"/>
                <w:sz w:val="20"/>
                <w:szCs w:val="20"/>
                <w:lang w:eastAsia="en-GB"/>
              </w:rPr>
              <w:t>30,837</w:t>
            </w:r>
          </w:p>
        </w:tc>
        <w:tc>
          <w:tcPr>
            <w:tcW w:w="1160" w:type="dxa"/>
            <w:tcBorders>
              <w:top w:val="nil"/>
              <w:left w:val="nil"/>
              <w:bottom w:val="single" w:sz="4" w:space="0" w:color="auto"/>
              <w:right w:val="single" w:sz="4" w:space="0" w:color="auto"/>
            </w:tcBorders>
            <w:shd w:val="clear" w:color="auto" w:fill="auto"/>
            <w:noWrap/>
            <w:vAlign w:val="bottom"/>
            <w:hideMark/>
          </w:tcPr>
          <w:p w:rsidR="00F704B2" w:rsidRPr="0094483D" w:rsidRDefault="007C3E20" w:rsidP="003C5498">
            <w:pPr>
              <w:spacing w:before="0" w:after="0"/>
              <w:jc w:val="center"/>
              <w:rPr>
                <w:rFonts w:cs="Arial"/>
                <w:sz w:val="20"/>
                <w:szCs w:val="20"/>
                <w:lang w:eastAsia="en-GB"/>
              </w:rPr>
            </w:pPr>
            <w:r>
              <w:rPr>
                <w:rFonts w:cs="Arial"/>
                <w:sz w:val="20"/>
                <w:szCs w:val="20"/>
                <w:lang w:eastAsia="en-GB"/>
              </w:rPr>
              <w:t>221,612</w:t>
            </w:r>
          </w:p>
        </w:tc>
      </w:tr>
    </w:tbl>
    <w:p w:rsidR="00F704B2" w:rsidRPr="0094483D" w:rsidRDefault="00F704B2" w:rsidP="00F704B2">
      <w:pPr>
        <w:pStyle w:val="Maintext"/>
        <w:numPr>
          <w:ilvl w:val="0"/>
          <w:numId w:val="0"/>
        </w:numPr>
      </w:pPr>
      <w:r w:rsidRPr="0094483D">
        <w:rPr>
          <w:rFonts w:cs="Arial"/>
          <w:color w:val="000000"/>
          <w:sz w:val="20"/>
          <w:szCs w:val="20"/>
          <w:lang w:eastAsia="en-GB"/>
        </w:rPr>
        <w:t>Source: 2012 Household Survey</w:t>
      </w:r>
      <w:r w:rsidR="0094483D">
        <w:rPr>
          <w:rFonts w:cs="Arial"/>
          <w:color w:val="000000"/>
          <w:sz w:val="20"/>
          <w:szCs w:val="20"/>
          <w:lang w:eastAsia="en-GB"/>
        </w:rPr>
        <w:t xml:space="preserve"> rebased to 2011 Census</w:t>
      </w:r>
    </w:p>
    <w:p w:rsidR="00F704B2" w:rsidRPr="00E17564" w:rsidRDefault="00F704B2" w:rsidP="00F704B2">
      <w:pPr>
        <w:pStyle w:val="Heading4"/>
        <w:ind w:left="0" w:firstLine="709"/>
        <w:rPr>
          <w:rFonts w:cs="Arial"/>
        </w:rPr>
      </w:pPr>
      <w:bookmarkStart w:id="252" w:name="_Toc225941582"/>
      <w:bookmarkEnd w:id="251"/>
      <w:r w:rsidRPr="00E17564">
        <w:t>Concluding comments</w:t>
      </w:r>
      <w:bookmarkEnd w:id="252"/>
    </w:p>
    <w:p w:rsidR="00F704B2" w:rsidRPr="00E17564" w:rsidRDefault="00F704B2" w:rsidP="00F704B2">
      <w:pPr>
        <w:pStyle w:val="Maintext"/>
        <w:numPr>
          <w:ilvl w:val="1"/>
          <w:numId w:val="8"/>
        </w:numPr>
      </w:pPr>
      <w:r w:rsidRPr="00E17564">
        <w:t xml:space="preserve">In order to maintain balanced communities, there is a need for a variety of tenure options which people can choose to reflect their household circumstances.  Owner-occupation is the dominant tenure (with around </w:t>
      </w:r>
      <w:r w:rsidR="00E17564" w:rsidRPr="00E17564">
        <w:t>146,000</w:t>
      </w:r>
      <w:r w:rsidRPr="00E17564">
        <w:t xml:space="preserve"> households).  Despite a substantial reduction in scale through right to buy, the social (affordable) rented sector accommodates around </w:t>
      </w:r>
      <w:r w:rsidR="00E17564" w:rsidRPr="00E17564">
        <w:t>44,800</w:t>
      </w:r>
      <w:r w:rsidRPr="00E17564">
        <w:t xml:space="preserve"> households and the private rented sector around </w:t>
      </w:r>
      <w:r w:rsidR="00E17564" w:rsidRPr="00E17564">
        <w:t>30,800</w:t>
      </w:r>
      <w:r w:rsidRPr="00E17564">
        <w:t xml:space="preserve"> households. </w:t>
      </w:r>
    </w:p>
    <w:p w:rsidR="00F704B2" w:rsidRPr="00CA085B" w:rsidRDefault="00F704B2" w:rsidP="00F704B2">
      <w:bookmarkStart w:id="253" w:name="_Toc225941583"/>
    </w:p>
    <w:p w:rsidR="00F704B2" w:rsidRPr="004C2AA9" w:rsidRDefault="00F704B2" w:rsidP="00F704B2"/>
    <w:p w:rsidR="00F704B2" w:rsidRPr="009279D8" w:rsidRDefault="00F704B2" w:rsidP="00091DFC">
      <w:pPr>
        <w:pStyle w:val="Heading3"/>
        <w:tabs>
          <w:tab w:val="left" w:pos="720"/>
          <w:tab w:val="left" w:pos="1440"/>
          <w:tab w:val="left" w:pos="2160"/>
          <w:tab w:val="left" w:pos="2880"/>
          <w:tab w:val="left" w:pos="3600"/>
          <w:tab w:val="right" w:pos="9070"/>
        </w:tabs>
      </w:pPr>
      <w:bookmarkStart w:id="254" w:name="_Toc318323444"/>
      <w:r>
        <w:t>Step 2.2</w:t>
      </w:r>
      <w:r>
        <w:tab/>
        <w:t>Stock condition</w:t>
      </w:r>
      <w:bookmarkEnd w:id="253"/>
      <w:bookmarkEnd w:id="254"/>
      <w:r w:rsidR="00091DFC">
        <w:tab/>
      </w:r>
    </w:p>
    <w:p w:rsidR="00F704B2" w:rsidRDefault="008F76D8" w:rsidP="00F704B2">
      <w:pPr>
        <w:pStyle w:val="Maintext"/>
        <w:numPr>
          <w:ilvl w:val="1"/>
          <w:numId w:val="8"/>
        </w:numPr>
        <w:rPr>
          <w:b/>
        </w:rPr>
      </w:pPr>
      <w:r>
        <w:t>The 2012</w:t>
      </w:r>
      <w:r w:rsidR="00F704B2">
        <w:t xml:space="preserve"> Household Survey asked respondents how satisfied they were with the quality of their accommodation.  Overall, </w:t>
      </w:r>
      <w:r w:rsidR="001779B9">
        <w:t>4.1</w:t>
      </w:r>
      <w:r w:rsidR="00F704B2">
        <w:t>% of respondents expressed dissatisfaction.  Private renters (</w:t>
      </w:r>
      <w:r w:rsidR="001779B9">
        <w:t>11.1</w:t>
      </w:r>
      <w:r w:rsidR="00F704B2">
        <w:t xml:space="preserve">%) were more likely to express dissatisfaction. </w:t>
      </w:r>
    </w:p>
    <w:p w:rsidR="00F704B2" w:rsidRDefault="00F704B2" w:rsidP="00F704B2">
      <w:pPr>
        <w:pStyle w:val="Heading3"/>
        <w:ind w:left="0"/>
      </w:pPr>
      <w:bookmarkStart w:id="255" w:name="_Toc225941584"/>
    </w:p>
    <w:p w:rsidR="00F704B2" w:rsidRPr="006654D6" w:rsidRDefault="00F704B2" w:rsidP="00F704B2">
      <w:pPr>
        <w:pStyle w:val="Heading3"/>
      </w:pPr>
      <w:bookmarkStart w:id="256" w:name="_Toc318323445"/>
      <w:r w:rsidRPr="00286160">
        <w:t>Step 2.3</w:t>
      </w:r>
      <w:r w:rsidRPr="00286160">
        <w:tab/>
        <w:t>Shared housing and communal establishments</w:t>
      </w:r>
      <w:bookmarkEnd w:id="255"/>
      <w:bookmarkEnd w:id="256"/>
      <w:r w:rsidRPr="00286160">
        <w:t xml:space="preserve"> </w:t>
      </w:r>
    </w:p>
    <w:p w:rsidR="00F704B2" w:rsidRPr="008462E0" w:rsidRDefault="00F704B2" w:rsidP="00F704B2">
      <w:pPr>
        <w:pStyle w:val="Maintext"/>
        <w:numPr>
          <w:ilvl w:val="1"/>
          <w:numId w:val="8"/>
        </w:numPr>
        <w:rPr>
          <w:i/>
        </w:rPr>
      </w:pPr>
      <w:bookmarkStart w:id="257" w:name="_Toc170878499"/>
      <w:r w:rsidRPr="0077270A">
        <w:t xml:space="preserve">There are an estimated </w:t>
      </w:r>
      <w:r>
        <w:t>1700</w:t>
      </w:r>
      <w:r w:rsidRPr="0077270A">
        <w:t xml:space="preserve"> Houses in Multiple Occupation</w:t>
      </w:r>
      <w:r>
        <w:t xml:space="preserve"> across County Durham (of which 1,625</w:t>
      </w:r>
      <w:r w:rsidRPr="0077270A">
        <w:t xml:space="preserve"> are v</w:t>
      </w:r>
      <w:r>
        <w:t>erifiable) according to the 2011</w:t>
      </w:r>
      <w:r w:rsidRPr="0077270A">
        <w:t xml:space="preserve"> Housing Strategy Statistical Appendix. </w:t>
      </w:r>
      <w:bookmarkStart w:id="258" w:name="_Toc184123863"/>
      <w:bookmarkStart w:id="259" w:name="_Toc184198282"/>
      <w:bookmarkStart w:id="260" w:name="_Toc184200213"/>
      <w:bookmarkStart w:id="261" w:name="_Toc225941585"/>
    </w:p>
    <w:p w:rsidR="00F704B2" w:rsidRDefault="00F704B2" w:rsidP="00F704B2">
      <w:pPr>
        <w:pStyle w:val="Heading2"/>
        <w:ind w:left="0"/>
      </w:pPr>
      <w:bookmarkStart w:id="262" w:name="_Toc273698049"/>
      <w:bookmarkStart w:id="263" w:name="_Toc273708382"/>
    </w:p>
    <w:p w:rsidR="00F704B2" w:rsidRPr="008462E0" w:rsidRDefault="00F704B2" w:rsidP="00F704B2"/>
    <w:p w:rsidR="00F704B2" w:rsidRDefault="00F704B2" w:rsidP="00F704B2">
      <w:pPr>
        <w:pStyle w:val="Heading2"/>
        <w:ind w:left="0"/>
      </w:pPr>
      <w:r>
        <w:tab/>
      </w:r>
      <w:bookmarkStart w:id="264" w:name="_Toc280272452"/>
      <w:bookmarkStart w:id="265" w:name="_Toc318323446"/>
      <w:bookmarkStart w:id="266" w:name="_Toc320271452"/>
      <w:bookmarkStart w:id="267" w:name="_Toc322443362"/>
      <w:bookmarkStart w:id="268" w:name="_Toc333507788"/>
      <w:r>
        <w:t>Stage 3: The active market</w:t>
      </w:r>
      <w:bookmarkEnd w:id="257"/>
      <w:bookmarkEnd w:id="258"/>
      <w:bookmarkEnd w:id="259"/>
      <w:bookmarkEnd w:id="260"/>
      <w:bookmarkEnd w:id="261"/>
      <w:bookmarkEnd w:id="262"/>
      <w:bookmarkEnd w:id="263"/>
      <w:bookmarkEnd w:id="264"/>
      <w:bookmarkEnd w:id="265"/>
      <w:bookmarkEnd w:id="266"/>
      <w:bookmarkEnd w:id="267"/>
      <w:bookmarkEnd w:id="268"/>
    </w:p>
    <w:p w:rsidR="00F704B2" w:rsidRDefault="00F704B2" w:rsidP="00F704B2">
      <w:pPr>
        <w:rPr>
          <w:i/>
        </w:rPr>
      </w:pPr>
    </w:p>
    <w:p w:rsidR="00F704B2" w:rsidRDefault="00F704B2" w:rsidP="00F704B2">
      <w:pPr>
        <w:pStyle w:val="Heading3"/>
        <w:ind w:left="3060" w:hanging="2351"/>
      </w:pPr>
      <w:bookmarkStart w:id="269" w:name="_Toc318323447"/>
      <w:r>
        <w:t>Steps 3.1 and 3.2 The cost of buying or renting a property and affordability</w:t>
      </w:r>
      <w:bookmarkEnd w:id="269"/>
      <w:r>
        <w:t xml:space="preserve"> </w:t>
      </w:r>
    </w:p>
    <w:p w:rsidR="00F704B2" w:rsidRDefault="00F704B2" w:rsidP="00F704B2"/>
    <w:p w:rsidR="00F704B2" w:rsidRDefault="00F704B2" w:rsidP="00F704B2">
      <w:pPr>
        <w:pStyle w:val="Heading4"/>
      </w:pPr>
      <w:r>
        <w:t>Buying a property</w:t>
      </w:r>
    </w:p>
    <w:p w:rsidR="00F704B2" w:rsidRDefault="00F704B2" w:rsidP="00F704B2">
      <w:pPr>
        <w:pStyle w:val="Maintext"/>
        <w:numPr>
          <w:ilvl w:val="1"/>
          <w:numId w:val="8"/>
        </w:numPr>
      </w:pPr>
      <w:r>
        <w:t xml:space="preserve">A range of information relating to house prices, rates of change and comparisons with other areas was presented in Chapter 3.  The cost of buying a property varies considerably by property type and locality, as shown in Table B18. </w:t>
      </w:r>
    </w:p>
    <w:p w:rsidR="00F704B2" w:rsidRDefault="00F704B2" w:rsidP="00F704B2">
      <w:pPr>
        <w:pStyle w:val="Maintext"/>
        <w:numPr>
          <w:ilvl w:val="1"/>
          <w:numId w:val="8"/>
        </w:numPr>
      </w:pPr>
      <w:r>
        <w:t>Table B19 considers the relative affordability of open market purchase by reviewing the incomes which would be required to ensure that lower quartile and median-priced properties are affordable (that is, cost no more than 3.5 times a household income). This suggests that across County Durham, a household income of £20,000 is required for a lower quartile priced property to be affordable and an income of £30,000 is required for a median priced property.</w:t>
      </w:r>
    </w:p>
    <w:p w:rsidR="00F704B2" w:rsidRDefault="00F704B2" w:rsidP="00F704B2">
      <w:pPr>
        <w:pStyle w:val="Maintext"/>
        <w:numPr>
          <w:ilvl w:val="0"/>
          <w:numId w:val="0"/>
        </w:numPr>
        <w:ind w:left="992"/>
      </w:pPr>
    </w:p>
    <w:p w:rsidR="00F704B2" w:rsidRDefault="00F704B2" w:rsidP="001779B9">
      <w:pPr>
        <w:pStyle w:val="Maintext"/>
        <w:numPr>
          <w:ilvl w:val="0"/>
          <w:numId w:val="0"/>
        </w:numPr>
      </w:pPr>
      <w:r>
        <w:rPr>
          <w:b/>
        </w:rPr>
        <w:t>Table B18</w:t>
      </w:r>
      <w:r>
        <w:rPr>
          <w:b/>
        </w:rPr>
        <w:tab/>
      </w:r>
      <w:r>
        <w:t xml:space="preserve">County Durham and </w:t>
      </w:r>
      <w:r w:rsidR="00B440F0">
        <w:t>delivery area</w:t>
      </w:r>
      <w:r>
        <w:t xml:space="preserve"> l</w:t>
      </w:r>
      <w:r w:rsidR="001779B9">
        <w:t>ower quartile and median prices February 2012 to January 2013</w:t>
      </w:r>
    </w:p>
    <w:tbl>
      <w:tblPr>
        <w:tblW w:w="8980" w:type="dxa"/>
        <w:tblInd w:w="94" w:type="dxa"/>
        <w:tblLook w:val="04A0" w:firstRow="1" w:lastRow="0" w:firstColumn="1" w:lastColumn="0" w:noHBand="0" w:noVBand="1"/>
      </w:tblPr>
      <w:tblGrid>
        <w:gridCol w:w="1420"/>
        <w:gridCol w:w="1360"/>
        <w:gridCol w:w="1120"/>
        <w:gridCol w:w="1051"/>
        <w:gridCol w:w="1051"/>
        <w:gridCol w:w="1051"/>
        <w:gridCol w:w="1051"/>
        <w:gridCol w:w="1080"/>
      </w:tblGrid>
      <w:tr w:rsidR="001779B9" w:rsidRPr="001779B9" w:rsidTr="001779B9">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1779B9" w:rsidRPr="001779B9" w:rsidRDefault="001779B9" w:rsidP="001779B9">
            <w:pPr>
              <w:spacing w:before="0" w:after="0"/>
              <w:rPr>
                <w:rFonts w:cs="Arial"/>
                <w:b/>
                <w:bCs/>
                <w:color w:val="FFFFFF"/>
                <w:sz w:val="20"/>
                <w:szCs w:val="20"/>
                <w:lang w:eastAsia="en-GB"/>
              </w:rPr>
            </w:pPr>
            <w:r w:rsidRPr="001779B9">
              <w:rPr>
                <w:rFonts w:cs="Arial"/>
                <w:b/>
                <w:bCs/>
                <w:color w:val="FFFFFF"/>
                <w:sz w:val="20"/>
                <w:szCs w:val="20"/>
                <w:lang w:eastAsia="en-GB"/>
              </w:rPr>
              <w:t>Property type</w:t>
            </w:r>
          </w:p>
        </w:tc>
        <w:tc>
          <w:tcPr>
            <w:tcW w:w="1360" w:type="dxa"/>
            <w:tcBorders>
              <w:top w:val="single" w:sz="4" w:space="0" w:color="auto"/>
              <w:left w:val="nil"/>
              <w:bottom w:val="single" w:sz="4" w:space="0" w:color="auto"/>
              <w:right w:val="single" w:sz="4" w:space="0" w:color="auto"/>
            </w:tcBorders>
            <w:shd w:val="clear" w:color="000000" w:fill="008080"/>
            <w:noWrap/>
            <w:vAlign w:val="bottom"/>
            <w:hideMark/>
          </w:tcPr>
          <w:p w:rsidR="001779B9" w:rsidRPr="001779B9" w:rsidRDefault="001779B9" w:rsidP="001779B9">
            <w:pPr>
              <w:spacing w:before="0" w:after="0"/>
              <w:rPr>
                <w:rFonts w:cs="Arial"/>
                <w:b/>
                <w:bCs/>
                <w:color w:val="FFFFFF"/>
                <w:sz w:val="20"/>
                <w:szCs w:val="20"/>
                <w:lang w:eastAsia="en-GB"/>
              </w:rPr>
            </w:pPr>
            <w:r w:rsidRPr="001779B9">
              <w:rPr>
                <w:rFonts w:cs="Arial"/>
                <w:b/>
                <w:bCs/>
                <w:color w:val="FFFFFF"/>
                <w:sz w:val="20"/>
                <w:szCs w:val="20"/>
                <w:lang w:eastAsia="en-GB"/>
              </w:rPr>
              <w:t>Price</w:t>
            </w:r>
          </w:p>
        </w:tc>
        <w:tc>
          <w:tcPr>
            <w:tcW w:w="112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Central Durham</w:t>
            </w:r>
          </w:p>
        </w:tc>
        <w:tc>
          <w:tcPr>
            <w:tcW w:w="102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East Durham</w:t>
            </w:r>
          </w:p>
        </w:tc>
        <w:tc>
          <w:tcPr>
            <w:tcW w:w="96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North Durham</w:t>
            </w:r>
          </w:p>
        </w:tc>
        <w:tc>
          <w:tcPr>
            <w:tcW w:w="100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South Durham</w:t>
            </w:r>
          </w:p>
        </w:tc>
        <w:tc>
          <w:tcPr>
            <w:tcW w:w="102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The Dales</w:t>
            </w:r>
          </w:p>
        </w:tc>
        <w:tc>
          <w:tcPr>
            <w:tcW w:w="108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Total</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Detached</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£162,500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£132,500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£151,000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£138,250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£138,000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£144,995</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£202,500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£164,000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£177,500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£161,000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£215,000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£175,000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Semi-detached</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£83,000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£63,250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£81,500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£75,000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£87,000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£75,000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£110,000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£81,000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£108,500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£98,000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£123,000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£102,250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Terraced</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£73,000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£46,000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£55,501</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£45,000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£72,000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£52,500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£103,000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£65,000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£73,000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£60,250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£95,000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£73,000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Flat</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£88,000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£51,500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£53,500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£46,000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£54,500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£57,000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£102,500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£65,000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£80,000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£62,000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£95,000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£80,000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Total</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£85,000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£58,000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£67,500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£60,000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£80,000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£67,000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£120,500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£80,000</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£99,995</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£93,500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£122,750</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£100,000</w:t>
            </w:r>
          </w:p>
        </w:tc>
      </w:tr>
    </w:tbl>
    <w:p w:rsidR="00F704B2" w:rsidRPr="008F76D8" w:rsidRDefault="008F76D8" w:rsidP="001779B9">
      <w:pPr>
        <w:pStyle w:val="Maintext"/>
        <w:numPr>
          <w:ilvl w:val="0"/>
          <w:numId w:val="0"/>
        </w:numPr>
        <w:rPr>
          <w:sz w:val="20"/>
          <w:szCs w:val="20"/>
        </w:rPr>
      </w:pPr>
      <w:r w:rsidRPr="008F76D8">
        <w:rPr>
          <w:sz w:val="20"/>
          <w:szCs w:val="20"/>
        </w:rPr>
        <w:t>Source: Land Registry price-paid dataset</w:t>
      </w:r>
    </w:p>
    <w:p w:rsidR="00F704B2" w:rsidRDefault="00F704B2" w:rsidP="00F704B2">
      <w:pPr>
        <w:spacing w:before="0"/>
        <w:ind w:left="993" w:hanging="284"/>
        <w:rPr>
          <w:b/>
        </w:rPr>
      </w:pPr>
    </w:p>
    <w:p w:rsidR="00F704B2" w:rsidRPr="009D79DD" w:rsidRDefault="00F704B2" w:rsidP="00F704B2">
      <w:pPr>
        <w:pStyle w:val="Maintext"/>
        <w:numPr>
          <w:ilvl w:val="0"/>
          <w:numId w:val="0"/>
        </w:numPr>
        <w:rPr>
          <w:sz w:val="20"/>
          <w:szCs w:val="20"/>
        </w:rPr>
      </w:pPr>
      <w:r>
        <w:rPr>
          <w:b/>
        </w:rPr>
        <w:t>Table B19</w:t>
      </w:r>
      <w:r>
        <w:rPr>
          <w:b/>
        </w:rPr>
        <w:tab/>
      </w:r>
      <w:r w:rsidRPr="009D79DD">
        <w:t>Household income required for a property to be affordable (based on a 3.5x income multiple)</w:t>
      </w:r>
      <w:r>
        <w:rPr>
          <w:b/>
        </w:rPr>
        <w:t xml:space="preserve"> </w:t>
      </w:r>
    </w:p>
    <w:tbl>
      <w:tblPr>
        <w:tblW w:w="8980" w:type="dxa"/>
        <w:tblInd w:w="94" w:type="dxa"/>
        <w:tblLook w:val="04A0" w:firstRow="1" w:lastRow="0" w:firstColumn="1" w:lastColumn="0" w:noHBand="0" w:noVBand="1"/>
      </w:tblPr>
      <w:tblGrid>
        <w:gridCol w:w="1420"/>
        <w:gridCol w:w="1360"/>
        <w:gridCol w:w="1120"/>
        <w:gridCol w:w="1020"/>
        <w:gridCol w:w="972"/>
        <w:gridCol w:w="1000"/>
        <w:gridCol w:w="1020"/>
        <w:gridCol w:w="1080"/>
      </w:tblGrid>
      <w:tr w:rsidR="001779B9" w:rsidRPr="001779B9" w:rsidTr="001779B9">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1779B9" w:rsidRPr="001779B9" w:rsidRDefault="001779B9" w:rsidP="001779B9">
            <w:pPr>
              <w:spacing w:before="0" w:after="0"/>
              <w:rPr>
                <w:rFonts w:cs="Arial"/>
                <w:b/>
                <w:bCs/>
                <w:color w:val="FFFFFF"/>
                <w:sz w:val="20"/>
                <w:szCs w:val="20"/>
                <w:lang w:eastAsia="en-GB"/>
              </w:rPr>
            </w:pPr>
            <w:r w:rsidRPr="001779B9">
              <w:rPr>
                <w:rFonts w:cs="Arial"/>
                <w:b/>
                <w:bCs/>
                <w:color w:val="FFFFFF"/>
                <w:sz w:val="20"/>
                <w:szCs w:val="20"/>
                <w:lang w:eastAsia="en-GB"/>
              </w:rPr>
              <w:t>Property type</w:t>
            </w:r>
          </w:p>
        </w:tc>
        <w:tc>
          <w:tcPr>
            <w:tcW w:w="1360" w:type="dxa"/>
            <w:tcBorders>
              <w:top w:val="single" w:sz="4" w:space="0" w:color="auto"/>
              <w:left w:val="nil"/>
              <w:bottom w:val="single" w:sz="4" w:space="0" w:color="auto"/>
              <w:right w:val="single" w:sz="4" w:space="0" w:color="auto"/>
            </w:tcBorders>
            <w:shd w:val="clear" w:color="000000" w:fill="008080"/>
            <w:noWrap/>
            <w:vAlign w:val="bottom"/>
            <w:hideMark/>
          </w:tcPr>
          <w:p w:rsidR="001779B9" w:rsidRPr="001779B9" w:rsidRDefault="001779B9" w:rsidP="001779B9">
            <w:pPr>
              <w:spacing w:before="0" w:after="0"/>
              <w:rPr>
                <w:rFonts w:cs="Arial"/>
                <w:b/>
                <w:bCs/>
                <w:color w:val="FFFFFF"/>
                <w:sz w:val="20"/>
                <w:szCs w:val="20"/>
                <w:lang w:eastAsia="en-GB"/>
              </w:rPr>
            </w:pPr>
            <w:r w:rsidRPr="001779B9">
              <w:rPr>
                <w:rFonts w:cs="Arial"/>
                <w:b/>
                <w:bCs/>
                <w:color w:val="FFFFFF"/>
                <w:sz w:val="20"/>
                <w:szCs w:val="20"/>
                <w:lang w:eastAsia="en-GB"/>
              </w:rPr>
              <w:t>Price</w:t>
            </w:r>
          </w:p>
        </w:tc>
        <w:tc>
          <w:tcPr>
            <w:tcW w:w="112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Central Durham</w:t>
            </w:r>
          </w:p>
        </w:tc>
        <w:tc>
          <w:tcPr>
            <w:tcW w:w="102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East Durham</w:t>
            </w:r>
          </w:p>
        </w:tc>
        <w:tc>
          <w:tcPr>
            <w:tcW w:w="96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North Durham</w:t>
            </w:r>
          </w:p>
        </w:tc>
        <w:tc>
          <w:tcPr>
            <w:tcW w:w="100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South Durham</w:t>
            </w:r>
          </w:p>
        </w:tc>
        <w:tc>
          <w:tcPr>
            <w:tcW w:w="102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The Dales</w:t>
            </w:r>
          </w:p>
        </w:tc>
        <w:tc>
          <w:tcPr>
            <w:tcW w:w="1080" w:type="dxa"/>
            <w:tcBorders>
              <w:top w:val="single" w:sz="4" w:space="0" w:color="auto"/>
              <w:left w:val="nil"/>
              <w:bottom w:val="single" w:sz="4" w:space="0" w:color="auto"/>
              <w:right w:val="single" w:sz="4" w:space="0" w:color="auto"/>
            </w:tcBorders>
            <w:shd w:val="clear" w:color="000000" w:fill="008080"/>
            <w:vAlign w:val="bottom"/>
            <w:hideMark/>
          </w:tcPr>
          <w:p w:rsidR="001779B9" w:rsidRPr="001779B9" w:rsidRDefault="001779B9" w:rsidP="001779B9">
            <w:pPr>
              <w:spacing w:before="0" w:after="0"/>
              <w:jc w:val="center"/>
              <w:rPr>
                <w:rFonts w:cs="Arial"/>
                <w:b/>
                <w:bCs/>
                <w:color w:val="FFFFFF"/>
                <w:sz w:val="20"/>
                <w:szCs w:val="20"/>
                <w:lang w:eastAsia="en-GB"/>
              </w:rPr>
            </w:pPr>
            <w:r w:rsidRPr="001779B9">
              <w:rPr>
                <w:rFonts w:cs="Arial"/>
                <w:b/>
                <w:bCs/>
                <w:color w:val="FFFFFF"/>
                <w:sz w:val="20"/>
                <w:szCs w:val="20"/>
                <w:lang w:eastAsia="en-GB"/>
              </w:rPr>
              <w:t>Total</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Detached</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£46,429</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£37,857</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£43,143</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£39,500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£39,429</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£41,427</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£57,857</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£46,857</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£50,714</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£46,000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£61,429</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£50,000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Semi-detached</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£23,714</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£18,071</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£23,286</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£21,429</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£24,857</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£21,429</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£31,429</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£23,143</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£31,000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£28,000</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£35,143</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£29,214</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Terraced</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£20,857</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£13,143</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£15,857</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£12,857</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£20,571</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£15,000</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£29,429</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£18,571</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£20,857</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£17,214</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£27,143</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£20,857</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Flat</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£25,143</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£14,714</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£15,286</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£13,143</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£15,571</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£16,286</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£29,286</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£18,571</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£22,857</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£17,714</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£27,143</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£22,857</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Total</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Lower Quartile</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£24,286</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£16,571</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£19,286</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£17,143</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£22,857</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£19,143</w:t>
            </w:r>
          </w:p>
        </w:tc>
      </w:tr>
      <w:tr w:rsidR="001779B9" w:rsidRPr="001779B9" w:rsidTr="001779B9">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 </w:t>
            </w:r>
          </w:p>
        </w:tc>
        <w:tc>
          <w:tcPr>
            <w:tcW w:w="13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rPr>
                <w:rFonts w:cs="Arial"/>
                <w:sz w:val="20"/>
                <w:szCs w:val="20"/>
                <w:lang w:eastAsia="en-GB"/>
              </w:rPr>
            </w:pPr>
            <w:r w:rsidRPr="001779B9">
              <w:rPr>
                <w:rFonts w:cs="Arial"/>
                <w:sz w:val="20"/>
                <w:szCs w:val="20"/>
                <w:lang w:eastAsia="en-GB"/>
              </w:rPr>
              <w:t>Median</w:t>
            </w:r>
          </w:p>
        </w:tc>
        <w:tc>
          <w:tcPr>
            <w:tcW w:w="11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£34,429</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£22,857</w:t>
            </w:r>
          </w:p>
        </w:tc>
        <w:tc>
          <w:tcPr>
            <w:tcW w:w="96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£28,570</w:t>
            </w:r>
          </w:p>
        </w:tc>
        <w:tc>
          <w:tcPr>
            <w:tcW w:w="100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£26,714</w:t>
            </w:r>
          </w:p>
        </w:tc>
        <w:tc>
          <w:tcPr>
            <w:tcW w:w="102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£35,071</w:t>
            </w:r>
          </w:p>
        </w:tc>
        <w:tc>
          <w:tcPr>
            <w:tcW w:w="1080" w:type="dxa"/>
            <w:tcBorders>
              <w:top w:val="nil"/>
              <w:left w:val="nil"/>
              <w:bottom w:val="single" w:sz="4" w:space="0" w:color="auto"/>
              <w:right w:val="single" w:sz="4" w:space="0" w:color="auto"/>
            </w:tcBorders>
            <w:shd w:val="clear" w:color="auto" w:fill="auto"/>
            <w:noWrap/>
            <w:vAlign w:val="bottom"/>
            <w:hideMark/>
          </w:tcPr>
          <w:p w:rsidR="001779B9" w:rsidRPr="001779B9" w:rsidRDefault="001779B9" w:rsidP="001779B9">
            <w:pPr>
              <w:spacing w:before="0" w:after="0"/>
              <w:jc w:val="center"/>
              <w:rPr>
                <w:rFonts w:cs="Arial"/>
                <w:sz w:val="20"/>
                <w:szCs w:val="20"/>
                <w:lang w:eastAsia="en-GB"/>
              </w:rPr>
            </w:pPr>
            <w:r w:rsidRPr="001779B9">
              <w:rPr>
                <w:rFonts w:cs="Arial"/>
                <w:sz w:val="20"/>
                <w:szCs w:val="20"/>
                <w:lang w:eastAsia="en-GB"/>
              </w:rPr>
              <w:t>£28,571</w:t>
            </w:r>
          </w:p>
        </w:tc>
      </w:tr>
    </w:tbl>
    <w:p w:rsidR="00F704B2" w:rsidRDefault="00F704B2" w:rsidP="00F704B2">
      <w:pPr>
        <w:pStyle w:val="Maintext"/>
        <w:numPr>
          <w:ilvl w:val="0"/>
          <w:numId w:val="0"/>
        </w:numPr>
        <w:ind w:left="709" w:hanging="709"/>
        <w:jc w:val="left"/>
        <w:rPr>
          <w:sz w:val="20"/>
          <w:szCs w:val="20"/>
        </w:rPr>
      </w:pPr>
      <w:r>
        <w:rPr>
          <w:sz w:val="20"/>
          <w:szCs w:val="20"/>
        </w:rPr>
        <w:t>Source: Land Registry Price Paid Data</w:t>
      </w:r>
    </w:p>
    <w:p w:rsidR="00F704B2" w:rsidRDefault="00F704B2" w:rsidP="00F704B2">
      <w:pPr>
        <w:pStyle w:val="Heading4"/>
        <w:ind w:left="0"/>
      </w:pPr>
    </w:p>
    <w:p w:rsidR="00F704B2" w:rsidRDefault="00F704B2" w:rsidP="00F704B2">
      <w:pPr>
        <w:pStyle w:val="Heading4"/>
        <w:ind w:left="0" w:firstLine="709"/>
      </w:pPr>
      <w:r>
        <w:t>Renting a property: private renting</w:t>
      </w:r>
    </w:p>
    <w:p w:rsidR="00F704B2" w:rsidRDefault="00F704B2" w:rsidP="00F704B2">
      <w:pPr>
        <w:pStyle w:val="Maintext"/>
        <w:numPr>
          <w:ilvl w:val="1"/>
          <w:numId w:val="8"/>
        </w:numPr>
        <w:tabs>
          <w:tab w:val="num" w:pos="992"/>
        </w:tabs>
      </w:pPr>
      <w:r>
        <w:t>Table B20</w:t>
      </w:r>
      <w:r w:rsidRPr="0077270A">
        <w:t xml:space="preserve"> illustrates average private rents across </w:t>
      </w:r>
      <w:r>
        <w:t xml:space="preserve">County Durham and </w:t>
      </w:r>
      <w:r w:rsidR="00B440F0">
        <w:t>delivery area</w:t>
      </w:r>
      <w:r>
        <w:t>.</w:t>
      </w:r>
    </w:p>
    <w:p w:rsidR="00F704B2" w:rsidRDefault="00F704B2" w:rsidP="00F704B2">
      <w:pPr>
        <w:pStyle w:val="Maintext"/>
        <w:numPr>
          <w:ilvl w:val="0"/>
          <w:numId w:val="0"/>
        </w:numPr>
        <w:tabs>
          <w:tab w:val="num" w:pos="992"/>
        </w:tabs>
      </w:pPr>
    </w:p>
    <w:p w:rsidR="001779B9" w:rsidRDefault="001779B9">
      <w:pPr>
        <w:spacing w:before="0" w:after="0"/>
        <w:rPr>
          <w:b/>
        </w:rPr>
      </w:pPr>
      <w:r>
        <w:rPr>
          <w:b/>
        </w:rPr>
        <w:br w:type="page"/>
      </w:r>
    </w:p>
    <w:p w:rsidR="00F704B2" w:rsidRDefault="00F704B2" w:rsidP="00F704B2">
      <w:pPr>
        <w:pStyle w:val="Maintext"/>
        <w:numPr>
          <w:ilvl w:val="0"/>
          <w:numId w:val="0"/>
        </w:numPr>
      </w:pPr>
      <w:r w:rsidRPr="0077270A">
        <w:rPr>
          <w:b/>
        </w:rPr>
        <w:t>Table B</w:t>
      </w:r>
      <w:r>
        <w:rPr>
          <w:b/>
        </w:rPr>
        <w:t>20</w:t>
      </w:r>
      <w:r w:rsidRPr="0077270A">
        <w:tab/>
        <w:t>Privat</w:t>
      </w:r>
      <w:r>
        <w:t>e renting in County Durham</w:t>
      </w:r>
    </w:p>
    <w:tbl>
      <w:tblPr>
        <w:tblW w:w="8848" w:type="dxa"/>
        <w:tblInd w:w="93" w:type="dxa"/>
        <w:tblLook w:val="04A0" w:firstRow="1" w:lastRow="0" w:firstColumn="1" w:lastColumn="0" w:noHBand="0" w:noVBand="1"/>
      </w:tblPr>
      <w:tblGrid>
        <w:gridCol w:w="1460"/>
        <w:gridCol w:w="1628"/>
        <w:gridCol w:w="960"/>
        <w:gridCol w:w="960"/>
        <w:gridCol w:w="960"/>
        <w:gridCol w:w="960"/>
        <w:gridCol w:w="960"/>
        <w:gridCol w:w="960"/>
      </w:tblGrid>
      <w:tr w:rsidR="00F704B2" w:rsidRPr="009D79DD" w:rsidTr="00F704B2">
        <w:trPr>
          <w:trHeight w:val="255"/>
        </w:trPr>
        <w:tc>
          <w:tcPr>
            <w:tcW w:w="146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9D79DD" w:rsidRDefault="00F704B2" w:rsidP="003C5498">
            <w:pPr>
              <w:spacing w:before="0" w:after="0"/>
              <w:rPr>
                <w:rFonts w:cs="Arial"/>
                <w:b/>
                <w:bCs/>
                <w:color w:val="FFFFFF"/>
                <w:sz w:val="20"/>
                <w:szCs w:val="20"/>
                <w:lang w:eastAsia="en-GB"/>
              </w:rPr>
            </w:pPr>
            <w:r w:rsidRPr="009D79DD">
              <w:rPr>
                <w:rFonts w:cs="Arial"/>
                <w:b/>
                <w:bCs/>
                <w:color w:val="FFFFFF"/>
                <w:sz w:val="20"/>
                <w:szCs w:val="20"/>
                <w:lang w:eastAsia="en-GB"/>
              </w:rPr>
              <w:t>No. Bedrooms</w:t>
            </w:r>
          </w:p>
        </w:tc>
        <w:tc>
          <w:tcPr>
            <w:tcW w:w="1628"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9D79DD" w:rsidRDefault="00F704B2" w:rsidP="003C5498">
            <w:pPr>
              <w:spacing w:before="0" w:after="0"/>
              <w:rPr>
                <w:rFonts w:cs="Arial"/>
                <w:b/>
                <w:bCs/>
                <w:color w:val="FFFFFF"/>
                <w:sz w:val="20"/>
                <w:szCs w:val="20"/>
                <w:lang w:eastAsia="en-GB"/>
              </w:rPr>
            </w:pPr>
            <w:r w:rsidRPr="009D79DD">
              <w:rPr>
                <w:rFonts w:cs="Arial"/>
                <w:b/>
                <w:bCs/>
                <w:color w:val="FFFFFF"/>
                <w:sz w:val="20"/>
                <w:szCs w:val="20"/>
                <w:lang w:eastAsia="en-GB"/>
              </w:rPr>
              <w:t>Price</w:t>
            </w:r>
          </w:p>
        </w:tc>
        <w:tc>
          <w:tcPr>
            <w:tcW w:w="5760" w:type="dxa"/>
            <w:gridSpan w:val="6"/>
            <w:tcBorders>
              <w:top w:val="single" w:sz="4" w:space="0" w:color="auto"/>
              <w:left w:val="single" w:sz="4" w:space="0" w:color="auto"/>
              <w:bottom w:val="single" w:sz="4" w:space="0" w:color="auto"/>
              <w:right w:val="single" w:sz="4" w:space="0" w:color="000000"/>
            </w:tcBorders>
            <w:shd w:val="clear" w:color="000000" w:fill="008080"/>
            <w:noWrap/>
            <w:vAlign w:val="bottom"/>
            <w:hideMark/>
          </w:tcPr>
          <w:p w:rsidR="00F704B2" w:rsidRPr="009D79DD" w:rsidRDefault="00B440F0" w:rsidP="003C5498">
            <w:pPr>
              <w:spacing w:before="0" w:after="0"/>
              <w:rPr>
                <w:rFonts w:cs="Arial"/>
                <w:b/>
                <w:bCs/>
                <w:color w:val="FFFFFF"/>
                <w:sz w:val="20"/>
                <w:szCs w:val="20"/>
                <w:lang w:eastAsia="en-GB"/>
              </w:rPr>
            </w:pPr>
            <w:r>
              <w:rPr>
                <w:rFonts w:cs="Arial"/>
                <w:b/>
                <w:bCs/>
                <w:color w:val="FFFFFF"/>
                <w:sz w:val="20"/>
                <w:szCs w:val="20"/>
                <w:lang w:eastAsia="en-GB"/>
              </w:rPr>
              <w:t>Delivery area</w:t>
            </w:r>
            <w:r w:rsidR="00F704B2" w:rsidRPr="009D79DD">
              <w:rPr>
                <w:rFonts w:cs="Arial"/>
                <w:b/>
                <w:bCs/>
                <w:color w:val="FFFFFF"/>
                <w:sz w:val="20"/>
                <w:szCs w:val="20"/>
                <w:lang w:eastAsia="en-GB"/>
              </w:rPr>
              <w:t xml:space="preserve"> and Rent Per Calendar Month (£)</w:t>
            </w:r>
          </w:p>
        </w:tc>
      </w:tr>
      <w:tr w:rsidR="00F704B2" w:rsidRPr="009D79DD" w:rsidTr="00F704B2">
        <w:trPr>
          <w:trHeight w:val="510"/>
        </w:trPr>
        <w:tc>
          <w:tcPr>
            <w:tcW w:w="1460" w:type="dxa"/>
            <w:tcBorders>
              <w:top w:val="nil"/>
              <w:left w:val="single" w:sz="4" w:space="0" w:color="auto"/>
              <w:bottom w:val="single" w:sz="4" w:space="0" w:color="auto"/>
              <w:right w:val="single" w:sz="4" w:space="0" w:color="auto"/>
            </w:tcBorders>
            <w:shd w:val="clear" w:color="000000" w:fill="008080"/>
            <w:noWrap/>
            <w:vAlign w:val="bottom"/>
            <w:hideMark/>
          </w:tcPr>
          <w:p w:rsidR="00F704B2" w:rsidRPr="009D79DD" w:rsidRDefault="00F704B2" w:rsidP="003C5498">
            <w:pPr>
              <w:spacing w:before="0" w:after="0"/>
              <w:rPr>
                <w:rFonts w:cs="Arial"/>
                <w:color w:val="FFFFFF"/>
                <w:sz w:val="20"/>
                <w:szCs w:val="20"/>
                <w:lang w:eastAsia="en-GB"/>
              </w:rPr>
            </w:pPr>
            <w:r w:rsidRPr="009D79DD">
              <w:rPr>
                <w:rFonts w:cs="Arial"/>
                <w:color w:val="FFFFFF"/>
                <w:sz w:val="20"/>
                <w:szCs w:val="20"/>
                <w:lang w:eastAsia="en-GB"/>
              </w:rPr>
              <w:t> </w:t>
            </w:r>
          </w:p>
        </w:tc>
        <w:tc>
          <w:tcPr>
            <w:tcW w:w="1628" w:type="dxa"/>
            <w:tcBorders>
              <w:top w:val="nil"/>
              <w:left w:val="nil"/>
              <w:bottom w:val="single" w:sz="4" w:space="0" w:color="auto"/>
              <w:right w:val="single" w:sz="4" w:space="0" w:color="auto"/>
            </w:tcBorders>
            <w:shd w:val="clear" w:color="000000" w:fill="008080"/>
            <w:noWrap/>
            <w:vAlign w:val="bottom"/>
            <w:hideMark/>
          </w:tcPr>
          <w:p w:rsidR="00F704B2" w:rsidRPr="009D79DD" w:rsidRDefault="00F704B2" w:rsidP="003C5498">
            <w:pPr>
              <w:spacing w:before="0" w:after="0"/>
              <w:rPr>
                <w:rFonts w:cs="Arial"/>
                <w:color w:val="FFFFFF"/>
                <w:sz w:val="20"/>
                <w:szCs w:val="20"/>
                <w:lang w:eastAsia="en-GB"/>
              </w:rPr>
            </w:pPr>
            <w:r w:rsidRPr="009D79DD">
              <w:rPr>
                <w:rFonts w:cs="Arial"/>
                <w:color w:val="FFFFFF"/>
                <w:sz w:val="20"/>
                <w:szCs w:val="20"/>
                <w:lang w:eastAsia="en-GB"/>
              </w:rPr>
              <w:t> </w:t>
            </w:r>
          </w:p>
        </w:tc>
        <w:tc>
          <w:tcPr>
            <w:tcW w:w="960" w:type="dxa"/>
            <w:tcBorders>
              <w:top w:val="nil"/>
              <w:left w:val="nil"/>
              <w:bottom w:val="single" w:sz="4" w:space="0" w:color="auto"/>
              <w:right w:val="single" w:sz="4" w:space="0" w:color="auto"/>
            </w:tcBorders>
            <w:shd w:val="clear" w:color="000000" w:fill="008080"/>
            <w:vAlign w:val="bottom"/>
            <w:hideMark/>
          </w:tcPr>
          <w:p w:rsidR="00F704B2" w:rsidRPr="009D79DD" w:rsidRDefault="00F704B2" w:rsidP="003C5498">
            <w:pPr>
              <w:spacing w:before="0" w:after="0"/>
              <w:jc w:val="center"/>
              <w:rPr>
                <w:rFonts w:cs="Arial"/>
                <w:color w:val="FFFFFF"/>
                <w:sz w:val="20"/>
                <w:szCs w:val="20"/>
                <w:lang w:eastAsia="en-GB"/>
              </w:rPr>
            </w:pPr>
            <w:r w:rsidRPr="009D79DD">
              <w:rPr>
                <w:rFonts w:cs="Arial"/>
                <w:color w:val="FFFFFF"/>
                <w:sz w:val="20"/>
                <w:szCs w:val="20"/>
                <w:lang w:eastAsia="en-GB"/>
              </w:rPr>
              <w:t>Central Durham</w:t>
            </w:r>
          </w:p>
        </w:tc>
        <w:tc>
          <w:tcPr>
            <w:tcW w:w="960" w:type="dxa"/>
            <w:tcBorders>
              <w:top w:val="nil"/>
              <w:left w:val="nil"/>
              <w:bottom w:val="single" w:sz="4" w:space="0" w:color="auto"/>
              <w:right w:val="single" w:sz="4" w:space="0" w:color="auto"/>
            </w:tcBorders>
            <w:shd w:val="clear" w:color="000000" w:fill="008080"/>
            <w:vAlign w:val="bottom"/>
            <w:hideMark/>
          </w:tcPr>
          <w:p w:rsidR="00F704B2" w:rsidRPr="009D79DD" w:rsidRDefault="00F704B2" w:rsidP="003C5498">
            <w:pPr>
              <w:spacing w:before="0" w:after="0"/>
              <w:jc w:val="center"/>
              <w:rPr>
                <w:rFonts w:cs="Arial"/>
                <w:color w:val="FFFFFF"/>
                <w:sz w:val="20"/>
                <w:szCs w:val="20"/>
                <w:lang w:eastAsia="en-GB"/>
              </w:rPr>
            </w:pPr>
            <w:r w:rsidRPr="009D79DD">
              <w:rPr>
                <w:rFonts w:cs="Arial"/>
                <w:color w:val="FFFFFF"/>
                <w:sz w:val="20"/>
                <w:szCs w:val="20"/>
                <w:lang w:eastAsia="en-GB"/>
              </w:rPr>
              <w:t>North Durham</w:t>
            </w:r>
          </w:p>
        </w:tc>
        <w:tc>
          <w:tcPr>
            <w:tcW w:w="960" w:type="dxa"/>
            <w:tcBorders>
              <w:top w:val="nil"/>
              <w:left w:val="nil"/>
              <w:bottom w:val="single" w:sz="4" w:space="0" w:color="auto"/>
              <w:right w:val="single" w:sz="4" w:space="0" w:color="auto"/>
            </w:tcBorders>
            <w:shd w:val="clear" w:color="000000" w:fill="008080"/>
            <w:vAlign w:val="bottom"/>
            <w:hideMark/>
          </w:tcPr>
          <w:p w:rsidR="00F704B2" w:rsidRPr="009D79DD" w:rsidRDefault="00F704B2" w:rsidP="003C5498">
            <w:pPr>
              <w:spacing w:before="0" w:after="0"/>
              <w:jc w:val="center"/>
              <w:rPr>
                <w:rFonts w:cs="Arial"/>
                <w:color w:val="FFFFFF"/>
                <w:sz w:val="20"/>
                <w:szCs w:val="20"/>
                <w:lang w:eastAsia="en-GB"/>
              </w:rPr>
            </w:pPr>
            <w:r w:rsidRPr="009D79DD">
              <w:rPr>
                <w:rFonts w:cs="Arial"/>
                <w:color w:val="FFFFFF"/>
                <w:sz w:val="20"/>
                <w:szCs w:val="20"/>
                <w:lang w:eastAsia="en-GB"/>
              </w:rPr>
              <w:t>East Durham</w:t>
            </w:r>
          </w:p>
        </w:tc>
        <w:tc>
          <w:tcPr>
            <w:tcW w:w="960" w:type="dxa"/>
            <w:tcBorders>
              <w:top w:val="nil"/>
              <w:left w:val="nil"/>
              <w:bottom w:val="single" w:sz="4" w:space="0" w:color="auto"/>
              <w:right w:val="single" w:sz="4" w:space="0" w:color="auto"/>
            </w:tcBorders>
            <w:shd w:val="clear" w:color="000000" w:fill="008080"/>
            <w:vAlign w:val="bottom"/>
            <w:hideMark/>
          </w:tcPr>
          <w:p w:rsidR="00F704B2" w:rsidRPr="009D79DD" w:rsidRDefault="00F704B2" w:rsidP="003C5498">
            <w:pPr>
              <w:spacing w:before="0" w:after="0"/>
              <w:jc w:val="center"/>
              <w:rPr>
                <w:rFonts w:cs="Arial"/>
                <w:color w:val="FFFFFF"/>
                <w:sz w:val="20"/>
                <w:szCs w:val="20"/>
                <w:lang w:eastAsia="en-GB"/>
              </w:rPr>
            </w:pPr>
            <w:r w:rsidRPr="009D79DD">
              <w:rPr>
                <w:rFonts w:cs="Arial"/>
                <w:color w:val="FFFFFF"/>
                <w:sz w:val="20"/>
                <w:szCs w:val="20"/>
                <w:lang w:eastAsia="en-GB"/>
              </w:rPr>
              <w:t>South Durham</w:t>
            </w:r>
          </w:p>
        </w:tc>
        <w:tc>
          <w:tcPr>
            <w:tcW w:w="960" w:type="dxa"/>
            <w:tcBorders>
              <w:top w:val="nil"/>
              <w:left w:val="nil"/>
              <w:bottom w:val="single" w:sz="4" w:space="0" w:color="auto"/>
              <w:right w:val="single" w:sz="4" w:space="0" w:color="auto"/>
            </w:tcBorders>
            <w:shd w:val="clear" w:color="000000" w:fill="008080"/>
            <w:vAlign w:val="bottom"/>
            <w:hideMark/>
          </w:tcPr>
          <w:p w:rsidR="00F704B2" w:rsidRPr="009D79DD" w:rsidRDefault="00F704B2" w:rsidP="003C5498">
            <w:pPr>
              <w:spacing w:before="0" w:after="0"/>
              <w:jc w:val="center"/>
              <w:rPr>
                <w:rFonts w:cs="Arial"/>
                <w:color w:val="FFFFFF"/>
                <w:sz w:val="20"/>
                <w:szCs w:val="20"/>
                <w:lang w:eastAsia="en-GB"/>
              </w:rPr>
            </w:pPr>
            <w:r w:rsidRPr="009D79DD">
              <w:rPr>
                <w:rFonts w:cs="Arial"/>
                <w:color w:val="FFFFFF"/>
                <w:sz w:val="20"/>
                <w:szCs w:val="20"/>
                <w:lang w:eastAsia="en-GB"/>
              </w:rPr>
              <w:t>West Durham</w:t>
            </w:r>
          </w:p>
        </w:tc>
        <w:tc>
          <w:tcPr>
            <w:tcW w:w="960" w:type="dxa"/>
            <w:tcBorders>
              <w:top w:val="nil"/>
              <w:left w:val="nil"/>
              <w:bottom w:val="single" w:sz="4" w:space="0" w:color="auto"/>
              <w:right w:val="single" w:sz="4" w:space="0" w:color="auto"/>
            </w:tcBorders>
            <w:shd w:val="clear" w:color="000000" w:fill="008080"/>
            <w:vAlign w:val="bottom"/>
            <w:hideMark/>
          </w:tcPr>
          <w:p w:rsidR="00F704B2" w:rsidRPr="009D79DD" w:rsidRDefault="00F704B2" w:rsidP="003C5498">
            <w:pPr>
              <w:spacing w:before="0" w:after="0"/>
              <w:jc w:val="center"/>
              <w:rPr>
                <w:rFonts w:cs="Arial"/>
                <w:color w:val="FFFFFF"/>
                <w:sz w:val="20"/>
                <w:szCs w:val="20"/>
                <w:lang w:eastAsia="en-GB"/>
              </w:rPr>
            </w:pPr>
            <w:r w:rsidRPr="009D79DD">
              <w:rPr>
                <w:rFonts w:cs="Arial"/>
                <w:color w:val="FFFFFF"/>
                <w:sz w:val="20"/>
                <w:szCs w:val="20"/>
                <w:lang w:eastAsia="en-GB"/>
              </w:rPr>
              <w:t>County Durham</w:t>
            </w:r>
          </w:p>
        </w:tc>
      </w:tr>
      <w:tr w:rsidR="00F704B2" w:rsidRPr="009D79DD" w:rsidTr="00F704B2">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1</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340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270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525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340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362.5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272.5</w:t>
            </w:r>
          </w:p>
        </w:tc>
      </w:tr>
      <w:tr w:rsidR="00F704B2" w:rsidRPr="009D79DD" w:rsidTr="00F704B2">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275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712.5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377.5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325</w:t>
            </w:r>
          </w:p>
        </w:tc>
      </w:tr>
      <w:tr w:rsidR="00F704B2" w:rsidRPr="009D79DD" w:rsidTr="00F704B2">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2</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362.5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385</w:t>
            </w:r>
          </w:p>
        </w:tc>
      </w:tr>
      <w:tr w:rsidR="00F704B2" w:rsidRPr="009D79DD" w:rsidTr="00F704B2">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425</w:t>
            </w:r>
          </w:p>
        </w:tc>
      </w:tr>
      <w:tr w:rsidR="00F704B2" w:rsidRPr="009D79DD" w:rsidTr="00F704B2">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3</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r>
      <w:tr w:rsidR="00F704B2" w:rsidRPr="009D79DD" w:rsidTr="00F704B2">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525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500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495</w:t>
            </w:r>
          </w:p>
        </w:tc>
      </w:tr>
      <w:tr w:rsidR="00F704B2" w:rsidRPr="009D79DD" w:rsidTr="00F704B2">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4</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672.5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625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500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595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640</w:t>
            </w:r>
          </w:p>
        </w:tc>
      </w:tr>
      <w:tr w:rsidR="00F704B2" w:rsidRPr="009D79DD" w:rsidTr="00F704B2">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750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550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687.5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700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725</w:t>
            </w:r>
          </w:p>
        </w:tc>
      </w:tr>
      <w:tr w:rsidR="00F704B2" w:rsidRPr="009D79DD" w:rsidTr="00F704B2">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5</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665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850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1200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700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687.5</w:t>
            </w:r>
          </w:p>
        </w:tc>
      </w:tr>
      <w:tr w:rsidR="00F704B2" w:rsidRPr="009D79DD" w:rsidTr="00F704B2">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1337</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975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1200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1200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1200</w:t>
            </w:r>
          </w:p>
        </w:tc>
      </w:tr>
      <w:tr w:rsidR="00F704B2" w:rsidRPr="009D79DD" w:rsidTr="00F704B2">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6</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2070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1400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1400</w:t>
            </w:r>
          </w:p>
        </w:tc>
      </w:tr>
      <w:tr w:rsidR="00F704B2" w:rsidRPr="009D79DD" w:rsidTr="00F704B2">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2935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1400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1670</w:t>
            </w:r>
          </w:p>
        </w:tc>
      </w:tr>
      <w:tr w:rsidR="00F704B2" w:rsidRPr="009D79DD" w:rsidTr="00F704B2">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All</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395</w:t>
            </w:r>
          </w:p>
        </w:tc>
      </w:tr>
      <w:tr w:rsidR="00F704B2" w:rsidRPr="009D79DD" w:rsidTr="00F704B2">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right"/>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475</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424</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F704B2" w:rsidRPr="009D79DD" w:rsidRDefault="00F704B2" w:rsidP="003C5498">
            <w:pPr>
              <w:spacing w:before="0" w:after="0"/>
              <w:jc w:val="center"/>
              <w:rPr>
                <w:rFonts w:cs="Arial"/>
                <w:sz w:val="20"/>
                <w:szCs w:val="20"/>
                <w:lang w:eastAsia="en-GB"/>
              </w:rPr>
            </w:pPr>
            <w:r w:rsidRPr="009D79DD">
              <w:rPr>
                <w:rFonts w:cs="Arial"/>
                <w:sz w:val="20"/>
                <w:szCs w:val="20"/>
                <w:lang w:eastAsia="en-GB"/>
              </w:rPr>
              <w:t>450</w:t>
            </w:r>
          </w:p>
        </w:tc>
      </w:tr>
      <w:tr w:rsidR="00F704B2" w:rsidRPr="009D79DD" w:rsidTr="00F704B2">
        <w:trPr>
          <w:trHeight w:val="255"/>
        </w:trPr>
        <w:tc>
          <w:tcPr>
            <w:tcW w:w="884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4B2" w:rsidRPr="009D79DD" w:rsidRDefault="00F704B2" w:rsidP="00F704B2">
            <w:pPr>
              <w:spacing w:before="0" w:after="0"/>
              <w:rPr>
                <w:rFonts w:cs="Arial"/>
                <w:sz w:val="20"/>
                <w:szCs w:val="20"/>
                <w:lang w:eastAsia="en-GB"/>
              </w:rPr>
            </w:pPr>
            <w:r>
              <w:rPr>
                <w:rFonts w:cs="Arial"/>
                <w:sz w:val="20"/>
                <w:szCs w:val="20"/>
                <w:lang w:eastAsia="en-GB"/>
              </w:rPr>
              <w:t>Source: Internet search of private lettings agents 2012</w:t>
            </w:r>
          </w:p>
        </w:tc>
      </w:tr>
    </w:tbl>
    <w:p w:rsidR="00F704B2" w:rsidRPr="00F704B2" w:rsidRDefault="00F704B2" w:rsidP="00F704B2"/>
    <w:p w:rsidR="00F704B2" w:rsidRDefault="00F704B2" w:rsidP="001779B9">
      <w:pPr>
        <w:pStyle w:val="Heading4"/>
        <w:ind w:left="0" w:firstLine="709"/>
      </w:pPr>
      <w:r>
        <w:t>Renting a property: renting from a social landlord</w:t>
      </w:r>
    </w:p>
    <w:p w:rsidR="00F704B2" w:rsidRDefault="00F704B2" w:rsidP="00F704B2">
      <w:pPr>
        <w:pStyle w:val="Maintext"/>
        <w:numPr>
          <w:ilvl w:val="1"/>
          <w:numId w:val="8"/>
        </w:numPr>
        <w:tabs>
          <w:tab w:val="num" w:pos="992"/>
        </w:tabs>
      </w:pPr>
      <w:r>
        <w:t xml:space="preserve">Table B21 illustrates the cost of renting a property from social housing providers.  </w:t>
      </w:r>
    </w:p>
    <w:p w:rsidR="00F704B2" w:rsidRPr="00457ED0" w:rsidRDefault="00F704B2" w:rsidP="00F704B2">
      <w:pPr>
        <w:pStyle w:val="Maintext"/>
        <w:numPr>
          <w:ilvl w:val="0"/>
          <w:numId w:val="0"/>
        </w:numPr>
        <w:ind w:left="709"/>
      </w:pPr>
    </w:p>
    <w:p w:rsidR="00F704B2" w:rsidRDefault="00F704B2" w:rsidP="00F704B2">
      <w:pPr>
        <w:pStyle w:val="Maintext"/>
        <w:numPr>
          <w:ilvl w:val="0"/>
          <w:numId w:val="0"/>
        </w:numPr>
        <w:ind w:left="2160" w:hanging="1451"/>
      </w:pPr>
      <w:r>
        <w:rPr>
          <w:b/>
        </w:rPr>
        <w:t>Table B21</w:t>
      </w:r>
      <w:r>
        <w:tab/>
        <w:t>The cost of renting from a social landlord in County Durham and income required for the property to be affordable</w:t>
      </w:r>
    </w:p>
    <w:tbl>
      <w:tblPr>
        <w:tblW w:w="6280" w:type="dxa"/>
        <w:tblInd w:w="720" w:type="dxa"/>
        <w:tblLook w:val="04A0" w:firstRow="1" w:lastRow="0" w:firstColumn="1" w:lastColumn="0" w:noHBand="0" w:noVBand="1"/>
      </w:tblPr>
      <w:tblGrid>
        <w:gridCol w:w="2640"/>
        <w:gridCol w:w="3640"/>
      </w:tblGrid>
      <w:tr w:rsidR="00F704B2" w:rsidRPr="002D0D8B" w:rsidTr="003C5498">
        <w:trPr>
          <w:trHeight w:val="510"/>
        </w:trPr>
        <w:tc>
          <w:tcPr>
            <w:tcW w:w="264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2D0D8B" w:rsidRDefault="00F704B2" w:rsidP="003C5498">
            <w:pPr>
              <w:spacing w:before="0" w:after="0"/>
              <w:rPr>
                <w:rFonts w:cs="Arial"/>
                <w:b/>
                <w:bCs/>
                <w:color w:val="FFFFFF"/>
                <w:sz w:val="20"/>
                <w:szCs w:val="20"/>
                <w:lang w:eastAsia="en-GB"/>
              </w:rPr>
            </w:pPr>
            <w:r w:rsidRPr="002D0D8B">
              <w:rPr>
                <w:rFonts w:cs="Arial"/>
                <w:b/>
                <w:bCs/>
                <w:color w:val="FFFFFF"/>
                <w:sz w:val="20"/>
                <w:szCs w:val="20"/>
                <w:lang w:eastAsia="en-GB"/>
              </w:rPr>
              <w:t>Property size</w:t>
            </w:r>
          </w:p>
        </w:tc>
        <w:tc>
          <w:tcPr>
            <w:tcW w:w="3640" w:type="dxa"/>
            <w:tcBorders>
              <w:top w:val="single" w:sz="4" w:space="0" w:color="auto"/>
              <w:left w:val="nil"/>
              <w:bottom w:val="single" w:sz="4" w:space="0" w:color="auto"/>
              <w:right w:val="single" w:sz="4" w:space="0" w:color="auto"/>
            </w:tcBorders>
            <w:shd w:val="clear" w:color="000000" w:fill="008080"/>
            <w:vAlign w:val="bottom"/>
            <w:hideMark/>
          </w:tcPr>
          <w:p w:rsidR="00F704B2" w:rsidRPr="002D0D8B" w:rsidRDefault="00F704B2" w:rsidP="003C5498">
            <w:pPr>
              <w:spacing w:before="0" w:after="0"/>
              <w:jc w:val="center"/>
              <w:rPr>
                <w:rFonts w:cs="Arial"/>
                <w:b/>
                <w:bCs/>
                <w:color w:val="FFFFFF"/>
                <w:sz w:val="20"/>
                <w:szCs w:val="20"/>
                <w:lang w:eastAsia="en-GB"/>
              </w:rPr>
            </w:pPr>
            <w:r w:rsidRPr="002D0D8B">
              <w:rPr>
                <w:rFonts w:cs="Arial"/>
                <w:b/>
                <w:bCs/>
                <w:color w:val="FFFFFF"/>
                <w:sz w:val="20"/>
                <w:szCs w:val="20"/>
                <w:lang w:eastAsia="en-GB"/>
              </w:rPr>
              <w:t>Average Monthly Gross Rent – Housing Associations</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Bedsit</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£237</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One</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£241</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Two</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£269</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Three</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£285</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Four</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£306</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 xml:space="preserve">Five </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£341</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Six +</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£337</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b/>
                <w:bCs/>
                <w:sz w:val="20"/>
                <w:szCs w:val="20"/>
                <w:lang w:eastAsia="en-GB"/>
              </w:rPr>
            </w:pPr>
            <w:r w:rsidRPr="002D0D8B">
              <w:rPr>
                <w:rFonts w:cs="Arial"/>
                <w:b/>
                <w:bCs/>
                <w:sz w:val="20"/>
                <w:szCs w:val="20"/>
                <w:lang w:eastAsia="en-GB"/>
              </w:rPr>
              <w:t>All Sizes</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b/>
                <w:bCs/>
                <w:sz w:val="20"/>
                <w:szCs w:val="20"/>
                <w:lang w:eastAsia="en-GB"/>
              </w:rPr>
            </w:pPr>
            <w:r w:rsidRPr="002D0D8B">
              <w:rPr>
                <w:rFonts w:cs="Arial"/>
                <w:b/>
                <w:bCs/>
                <w:sz w:val="20"/>
                <w:szCs w:val="20"/>
                <w:lang w:eastAsia="en-GB"/>
              </w:rPr>
              <w:t>£273</w:t>
            </w:r>
          </w:p>
        </w:tc>
      </w:tr>
      <w:tr w:rsidR="00F704B2" w:rsidRPr="002D0D8B" w:rsidTr="003C5498">
        <w:trPr>
          <w:trHeight w:val="765"/>
        </w:trPr>
        <w:tc>
          <w:tcPr>
            <w:tcW w:w="2640" w:type="dxa"/>
            <w:tcBorders>
              <w:top w:val="nil"/>
              <w:left w:val="single" w:sz="4" w:space="0" w:color="auto"/>
              <w:bottom w:val="single" w:sz="4" w:space="0" w:color="auto"/>
              <w:right w:val="single" w:sz="4" w:space="0" w:color="auto"/>
            </w:tcBorders>
            <w:shd w:val="clear" w:color="000000" w:fill="008080"/>
            <w:noWrap/>
            <w:vAlign w:val="bottom"/>
            <w:hideMark/>
          </w:tcPr>
          <w:p w:rsidR="00F704B2" w:rsidRPr="002D0D8B" w:rsidRDefault="00F704B2" w:rsidP="003C5498">
            <w:pPr>
              <w:spacing w:before="0" w:after="0"/>
              <w:rPr>
                <w:rFonts w:cs="Arial"/>
                <w:b/>
                <w:bCs/>
                <w:color w:val="FFFFFF"/>
                <w:sz w:val="20"/>
                <w:szCs w:val="20"/>
                <w:lang w:eastAsia="en-GB"/>
              </w:rPr>
            </w:pPr>
            <w:r w:rsidRPr="002D0D8B">
              <w:rPr>
                <w:rFonts w:cs="Arial"/>
                <w:b/>
                <w:bCs/>
                <w:color w:val="FFFFFF"/>
                <w:sz w:val="20"/>
                <w:szCs w:val="20"/>
                <w:lang w:eastAsia="en-GB"/>
              </w:rPr>
              <w:t>Property size</w:t>
            </w:r>
          </w:p>
        </w:tc>
        <w:tc>
          <w:tcPr>
            <w:tcW w:w="3640" w:type="dxa"/>
            <w:tcBorders>
              <w:top w:val="nil"/>
              <w:left w:val="nil"/>
              <w:bottom w:val="single" w:sz="4" w:space="0" w:color="auto"/>
              <w:right w:val="single" w:sz="4" w:space="0" w:color="auto"/>
            </w:tcBorders>
            <w:shd w:val="clear" w:color="000000" w:fill="008080"/>
            <w:vAlign w:val="bottom"/>
            <w:hideMark/>
          </w:tcPr>
          <w:p w:rsidR="00F704B2" w:rsidRPr="002D0D8B" w:rsidRDefault="00F704B2" w:rsidP="003C5498">
            <w:pPr>
              <w:spacing w:before="0" w:after="0"/>
              <w:jc w:val="center"/>
              <w:rPr>
                <w:rFonts w:cs="Arial"/>
                <w:b/>
                <w:bCs/>
                <w:color w:val="FFFFFF"/>
                <w:sz w:val="20"/>
                <w:szCs w:val="20"/>
                <w:lang w:eastAsia="en-GB"/>
              </w:rPr>
            </w:pPr>
            <w:r w:rsidRPr="002D0D8B">
              <w:rPr>
                <w:rFonts w:cs="Arial"/>
                <w:b/>
                <w:bCs/>
                <w:color w:val="FFFFFF"/>
                <w:sz w:val="20"/>
                <w:szCs w:val="20"/>
                <w:lang w:eastAsia="en-GB"/>
              </w:rPr>
              <w:t>Min. income required for rent to be affordable (based on 25% of gross household income)</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Bedsit</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£946</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One</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£965</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Two</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£1,078</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Three</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£1,139</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Four</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£1,222</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 xml:space="preserve">Five </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£1,364</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sz w:val="20"/>
                <w:szCs w:val="20"/>
                <w:lang w:eastAsia="en-GB"/>
              </w:rPr>
            </w:pPr>
            <w:r w:rsidRPr="002D0D8B">
              <w:rPr>
                <w:rFonts w:cs="Arial"/>
                <w:sz w:val="20"/>
                <w:szCs w:val="20"/>
                <w:lang w:eastAsia="en-GB"/>
              </w:rPr>
              <w:t>Six +</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sz w:val="20"/>
                <w:szCs w:val="20"/>
                <w:lang w:eastAsia="en-GB"/>
              </w:rPr>
            </w:pPr>
            <w:r w:rsidRPr="002D0D8B">
              <w:rPr>
                <w:rFonts w:cs="Arial"/>
                <w:sz w:val="20"/>
                <w:szCs w:val="20"/>
                <w:lang w:eastAsia="en-GB"/>
              </w:rPr>
              <w:t>£1,349</w:t>
            </w:r>
          </w:p>
        </w:tc>
      </w:tr>
      <w:tr w:rsidR="00F704B2" w:rsidRPr="002D0D8B" w:rsidTr="003C5498">
        <w:trPr>
          <w:trHeight w:val="25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rPr>
                <w:rFonts w:cs="Arial"/>
                <w:b/>
                <w:bCs/>
                <w:sz w:val="20"/>
                <w:szCs w:val="20"/>
                <w:lang w:eastAsia="en-GB"/>
              </w:rPr>
            </w:pPr>
            <w:r w:rsidRPr="002D0D8B">
              <w:rPr>
                <w:rFonts w:cs="Arial"/>
                <w:b/>
                <w:bCs/>
                <w:sz w:val="20"/>
                <w:szCs w:val="20"/>
                <w:lang w:eastAsia="en-GB"/>
              </w:rPr>
              <w:t>All Sizes</w:t>
            </w:r>
          </w:p>
        </w:tc>
        <w:tc>
          <w:tcPr>
            <w:tcW w:w="3640" w:type="dxa"/>
            <w:tcBorders>
              <w:top w:val="nil"/>
              <w:left w:val="nil"/>
              <w:bottom w:val="single" w:sz="4" w:space="0" w:color="auto"/>
              <w:right w:val="single" w:sz="4" w:space="0" w:color="auto"/>
            </w:tcBorders>
            <w:shd w:val="clear" w:color="auto" w:fill="auto"/>
            <w:noWrap/>
            <w:vAlign w:val="bottom"/>
            <w:hideMark/>
          </w:tcPr>
          <w:p w:rsidR="00F704B2" w:rsidRPr="002D0D8B" w:rsidRDefault="00F704B2" w:rsidP="003C5498">
            <w:pPr>
              <w:spacing w:before="0" w:after="0"/>
              <w:jc w:val="center"/>
              <w:rPr>
                <w:rFonts w:cs="Arial"/>
                <w:b/>
                <w:bCs/>
                <w:sz w:val="20"/>
                <w:szCs w:val="20"/>
                <w:lang w:eastAsia="en-GB"/>
              </w:rPr>
            </w:pPr>
            <w:r w:rsidRPr="002D0D8B">
              <w:rPr>
                <w:rFonts w:cs="Arial"/>
                <w:b/>
                <w:bCs/>
                <w:sz w:val="20"/>
                <w:szCs w:val="20"/>
                <w:lang w:eastAsia="en-GB"/>
              </w:rPr>
              <w:t>£1,090</w:t>
            </w:r>
          </w:p>
        </w:tc>
      </w:tr>
    </w:tbl>
    <w:p w:rsidR="00F704B2" w:rsidRPr="00400708" w:rsidRDefault="00F704B2" w:rsidP="00F704B2">
      <w:pPr>
        <w:pStyle w:val="Maintext"/>
        <w:numPr>
          <w:ilvl w:val="0"/>
          <w:numId w:val="0"/>
        </w:numPr>
        <w:ind w:firstLine="709"/>
        <w:rPr>
          <w:sz w:val="20"/>
          <w:szCs w:val="20"/>
        </w:rPr>
      </w:pPr>
      <w:r w:rsidRPr="00400708">
        <w:rPr>
          <w:sz w:val="20"/>
          <w:szCs w:val="20"/>
        </w:rPr>
        <w:t>Source: Homes and Communities Agency Re</w:t>
      </w:r>
      <w:r>
        <w:rPr>
          <w:sz w:val="20"/>
          <w:szCs w:val="20"/>
        </w:rPr>
        <w:t>gulatory Statistical Return 2011</w:t>
      </w:r>
    </w:p>
    <w:p w:rsidR="00F704B2" w:rsidRDefault="00F704B2" w:rsidP="00F704B2">
      <w:pPr>
        <w:pStyle w:val="Maintext"/>
        <w:numPr>
          <w:ilvl w:val="0"/>
          <w:numId w:val="0"/>
        </w:numPr>
        <w:tabs>
          <w:tab w:val="num" w:pos="992"/>
        </w:tabs>
        <w:ind w:left="709"/>
      </w:pPr>
    </w:p>
    <w:p w:rsidR="00F704B2" w:rsidRDefault="00F704B2" w:rsidP="00F704B2">
      <w:pPr>
        <w:pStyle w:val="Maintext"/>
        <w:numPr>
          <w:ilvl w:val="1"/>
          <w:numId w:val="8"/>
        </w:numPr>
        <w:tabs>
          <w:tab w:val="num" w:pos="992"/>
        </w:tabs>
      </w:pPr>
      <w:r>
        <w:t xml:space="preserve">The relative affordability of different open market options is carefully considered in assessing housing need and the scale of affordable housing required.  This is discussed in more detail in Appendix D.  </w:t>
      </w:r>
    </w:p>
    <w:p w:rsidR="00F704B2" w:rsidRDefault="00F704B2" w:rsidP="00F704B2">
      <w:pPr>
        <w:rPr>
          <w:i/>
        </w:rPr>
      </w:pPr>
    </w:p>
    <w:p w:rsidR="00F704B2" w:rsidRDefault="00F704B2" w:rsidP="00F704B2">
      <w:pPr>
        <w:pStyle w:val="Heading3"/>
      </w:pPr>
      <w:bookmarkStart w:id="270" w:name="_Toc225941590"/>
      <w:bookmarkStart w:id="271" w:name="_Toc318323448"/>
      <w:r>
        <w:t>Overcrowding and under-occupation (Step 3.3)</w:t>
      </w:r>
      <w:bookmarkEnd w:id="270"/>
      <w:bookmarkEnd w:id="271"/>
    </w:p>
    <w:p w:rsidR="00F704B2" w:rsidRDefault="00F704B2" w:rsidP="00F704B2"/>
    <w:p w:rsidR="00F704B2" w:rsidRDefault="00F704B2" w:rsidP="00F704B2">
      <w:pPr>
        <w:pStyle w:val="Heading4"/>
      </w:pPr>
      <w:r>
        <w:t>Overcrowding</w:t>
      </w:r>
    </w:p>
    <w:p w:rsidR="00F704B2" w:rsidRDefault="00F704B2" w:rsidP="00F704B2">
      <w:pPr>
        <w:pStyle w:val="Maintext"/>
        <w:numPr>
          <w:ilvl w:val="1"/>
          <w:numId w:val="8"/>
        </w:numPr>
        <w:tabs>
          <w:tab w:val="num" w:pos="992"/>
        </w:tabs>
        <w:rPr>
          <w:b/>
        </w:rPr>
      </w:pPr>
      <w:r>
        <w:t>The 201</w:t>
      </w:r>
      <w:r w:rsidR="00E74B30">
        <w:t>2</w:t>
      </w:r>
      <w:r>
        <w:t xml:space="preserve"> Household Survey identified that around </w:t>
      </w:r>
      <w:r w:rsidR="007E2BC0">
        <w:t>2,709</w:t>
      </w:r>
      <w:r>
        <w:t xml:space="preserve"> households across County Durham were living in overcrowded conditions.  Analysis was based on the number of bedrooms the household had access to, compared with the number required according to the Bedroom Standard Model.  Table B22 shows that the proportion of households who were overcrowded averaged 1.</w:t>
      </w:r>
      <w:r w:rsidR="00E74B30">
        <w:t>2</w:t>
      </w:r>
      <w:r>
        <w:t xml:space="preserve">% across County Durham and was </w:t>
      </w:r>
      <w:r w:rsidR="00E74B30">
        <w:t>highest in East Durham where 2.1</w:t>
      </w:r>
      <w:r>
        <w:t>% of all households were overcrowded.</w:t>
      </w:r>
    </w:p>
    <w:p w:rsidR="007E2BC0" w:rsidRDefault="007E2BC0" w:rsidP="00F704B2">
      <w:pPr>
        <w:pStyle w:val="Maintext"/>
        <w:numPr>
          <w:ilvl w:val="0"/>
          <w:numId w:val="0"/>
        </w:numPr>
        <w:rPr>
          <w:b/>
          <w:i/>
        </w:rPr>
      </w:pPr>
    </w:p>
    <w:p w:rsidR="00F704B2" w:rsidRDefault="00F704B2" w:rsidP="00F704B2">
      <w:pPr>
        <w:pStyle w:val="Maintext"/>
        <w:numPr>
          <w:ilvl w:val="0"/>
          <w:numId w:val="0"/>
        </w:numPr>
        <w:ind w:firstLine="709"/>
      </w:pPr>
      <w:r>
        <w:rPr>
          <w:b/>
        </w:rPr>
        <w:t>Table B22</w:t>
      </w:r>
      <w:r>
        <w:rPr>
          <w:b/>
        </w:rPr>
        <w:tab/>
      </w:r>
      <w:r>
        <w:t xml:space="preserve">Overcrowding by </w:t>
      </w:r>
      <w:r w:rsidR="00B440F0">
        <w:t>delivery area</w:t>
      </w:r>
      <w:r>
        <w:t xml:space="preserve"> </w:t>
      </w:r>
    </w:p>
    <w:tbl>
      <w:tblPr>
        <w:tblW w:w="7320" w:type="dxa"/>
        <w:tblInd w:w="720" w:type="dxa"/>
        <w:tblLook w:val="04A0" w:firstRow="1" w:lastRow="0" w:firstColumn="1" w:lastColumn="0" w:noHBand="0" w:noVBand="1"/>
      </w:tblPr>
      <w:tblGrid>
        <w:gridCol w:w="2160"/>
        <w:gridCol w:w="1840"/>
        <w:gridCol w:w="1740"/>
        <w:gridCol w:w="1580"/>
      </w:tblGrid>
      <w:tr w:rsidR="00F704B2" w:rsidRPr="00571858" w:rsidTr="003C5498">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571858" w:rsidRDefault="00B440F0" w:rsidP="003C5498">
            <w:pPr>
              <w:spacing w:before="0" w:after="0"/>
              <w:rPr>
                <w:rFonts w:cs="Arial"/>
                <w:b/>
                <w:bCs/>
                <w:color w:val="FFFFFF"/>
                <w:sz w:val="20"/>
                <w:szCs w:val="20"/>
                <w:lang w:eastAsia="en-GB"/>
              </w:rPr>
            </w:pPr>
            <w:r>
              <w:rPr>
                <w:rFonts w:cs="Arial"/>
                <w:b/>
                <w:bCs/>
                <w:color w:val="FFFFFF"/>
                <w:sz w:val="20"/>
                <w:szCs w:val="20"/>
                <w:lang w:eastAsia="en-GB"/>
              </w:rPr>
              <w:t>Delivery area</w:t>
            </w:r>
          </w:p>
        </w:tc>
        <w:tc>
          <w:tcPr>
            <w:tcW w:w="1840"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571858" w:rsidRDefault="00E74B30" w:rsidP="00E74B30">
            <w:pPr>
              <w:spacing w:before="0" w:after="0"/>
              <w:jc w:val="center"/>
              <w:rPr>
                <w:rFonts w:cs="Arial"/>
                <w:b/>
                <w:bCs/>
                <w:color w:val="FFFFFF"/>
                <w:sz w:val="20"/>
                <w:szCs w:val="20"/>
                <w:lang w:eastAsia="en-GB"/>
              </w:rPr>
            </w:pPr>
            <w:r>
              <w:rPr>
                <w:rFonts w:cs="Arial"/>
                <w:b/>
                <w:bCs/>
                <w:color w:val="FFFFFF"/>
                <w:sz w:val="20"/>
                <w:szCs w:val="20"/>
                <w:lang w:eastAsia="en-GB"/>
              </w:rPr>
              <w:t xml:space="preserve">No. </w:t>
            </w:r>
            <w:r w:rsidR="00F704B2" w:rsidRPr="00571858">
              <w:rPr>
                <w:rFonts w:cs="Arial"/>
                <w:b/>
                <w:bCs/>
                <w:color w:val="FFFFFF"/>
                <w:sz w:val="20"/>
                <w:szCs w:val="20"/>
                <w:lang w:eastAsia="en-GB"/>
              </w:rPr>
              <w:t>Overcrowded</w:t>
            </w:r>
          </w:p>
        </w:tc>
        <w:tc>
          <w:tcPr>
            <w:tcW w:w="1740"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571858" w:rsidRDefault="00F704B2" w:rsidP="00E74B30">
            <w:pPr>
              <w:spacing w:before="0" w:after="0"/>
              <w:jc w:val="center"/>
              <w:rPr>
                <w:rFonts w:cs="Arial"/>
                <w:b/>
                <w:bCs/>
                <w:color w:val="FFFFFF"/>
                <w:sz w:val="20"/>
                <w:szCs w:val="20"/>
                <w:lang w:eastAsia="en-GB"/>
              </w:rPr>
            </w:pPr>
            <w:r w:rsidRPr="00571858">
              <w:rPr>
                <w:rFonts w:cs="Arial"/>
                <w:b/>
                <w:bCs/>
                <w:color w:val="FFFFFF"/>
                <w:sz w:val="20"/>
                <w:szCs w:val="20"/>
                <w:lang w:eastAsia="en-GB"/>
              </w:rPr>
              <w:t>Total households</w:t>
            </w:r>
          </w:p>
        </w:tc>
        <w:tc>
          <w:tcPr>
            <w:tcW w:w="1580"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571858" w:rsidRDefault="00F704B2" w:rsidP="00E74B30">
            <w:pPr>
              <w:spacing w:before="0" w:after="0"/>
              <w:jc w:val="center"/>
              <w:rPr>
                <w:rFonts w:cs="Arial"/>
                <w:b/>
                <w:bCs/>
                <w:color w:val="FFFFFF"/>
                <w:sz w:val="20"/>
                <w:szCs w:val="20"/>
                <w:lang w:eastAsia="en-GB"/>
              </w:rPr>
            </w:pPr>
            <w:r w:rsidRPr="00571858">
              <w:rPr>
                <w:rFonts w:cs="Arial"/>
                <w:b/>
                <w:bCs/>
                <w:color w:val="FFFFFF"/>
                <w:sz w:val="20"/>
                <w:szCs w:val="20"/>
                <w:lang w:eastAsia="en-GB"/>
              </w:rPr>
              <w:t xml:space="preserve">% </w:t>
            </w:r>
            <w:r w:rsidR="00E74B30">
              <w:rPr>
                <w:rFonts w:cs="Arial"/>
                <w:b/>
                <w:bCs/>
                <w:color w:val="FFFFFF"/>
                <w:sz w:val="20"/>
                <w:szCs w:val="20"/>
                <w:lang w:eastAsia="en-GB"/>
              </w:rPr>
              <w:t>O</w:t>
            </w:r>
            <w:r w:rsidRPr="00571858">
              <w:rPr>
                <w:rFonts w:cs="Arial"/>
                <w:b/>
                <w:bCs/>
                <w:color w:val="FFFFFF"/>
                <w:sz w:val="20"/>
                <w:szCs w:val="20"/>
                <w:lang w:eastAsia="en-GB"/>
              </w:rPr>
              <w:t>vercrowded</w:t>
            </w:r>
          </w:p>
        </w:tc>
      </w:tr>
      <w:tr w:rsidR="00E74B30" w:rsidRPr="00571858" w:rsidTr="003C5498">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4B30" w:rsidRDefault="00E74B30" w:rsidP="00E74B30">
            <w:pPr>
              <w:spacing w:before="0" w:after="0"/>
              <w:rPr>
                <w:rFonts w:cs="Arial"/>
                <w:sz w:val="20"/>
                <w:szCs w:val="20"/>
              </w:rPr>
            </w:pPr>
            <w:r>
              <w:rPr>
                <w:rFonts w:cs="Arial"/>
                <w:sz w:val="20"/>
                <w:szCs w:val="20"/>
              </w:rPr>
              <w:t>North Durham</w:t>
            </w:r>
          </w:p>
        </w:tc>
        <w:tc>
          <w:tcPr>
            <w:tcW w:w="18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370</w:t>
            </w:r>
          </w:p>
        </w:tc>
        <w:tc>
          <w:tcPr>
            <w:tcW w:w="17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60151</w:t>
            </w:r>
          </w:p>
        </w:tc>
        <w:tc>
          <w:tcPr>
            <w:tcW w:w="158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0.6</w:t>
            </w:r>
          </w:p>
        </w:tc>
      </w:tr>
      <w:tr w:rsidR="00E74B30" w:rsidRPr="00571858" w:rsidTr="003C5498">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4B30" w:rsidRDefault="00E74B30" w:rsidP="00E74B30">
            <w:pPr>
              <w:spacing w:before="0" w:after="0"/>
              <w:rPr>
                <w:rFonts w:cs="Arial"/>
                <w:sz w:val="20"/>
                <w:szCs w:val="20"/>
              </w:rPr>
            </w:pPr>
            <w:r>
              <w:rPr>
                <w:rFonts w:cs="Arial"/>
                <w:sz w:val="20"/>
                <w:szCs w:val="20"/>
              </w:rPr>
              <w:t>Central Durham</w:t>
            </w:r>
          </w:p>
        </w:tc>
        <w:tc>
          <w:tcPr>
            <w:tcW w:w="18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463</w:t>
            </w:r>
          </w:p>
        </w:tc>
        <w:tc>
          <w:tcPr>
            <w:tcW w:w="17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42905</w:t>
            </w:r>
          </w:p>
        </w:tc>
        <w:tc>
          <w:tcPr>
            <w:tcW w:w="158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1.1</w:t>
            </w:r>
          </w:p>
        </w:tc>
      </w:tr>
      <w:tr w:rsidR="00E74B30" w:rsidRPr="00571858" w:rsidTr="003C5498">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4B30" w:rsidRDefault="00E74B30" w:rsidP="00E74B30">
            <w:pPr>
              <w:spacing w:before="0" w:after="0"/>
              <w:rPr>
                <w:rFonts w:cs="Arial"/>
                <w:sz w:val="20"/>
                <w:szCs w:val="20"/>
              </w:rPr>
            </w:pPr>
            <w:r>
              <w:rPr>
                <w:rFonts w:cs="Arial"/>
                <w:sz w:val="20"/>
                <w:szCs w:val="20"/>
              </w:rPr>
              <w:t>East Durham</w:t>
            </w:r>
          </w:p>
        </w:tc>
        <w:tc>
          <w:tcPr>
            <w:tcW w:w="18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868</w:t>
            </w:r>
          </w:p>
        </w:tc>
        <w:tc>
          <w:tcPr>
            <w:tcW w:w="17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41416</w:t>
            </w:r>
          </w:p>
        </w:tc>
        <w:tc>
          <w:tcPr>
            <w:tcW w:w="158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2.1</w:t>
            </w:r>
          </w:p>
        </w:tc>
      </w:tr>
      <w:tr w:rsidR="00E74B30" w:rsidRPr="00571858" w:rsidTr="003C5498">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4B30" w:rsidRDefault="00E74B30" w:rsidP="00E74B30">
            <w:pPr>
              <w:spacing w:before="0" w:after="0"/>
              <w:rPr>
                <w:rFonts w:cs="Arial"/>
                <w:sz w:val="20"/>
                <w:szCs w:val="20"/>
              </w:rPr>
            </w:pPr>
            <w:r>
              <w:rPr>
                <w:rFonts w:cs="Arial"/>
                <w:sz w:val="20"/>
                <w:szCs w:val="20"/>
              </w:rPr>
              <w:t>The Dales</w:t>
            </w:r>
          </w:p>
        </w:tc>
        <w:tc>
          <w:tcPr>
            <w:tcW w:w="18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134</w:t>
            </w:r>
          </w:p>
        </w:tc>
        <w:tc>
          <w:tcPr>
            <w:tcW w:w="17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14811</w:t>
            </w:r>
          </w:p>
        </w:tc>
        <w:tc>
          <w:tcPr>
            <w:tcW w:w="158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0.9</w:t>
            </w:r>
          </w:p>
        </w:tc>
      </w:tr>
      <w:tr w:rsidR="00E74B30" w:rsidRPr="00571858" w:rsidTr="003C5498">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4B30" w:rsidRDefault="00E74B30" w:rsidP="00E74B30">
            <w:pPr>
              <w:spacing w:before="0" w:after="0"/>
              <w:rPr>
                <w:rFonts w:cs="Arial"/>
                <w:sz w:val="20"/>
                <w:szCs w:val="20"/>
              </w:rPr>
            </w:pPr>
            <w:r>
              <w:rPr>
                <w:rFonts w:cs="Arial"/>
                <w:sz w:val="20"/>
                <w:szCs w:val="20"/>
              </w:rPr>
              <w:t>South Durham</w:t>
            </w:r>
          </w:p>
        </w:tc>
        <w:tc>
          <w:tcPr>
            <w:tcW w:w="18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874</w:t>
            </w:r>
          </w:p>
        </w:tc>
        <w:tc>
          <w:tcPr>
            <w:tcW w:w="17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64520</w:t>
            </w:r>
          </w:p>
        </w:tc>
        <w:tc>
          <w:tcPr>
            <w:tcW w:w="158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1.4</w:t>
            </w:r>
          </w:p>
        </w:tc>
      </w:tr>
      <w:tr w:rsidR="00E74B30" w:rsidRPr="00571858" w:rsidTr="003C5498">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74B30" w:rsidRDefault="00E74B30" w:rsidP="00E74B30">
            <w:pPr>
              <w:spacing w:before="0" w:after="0"/>
              <w:rPr>
                <w:rFonts w:cs="Arial"/>
                <w:sz w:val="20"/>
                <w:szCs w:val="20"/>
              </w:rPr>
            </w:pPr>
            <w:r>
              <w:rPr>
                <w:rFonts w:cs="Arial"/>
                <w:sz w:val="20"/>
                <w:szCs w:val="20"/>
              </w:rPr>
              <w:t>Total</w:t>
            </w:r>
          </w:p>
        </w:tc>
        <w:tc>
          <w:tcPr>
            <w:tcW w:w="18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2709</w:t>
            </w:r>
          </w:p>
        </w:tc>
        <w:tc>
          <w:tcPr>
            <w:tcW w:w="174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223803</w:t>
            </w:r>
          </w:p>
        </w:tc>
        <w:tc>
          <w:tcPr>
            <w:tcW w:w="1580" w:type="dxa"/>
            <w:tcBorders>
              <w:top w:val="nil"/>
              <w:left w:val="nil"/>
              <w:bottom w:val="single" w:sz="4" w:space="0" w:color="auto"/>
              <w:right w:val="single" w:sz="4" w:space="0" w:color="auto"/>
            </w:tcBorders>
            <w:shd w:val="clear" w:color="auto" w:fill="auto"/>
            <w:noWrap/>
            <w:vAlign w:val="bottom"/>
            <w:hideMark/>
          </w:tcPr>
          <w:p w:rsidR="00E74B30" w:rsidRDefault="00E74B30" w:rsidP="00E74B30">
            <w:pPr>
              <w:spacing w:before="0" w:after="0"/>
              <w:jc w:val="center"/>
              <w:rPr>
                <w:rFonts w:cs="Arial"/>
                <w:sz w:val="20"/>
                <w:szCs w:val="20"/>
              </w:rPr>
            </w:pPr>
            <w:r>
              <w:rPr>
                <w:rFonts w:cs="Arial"/>
                <w:sz w:val="20"/>
                <w:szCs w:val="20"/>
              </w:rPr>
              <w:t>1.2</w:t>
            </w:r>
          </w:p>
        </w:tc>
      </w:tr>
    </w:tbl>
    <w:p w:rsidR="00F704B2" w:rsidRDefault="00F704B2" w:rsidP="00F704B2">
      <w:pPr>
        <w:pStyle w:val="Maintext"/>
        <w:numPr>
          <w:ilvl w:val="0"/>
          <w:numId w:val="0"/>
        </w:numPr>
        <w:ind w:firstLine="709"/>
      </w:pPr>
      <w:r>
        <w:rPr>
          <w:sz w:val="20"/>
          <w:szCs w:val="20"/>
        </w:rPr>
        <w:t>Source: 2012 Household Surve</w:t>
      </w:r>
      <w:r w:rsidR="00E74B30">
        <w:rPr>
          <w:sz w:val="20"/>
          <w:szCs w:val="20"/>
        </w:rPr>
        <w:t>y rebased to 2011 Census</w:t>
      </w:r>
    </w:p>
    <w:p w:rsidR="00F704B2" w:rsidRDefault="00F704B2" w:rsidP="00F704B2">
      <w:pPr>
        <w:pStyle w:val="Maintext"/>
        <w:numPr>
          <w:ilvl w:val="0"/>
          <w:numId w:val="0"/>
        </w:numPr>
        <w:ind w:firstLine="709"/>
      </w:pPr>
    </w:p>
    <w:p w:rsidR="00F704B2" w:rsidRPr="00571858" w:rsidRDefault="00F704B2" w:rsidP="00F704B2">
      <w:pPr>
        <w:pStyle w:val="Maintext"/>
        <w:numPr>
          <w:ilvl w:val="1"/>
          <w:numId w:val="8"/>
        </w:numPr>
        <w:tabs>
          <w:tab w:val="num" w:pos="992"/>
        </w:tabs>
        <w:rPr>
          <w:sz w:val="20"/>
          <w:szCs w:val="20"/>
        </w:rPr>
      </w:pPr>
      <w:r>
        <w:t xml:space="preserve">How rates of overcrowding vary by tenure is shown in Table B23 and by household type in Table B24.  </w:t>
      </w:r>
      <w:r w:rsidR="00E74B30">
        <w:t>Rates of overcrowding are highest amongst owner occupiers with a mortgage (1.8%), followed by those in private renting (1.5%). Rates of overcrowding are lowest amongst owner occupiers who own their property outright (no mortgage)(0.6%)</w:t>
      </w:r>
      <w:r>
        <w:t xml:space="preserve">. </w:t>
      </w:r>
    </w:p>
    <w:p w:rsidR="00F704B2" w:rsidRDefault="00F704B2" w:rsidP="00F704B2">
      <w:pPr>
        <w:pStyle w:val="Maintext"/>
        <w:numPr>
          <w:ilvl w:val="0"/>
          <w:numId w:val="0"/>
        </w:numPr>
        <w:ind w:firstLine="709"/>
        <w:rPr>
          <w:b/>
        </w:rPr>
      </w:pPr>
    </w:p>
    <w:p w:rsidR="00F704B2" w:rsidRDefault="00F704B2" w:rsidP="00F704B2">
      <w:pPr>
        <w:pStyle w:val="Maintext"/>
        <w:numPr>
          <w:ilvl w:val="0"/>
          <w:numId w:val="0"/>
        </w:numPr>
        <w:ind w:firstLine="709"/>
      </w:pPr>
      <w:r>
        <w:rPr>
          <w:b/>
        </w:rPr>
        <w:t>Table B23</w:t>
      </w:r>
      <w:r>
        <w:tab/>
        <w:t>Overcrowding by tenure</w:t>
      </w:r>
    </w:p>
    <w:tbl>
      <w:tblPr>
        <w:tblW w:w="7371" w:type="dxa"/>
        <w:tblInd w:w="675" w:type="dxa"/>
        <w:tblLook w:val="04A0" w:firstRow="1" w:lastRow="0" w:firstColumn="1" w:lastColumn="0" w:noHBand="0" w:noVBand="1"/>
      </w:tblPr>
      <w:tblGrid>
        <w:gridCol w:w="2994"/>
        <w:gridCol w:w="1495"/>
        <w:gridCol w:w="1361"/>
        <w:gridCol w:w="1521"/>
      </w:tblGrid>
      <w:tr w:rsidR="00E74B30" w:rsidRPr="00E74B30" w:rsidTr="00E74B30">
        <w:trPr>
          <w:trHeight w:val="510"/>
        </w:trPr>
        <w:tc>
          <w:tcPr>
            <w:tcW w:w="2994"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E74B30" w:rsidRPr="00E74B30" w:rsidRDefault="00E74B30" w:rsidP="00E74B30">
            <w:pPr>
              <w:spacing w:before="0" w:after="0"/>
              <w:rPr>
                <w:rFonts w:cs="Arial"/>
                <w:b/>
                <w:bCs/>
                <w:color w:val="FFFFFF"/>
                <w:sz w:val="20"/>
                <w:szCs w:val="20"/>
                <w:lang w:eastAsia="en-GB"/>
              </w:rPr>
            </w:pPr>
            <w:r w:rsidRPr="00E74B30">
              <w:rPr>
                <w:rFonts w:cs="Arial"/>
                <w:b/>
                <w:bCs/>
                <w:color w:val="FFFFFF"/>
                <w:sz w:val="20"/>
                <w:szCs w:val="20"/>
                <w:lang w:eastAsia="en-GB"/>
              </w:rPr>
              <w:t>Tenure</w:t>
            </w:r>
          </w:p>
        </w:tc>
        <w:tc>
          <w:tcPr>
            <w:tcW w:w="1495" w:type="dxa"/>
            <w:tcBorders>
              <w:top w:val="single" w:sz="4" w:space="0" w:color="auto"/>
              <w:left w:val="nil"/>
              <w:bottom w:val="single" w:sz="4" w:space="0" w:color="auto"/>
              <w:right w:val="single" w:sz="4" w:space="0" w:color="auto"/>
            </w:tcBorders>
            <w:shd w:val="clear" w:color="000000" w:fill="008080"/>
            <w:vAlign w:val="bottom"/>
            <w:hideMark/>
          </w:tcPr>
          <w:p w:rsidR="00E74B30" w:rsidRPr="00E74B30" w:rsidRDefault="00E74B30" w:rsidP="00E74B30">
            <w:pPr>
              <w:spacing w:before="0" w:after="0"/>
              <w:jc w:val="center"/>
              <w:rPr>
                <w:rFonts w:cs="Arial"/>
                <w:b/>
                <w:bCs/>
                <w:color w:val="FFFFFF"/>
                <w:sz w:val="20"/>
                <w:szCs w:val="20"/>
                <w:lang w:eastAsia="en-GB"/>
              </w:rPr>
            </w:pPr>
            <w:r w:rsidRPr="00E74B30">
              <w:rPr>
                <w:rFonts w:cs="Arial"/>
                <w:b/>
                <w:bCs/>
                <w:color w:val="FFFFFF"/>
                <w:sz w:val="20"/>
                <w:szCs w:val="20"/>
                <w:lang w:eastAsia="en-GB"/>
              </w:rPr>
              <w:t xml:space="preserve">No. Overcrowded </w:t>
            </w:r>
          </w:p>
        </w:tc>
        <w:tc>
          <w:tcPr>
            <w:tcW w:w="1361" w:type="dxa"/>
            <w:tcBorders>
              <w:top w:val="single" w:sz="4" w:space="0" w:color="auto"/>
              <w:left w:val="nil"/>
              <w:bottom w:val="single" w:sz="4" w:space="0" w:color="auto"/>
              <w:right w:val="single" w:sz="4" w:space="0" w:color="auto"/>
            </w:tcBorders>
            <w:shd w:val="clear" w:color="000000" w:fill="008080"/>
            <w:vAlign w:val="bottom"/>
            <w:hideMark/>
          </w:tcPr>
          <w:p w:rsidR="00E74B30" w:rsidRPr="00E74B30" w:rsidRDefault="00E74B30" w:rsidP="00E74B30">
            <w:pPr>
              <w:spacing w:before="0" w:after="0"/>
              <w:jc w:val="center"/>
              <w:rPr>
                <w:rFonts w:cs="Arial"/>
                <w:b/>
                <w:bCs/>
                <w:color w:val="FFFFFF"/>
                <w:sz w:val="20"/>
                <w:szCs w:val="20"/>
                <w:lang w:eastAsia="en-GB"/>
              </w:rPr>
            </w:pPr>
            <w:r w:rsidRPr="00E74B30">
              <w:rPr>
                <w:rFonts w:cs="Arial"/>
                <w:b/>
                <w:bCs/>
                <w:color w:val="FFFFFF"/>
                <w:sz w:val="20"/>
                <w:szCs w:val="20"/>
                <w:lang w:eastAsia="en-GB"/>
              </w:rPr>
              <w:t>Total Households</w:t>
            </w:r>
          </w:p>
        </w:tc>
        <w:tc>
          <w:tcPr>
            <w:tcW w:w="1521" w:type="dxa"/>
            <w:tcBorders>
              <w:top w:val="single" w:sz="4" w:space="0" w:color="auto"/>
              <w:left w:val="nil"/>
              <w:bottom w:val="single" w:sz="4" w:space="0" w:color="auto"/>
              <w:right w:val="single" w:sz="4" w:space="0" w:color="auto"/>
            </w:tcBorders>
            <w:shd w:val="clear" w:color="000000" w:fill="008080"/>
            <w:vAlign w:val="bottom"/>
            <w:hideMark/>
          </w:tcPr>
          <w:p w:rsidR="00E74B30" w:rsidRDefault="00E74B30" w:rsidP="00E74B30">
            <w:pPr>
              <w:spacing w:before="0" w:after="0"/>
              <w:jc w:val="center"/>
              <w:rPr>
                <w:rFonts w:cs="Arial"/>
                <w:b/>
                <w:bCs/>
                <w:color w:val="FFFFFF"/>
                <w:sz w:val="20"/>
                <w:szCs w:val="20"/>
                <w:lang w:eastAsia="en-GB"/>
              </w:rPr>
            </w:pPr>
            <w:r w:rsidRPr="00E74B30">
              <w:rPr>
                <w:rFonts w:cs="Arial"/>
                <w:b/>
                <w:bCs/>
                <w:color w:val="FFFFFF"/>
                <w:sz w:val="20"/>
                <w:szCs w:val="20"/>
                <w:lang w:eastAsia="en-GB"/>
              </w:rPr>
              <w:t xml:space="preserve">% </w:t>
            </w:r>
          </w:p>
          <w:p w:rsidR="00E74B30" w:rsidRPr="00E74B30" w:rsidRDefault="00E74B30" w:rsidP="00E74B30">
            <w:pPr>
              <w:spacing w:before="0" w:after="0"/>
              <w:jc w:val="center"/>
              <w:rPr>
                <w:rFonts w:cs="Arial"/>
                <w:b/>
                <w:bCs/>
                <w:color w:val="FFFFFF"/>
                <w:sz w:val="20"/>
                <w:szCs w:val="20"/>
                <w:lang w:eastAsia="en-GB"/>
              </w:rPr>
            </w:pPr>
            <w:r>
              <w:rPr>
                <w:rFonts w:cs="Arial"/>
                <w:b/>
                <w:bCs/>
                <w:color w:val="FFFFFF"/>
                <w:sz w:val="20"/>
                <w:szCs w:val="20"/>
                <w:lang w:eastAsia="en-GB"/>
              </w:rPr>
              <w:t>Overc</w:t>
            </w:r>
            <w:r w:rsidRPr="00E74B30">
              <w:rPr>
                <w:rFonts w:cs="Arial"/>
                <w:b/>
                <w:bCs/>
                <w:color w:val="FFFFFF"/>
                <w:sz w:val="20"/>
                <w:szCs w:val="20"/>
                <w:lang w:eastAsia="en-GB"/>
              </w:rPr>
              <w:t>rowded</w:t>
            </w:r>
          </w:p>
        </w:tc>
      </w:tr>
      <w:tr w:rsidR="00E74B30" w:rsidRPr="00E74B30" w:rsidTr="00E74B30">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Owned (no mortgage)</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457</w:t>
            </w:r>
          </w:p>
        </w:tc>
        <w:tc>
          <w:tcPr>
            <w:tcW w:w="136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79618</w:t>
            </w:r>
          </w:p>
        </w:tc>
        <w:tc>
          <w:tcPr>
            <w:tcW w:w="152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0.6</w:t>
            </w:r>
          </w:p>
        </w:tc>
      </w:tr>
      <w:tr w:rsidR="00E74B30" w:rsidRPr="00E74B30" w:rsidTr="00E74B30">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Owned (with mortgage)</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1186</w:t>
            </w:r>
          </w:p>
        </w:tc>
        <w:tc>
          <w:tcPr>
            <w:tcW w:w="136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67729</w:t>
            </w:r>
          </w:p>
        </w:tc>
        <w:tc>
          <w:tcPr>
            <w:tcW w:w="152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1.8</w:t>
            </w:r>
          </w:p>
        </w:tc>
      </w:tr>
      <w:tr w:rsidR="00E74B30" w:rsidRPr="00E74B30" w:rsidTr="00E74B30">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Social/Affordable Rent and Intermediate</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614</w:t>
            </w:r>
          </w:p>
        </w:tc>
        <w:tc>
          <w:tcPr>
            <w:tcW w:w="136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45492</w:t>
            </w:r>
          </w:p>
        </w:tc>
        <w:tc>
          <w:tcPr>
            <w:tcW w:w="152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1.3</w:t>
            </w:r>
          </w:p>
        </w:tc>
      </w:tr>
      <w:tr w:rsidR="00E74B30" w:rsidRPr="00E74B30" w:rsidTr="00E74B30">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 xml:space="preserve">Rented privately  </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452</w:t>
            </w:r>
          </w:p>
        </w:tc>
        <w:tc>
          <w:tcPr>
            <w:tcW w:w="136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30964</w:t>
            </w:r>
          </w:p>
        </w:tc>
        <w:tc>
          <w:tcPr>
            <w:tcW w:w="152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1.5</w:t>
            </w:r>
          </w:p>
        </w:tc>
      </w:tr>
      <w:tr w:rsidR="00E74B30" w:rsidRPr="00E74B30" w:rsidTr="00E74B30">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Total</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2709</w:t>
            </w:r>
          </w:p>
        </w:tc>
        <w:tc>
          <w:tcPr>
            <w:tcW w:w="136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223803</w:t>
            </w:r>
          </w:p>
        </w:tc>
        <w:tc>
          <w:tcPr>
            <w:tcW w:w="1521"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1.2</w:t>
            </w:r>
          </w:p>
        </w:tc>
      </w:tr>
    </w:tbl>
    <w:p w:rsidR="00F704B2" w:rsidRDefault="00F704B2" w:rsidP="00F704B2">
      <w:pPr>
        <w:pStyle w:val="Maintext"/>
        <w:numPr>
          <w:ilvl w:val="0"/>
          <w:numId w:val="0"/>
        </w:numPr>
        <w:ind w:firstLine="709"/>
        <w:rPr>
          <w:sz w:val="20"/>
          <w:szCs w:val="20"/>
        </w:rPr>
      </w:pPr>
      <w:r>
        <w:rPr>
          <w:sz w:val="20"/>
          <w:szCs w:val="20"/>
        </w:rPr>
        <w:t>Source: 2012 Household Survey</w:t>
      </w:r>
      <w:r w:rsidR="00E74B30">
        <w:rPr>
          <w:sz w:val="20"/>
          <w:szCs w:val="20"/>
        </w:rPr>
        <w:t xml:space="preserve"> rebased to 2011 Census</w:t>
      </w:r>
    </w:p>
    <w:p w:rsidR="00F704B2" w:rsidRDefault="00F704B2" w:rsidP="00F704B2">
      <w:pPr>
        <w:pStyle w:val="Maintext"/>
        <w:numPr>
          <w:ilvl w:val="0"/>
          <w:numId w:val="0"/>
        </w:numPr>
        <w:ind w:firstLine="709"/>
        <w:rPr>
          <w:sz w:val="20"/>
          <w:szCs w:val="20"/>
        </w:rPr>
      </w:pPr>
    </w:p>
    <w:p w:rsidR="00F704B2" w:rsidRPr="004A6AE7" w:rsidRDefault="00C575E8" w:rsidP="00F704B2">
      <w:pPr>
        <w:pStyle w:val="Maintext"/>
        <w:numPr>
          <w:ilvl w:val="1"/>
          <w:numId w:val="8"/>
        </w:numPr>
        <w:tabs>
          <w:tab w:val="num" w:pos="992"/>
          <w:tab w:val="left" w:pos="5387"/>
        </w:tabs>
        <w:rPr>
          <w:i/>
        </w:rPr>
      </w:pPr>
      <w:r>
        <w:t>Table B24 shows that rates of overcrowding are highest in households of lone parents with three or more children (12.2%), followed by friends sharing (8.9%), other types of household (8.2%)</w:t>
      </w:r>
      <w:r w:rsidR="00F704B2">
        <w:t xml:space="preserve"> </w:t>
      </w:r>
      <w:r>
        <w:t xml:space="preserve">and </w:t>
      </w:r>
      <w:r w:rsidR="00F704B2">
        <w:t>couples with adult children at hom</w:t>
      </w:r>
      <w:r>
        <w:t>e (7.1%).</w:t>
      </w:r>
      <w:r w:rsidR="00F704B2">
        <w:t xml:space="preserve"> </w:t>
      </w:r>
    </w:p>
    <w:p w:rsidR="00E74B30" w:rsidRDefault="00E74B30" w:rsidP="00F704B2">
      <w:pPr>
        <w:pStyle w:val="Maintext"/>
        <w:numPr>
          <w:ilvl w:val="0"/>
          <w:numId w:val="0"/>
        </w:numPr>
        <w:ind w:firstLine="709"/>
        <w:rPr>
          <w:b/>
          <w:i/>
        </w:rPr>
      </w:pPr>
    </w:p>
    <w:p w:rsidR="00F704B2" w:rsidRDefault="00F704B2" w:rsidP="00F704B2">
      <w:pPr>
        <w:pStyle w:val="Maintext"/>
        <w:numPr>
          <w:ilvl w:val="0"/>
          <w:numId w:val="0"/>
        </w:numPr>
        <w:ind w:firstLine="709"/>
      </w:pPr>
      <w:r>
        <w:rPr>
          <w:b/>
        </w:rPr>
        <w:t>Table B24</w:t>
      </w:r>
      <w:r>
        <w:tab/>
        <w:t>Overcrowding by household type</w:t>
      </w:r>
    </w:p>
    <w:tbl>
      <w:tblPr>
        <w:tblW w:w="7874" w:type="dxa"/>
        <w:tblInd w:w="817" w:type="dxa"/>
        <w:tblLook w:val="04A0" w:firstRow="1" w:lastRow="0" w:firstColumn="1" w:lastColumn="0" w:noHBand="0" w:noVBand="1"/>
      </w:tblPr>
      <w:tblGrid>
        <w:gridCol w:w="3402"/>
        <w:gridCol w:w="1559"/>
        <w:gridCol w:w="1418"/>
        <w:gridCol w:w="1495"/>
      </w:tblGrid>
      <w:tr w:rsidR="00E74B30" w:rsidRPr="00E74B30" w:rsidTr="00E74B30">
        <w:trPr>
          <w:trHeight w:val="510"/>
        </w:trPr>
        <w:tc>
          <w:tcPr>
            <w:tcW w:w="3402"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E74B30" w:rsidRPr="00E74B30" w:rsidRDefault="00E74B30" w:rsidP="00E74B30">
            <w:pPr>
              <w:spacing w:before="0" w:after="0"/>
              <w:rPr>
                <w:rFonts w:cs="Arial"/>
                <w:b/>
                <w:bCs/>
                <w:color w:val="FFFFFF"/>
                <w:sz w:val="20"/>
                <w:szCs w:val="20"/>
                <w:lang w:eastAsia="en-GB"/>
              </w:rPr>
            </w:pPr>
            <w:r w:rsidRPr="00E74B30">
              <w:rPr>
                <w:rFonts w:cs="Arial"/>
                <w:b/>
                <w:bCs/>
                <w:color w:val="FFFFFF"/>
                <w:sz w:val="20"/>
                <w:szCs w:val="20"/>
                <w:lang w:eastAsia="en-GB"/>
              </w:rPr>
              <w:t>Households</w:t>
            </w:r>
          </w:p>
        </w:tc>
        <w:tc>
          <w:tcPr>
            <w:tcW w:w="1559" w:type="dxa"/>
            <w:tcBorders>
              <w:top w:val="single" w:sz="4" w:space="0" w:color="auto"/>
              <w:left w:val="nil"/>
              <w:bottom w:val="single" w:sz="4" w:space="0" w:color="auto"/>
              <w:right w:val="single" w:sz="4" w:space="0" w:color="auto"/>
            </w:tcBorders>
            <w:shd w:val="clear" w:color="000000" w:fill="008080"/>
            <w:vAlign w:val="bottom"/>
            <w:hideMark/>
          </w:tcPr>
          <w:p w:rsidR="00E74B30" w:rsidRPr="00E74B30" w:rsidRDefault="00E74B30" w:rsidP="00E74B30">
            <w:pPr>
              <w:spacing w:before="0" w:after="0"/>
              <w:jc w:val="center"/>
              <w:rPr>
                <w:rFonts w:cs="Arial"/>
                <w:b/>
                <w:bCs/>
                <w:color w:val="FFFFFF"/>
                <w:sz w:val="20"/>
                <w:szCs w:val="20"/>
                <w:lang w:eastAsia="en-GB"/>
              </w:rPr>
            </w:pPr>
            <w:r w:rsidRPr="00E74B30">
              <w:rPr>
                <w:rFonts w:cs="Arial"/>
                <w:b/>
                <w:bCs/>
                <w:color w:val="FFFFFF"/>
                <w:sz w:val="20"/>
                <w:szCs w:val="20"/>
                <w:lang w:eastAsia="en-GB"/>
              </w:rPr>
              <w:t xml:space="preserve">No. Overcrowded </w:t>
            </w:r>
          </w:p>
        </w:tc>
        <w:tc>
          <w:tcPr>
            <w:tcW w:w="1418" w:type="dxa"/>
            <w:tcBorders>
              <w:top w:val="single" w:sz="4" w:space="0" w:color="auto"/>
              <w:left w:val="nil"/>
              <w:bottom w:val="single" w:sz="4" w:space="0" w:color="auto"/>
              <w:right w:val="single" w:sz="4" w:space="0" w:color="auto"/>
            </w:tcBorders>
            <w:shd w:val="clear" w:color="000000" w:fill="008080"/>
            <w:vAlign w:val="bottom"/>
            <w:hideMark/>
          </w:tcPr>
          <w:p w:rsidR="00E74B30" w:rsidRPr="00E74B30" w:rsidRDefault="00E74B30" w:rsidP="00E74B30">
            <w:pPr>
              <w:spacing w:before="0" w:after="0"/>
              <w:jc w:val="center"/>
              <w:rPr>
                <w:rFonts w:cs="Arial"/>
                <w:b/>
                <w:bCs/>
                <w:color w:val="FFFFFF"/>
                <w:sz w:val="20"/>
                <w:szCs w:val="20"/>
                <w:lang w:eastAsia="en-GB"/>
              </w:rPr>
            </w:pPr>
            <w:r w:rsidRPr="00E74B30">
              <w:rPr>
                <w:rFonts w:cs="Arial"/>
                <w:b/>
                <w:bCs/>
                <w:color w:val="FFFFFF"/>
                <w:sz w:val="20"/>
                <w:szCs w:val="20"/>
                <w:lang w:eastAsia="en-GB"/>
              </w:rPr>
              <w:t>Total Households</w:t>
            </w:r>
          </w:p>
        </w:tc>
        <w:tc>
          <w:tcPr>
            <w:tcW w:w="1495" w:type="dxa"/>
            <w:tcBorders>
              <w:top w:val="single" w:sz="4" w:space="0" w:color="auto"/>
              <w:left w:val="nil"/>
              <w:bottom w:val="single" w:sz="4" w:space="0" w:color="auto"/>
              <w:right w:val="single" w:sz="4" w:space="0" w:color="auto"/>
            </w:tcBorders>
            <w:shd w:val="clear" w:color="000000" w:fill="008080"/>
            <w:vAlign w:val="bottom"/>
            <w:hideMark/>
          </w:tcPr>
          <w:p w:rsidR="00E74B30" w:rsidRPr="00E74B30" w:rsidRDefault="00E74B30" w:rsidP="00E74B30">
            <w:pPr>
              <w:spacing w:before="0" w:after="0"/>
              <w:jc w:val="center"/>
              <w:rPr>
                <w:rFonts w:cs="Arial"/>
                <w:b/>
                <w:bCs/>
                <w:color w:val="FFFFFF"/>
                <w:sz w:val="20"/>
                <w:szCs w:val="20"/>
                <w:lang w:eastAsia="en-GB"/>
              </w:rPr>
            </w:pPr>
            <w:r>
              <w:rPr>
                <w:rFonts w:cs="Arial"/>
                <w:b/>
                <w:bCs/>
                <w:color w:val="FFFFFF"/>
                <w:sz w:val="20"/>
                <w:szCs w:val="20"/>
                <w:lang w:eastAsia="en-GB"/>
              </w:rPr>
              <w:t>% Over</w:t>
            </w:r>
            <w:r w:rsidRPr="00E74B30">
              <w:rPr>
                <w:rFonts w:cs="Arial"/>
                <w:b/>
                <w:bCs/>
                <w:color w:val="FFFFFF"/>
                <w:sz w:val="20"/>
                <w:szCs w:val="20"/>
                <w:lang w:eastAsia="en-GB"/>
              </w:rPr>
              <w:t>crowded</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Single adult (under 60)</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28541</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0.0</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Single adult (60 or over)</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40135</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0.0</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Couple only (both under 60)</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29114</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0.0</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Couple only (one or both over 60)</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49755</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0.0</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Couple 1/2 child(ren) under 18</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189</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27077</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0.7</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Couple 3+ children under 18</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207</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4352</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4.8</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Lone parent with 1/2 child(ren) under 18</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23</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10545</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0.2</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Lone parent with 3+ children under 18</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87</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716</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12.2</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Student household</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728</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0.0</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Friends sharing</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123</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1386</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8.9</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Other type of household</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289</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3515</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8.2</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Couple with adult child(ren)</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1488</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20932</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7.1</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Lone parent with adult child(ren)</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181</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5819</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3.1</w:t>
            </w:r>
          </w:p>
        </w:tc>
      </w:tr>
      <w:tr w:rsidR="00E74B30" w:rsidRPr="00E74B30" w:rsidTr="00E74B30">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rPr>
                <w:rFonts w:cs="Arial"/>
                <w:sz w:val="20"/>
                <w:szCs w:val="20"/>
                <w:lang w:eastAsia="en-GB"/>
              </w:rPr>
            </w:pPr>
            <w:r w:rsidRPr="00E74B30">
              <w:rPr>
                <w:rFonts w:cs="Arial"/>
                <w:sz w:val="20"/>
                <w:szCs w:val="20"/>
                <w:lang w:eastAsia="en-GB"/>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2709</w:t>
            </w:r>
          </w:p>
        </w:tc>
        <w:tc>
          <w:tcPr>
            <w:tcW w:w="1418"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222616</w:t>
            </w:r>
          </w:p>
        </w:tc>
        <w:tc>
          <w:tcPr>
            <w:tcW w:w="1495" w:type="dxa"/>
            <w:tcBorders>
              <w:top w:val="nil"/>
              <w:left w:val="nil"/>
              <w:bottom w:val="single" w:sz="4" w:space="0" w:color="auto"/>
              <w:right w:val="single" w:sz="4" w:space="0" w:color="auto"/>
            </w:tcBorders>
            <w:shd w:val="clear" w:color="auto" w:fill="auto"/>
            <w:noWrap/>
            <w:vAlign w:val="bottom"/>
            <w:hideMark/>
          </w:tcPr>
          <w:p w:rsidR="00E74B30" w:rsidRPr="00E74B30" w:rsidRDefault="00E74B30" w:rsidP="00E74B30">
            <w:pPr>
              <w:spacing w:before="0" w:after="0"/>
              <w:jc w:val="center"/>
              <w:rPr>
                <w:rFonts w:cs="Arial"/>
                <w:sz w:val="20"/>
                <w:szCs w:val="20"/>
                <w:lang w:eastAsia="en-GB"/>
              </w:rPr>
            </w:pPr>
            <w:r w:rsidRPr="00E74B30">
              <w:rPr>
                <w:rFonts w:cs="Arial"/>
                <w:sz w:val="20"/>
                <w:szCs w:val="20"/>
                <w:lang w:eastAsia="en-GB"/>
              </w:rPr>
              <w:t>1.2</w:t>
            </w:r>
          </w:p>
        </w:tc>
      </w:tr>
    </w:tbl>
    <w:p w:rsidR="00F704B2" w:rsidRDefault="00F704B2" w:rsidP="00E74B30">
      <w:pPr>
        <w:pStyle w:val="Maintext"/>
        <w:numPr>
          <w:ilvl w:val="0"/>
          <w:numId w:val="0"/>
        </w:numPr>
        <w:ind w:left="709" w:firstLine="11"/>
        <w:rPr>
          <w:sz w:val="20"/>
          <w:szCs w:val="20"/>
        </w:rPr>
      </w:pPr>
      <w:r>
        <w:rPr>
          <w:sz w:val="20"/>
          <w:szCs w:val="20"/>
        </w:rPr>
        <w:t>Source: 2012 Household Survey</w:t>
      </w:r>
      <w:r w:rsidR="00E74B30">
        <w:rPr>
          <w:sz w:val="20"/>
          <w:szCs w:val="20"/>
        </w:rPr>
        <w:t xml:space="preserve"> rebased to 2011 Census</w:t>
      </w:r>
    </w:p>
    <w:p w:rsidR="00F704B2" w:rsidRDefault="00F704B2" w:rsidP="00F704B2">
      <w:pPr>
        <w:pStyle w:val="Heading4"/>
      </w:pPr>
    </w:p>
    <w:p w:rsidR="00F704B2" w:rsidRDefault="00F704B2" w:rsidP="00F704B2">
      <w:pPr>
        <w:pStyle w:val="Heading4"/>
      </w:pPr>
      <w:r>
        <w:t>Under-occupation</w:t>
      </w:r>
    </w:p>
    <w:p w:rsidR="00E17564" w:rsidRPr="00E17564" w:rsidRDefault="00E17564" w:rsidP="00E17564">
      <w:r>
        <w:tab/>
      </w:r>
      <w:r w:rsidRPr="00E17564">
        <w:rPr>
          <w:highlight w:val="yellow"/>
        </w:rPr>
        <w:t>SORRY COULDN’T FIND THE BELOW DATA</w:t>
      </w:r>
    </w:p>
    <w:p w:rsidR="00F704B2" w:rsidRDefault="00F704B2" w:rsidP="00F704B2">
      <w:pPr>
        <w:pStyle w:val="Maintext"/>
        <w:numPr>
          <w:ilvl w:val="1"/>
          <w:numId w:val="8"/>
        </w:numPr>
        <w:tabs>
          <w:tab w:val="num" w:pos="992"/>
        </w:tabs>
        <w:rPr>
          <w:b/>
        </w:rPr>
      </w:pPr>
      <w:r>
        <w:t xml:space="preserve">Using the bedroom standard model methodology, it is possible to identify households that are under-occupying i.e. there are more bedrooms than needed.  </w:t>
      </w:r>
      <w:r w:rsidR="00343F71" w:rsidRPr="00343F71">
        <w:t>Overall, around 178,942 households (80</w:t>
      </w:r>
      <w:r w:rsidRPr="00343F71">
        <w:t>%) in County Durham are technically under-occupying e.g. a couple in a two or three bedroom house or a single person in a two bedroom house.</w:t>
      </w:r>
      <w:r>
        <w:t xml:space="preserve">  Severe under-occupation, whereby a household has 3 or more ‘spare bedrooms’, is experienced by a total of </w:t>
      </w:r>
      <w:r w:rsidR="00D51DF4">
        <w:t>17,563</w:t>
      </w:r>
      <w:r>
        <w:t xml:space="preserve"> households (7.</w:t>
      </w:r>
      <w:r w:rsidR="00D51DF4">
        <w:t>8</w:t>
      </w:r>
      <w:r>
        <w:t xml:space="preserve">%).  Table B25 summarises the number and proportion of households where there is severe under-occupation by </w:t>
      </w:r>
      <w:r w:rsidR="00B440F0">
        <w:t>delivery area</w:t>
      </w:r>
      <w:r>
        <w:t xml:space="preserve">, indicating that this is a particular issue for households living in </w:t>
      </w:r>
      <w:r w:rsidR="00D51DF4">
        <w:t>The Dales</w:t>
      </w:r>
      <w:r>
        <w:t xml:space="preserve"> where </w:t>
      </w:r>
      <w:r w:rsidR="00D51DF4">
        <w:t>13.4</w:t>
      </w:r>
      <w:r>
        <w:t xml:space="preserve">% of all households are severely underoccupying. </w:t>
      </w:r>
    </w:p>
    <w:p w:rsidR="00D51DF4" w:rsidRDefault="00D51DF4" w:rsidP="00F704B2">
      <w:pPr>
        <w:pStyle w:val="Maintext"/>
        <w:numPr>
          <w:ilvl w:val="0"/>
          <w:numId w:val="0"/>
        </w:numPr>
        <w:tabs>
          <w:tab w:val="left" w:pos="720"/>
          <w:tab w:val="left" w:pos="1440"/>
          <w:tab w:val="left" w:pos="2160"/>
          <w:tab w:val="left" w:pos="2880"/>
          <w:tab w:val="left" w:pos="3600"/>
          <w:tab w:val="left" w:pos="4320"/>
          <w:tab w:val="left" w:pos="5040"/>
          <w:tab w:val="left" w:pos="5820"/>
        </w:tabs>
        <w:ind w:left="709"/>
        <w:rPr>
          <w:b/>
        </w:rPr>
      </w:pPr>
    </w:p>
    <w:p w:rsidR="00D51DF4" w:rsidRDefault="00D51DF4">
      <w:pPr>
        <w:spacing w:before="0" w:after="0"/>
        <w:rPr>
          <w:b/>
        </w:rPr>
      </w:pPr>
      <w:r>
        <w:rPr>
          <w:b/>
        </w:rPr>
        <w:br w:type="page"/>
      </w:r>
    </w:p>
    <w:p w:rsidR="00F704B2" w:rsidRDefault="00F704B2" w:rsidP="00F704B2">
      <w:pPr>
        <w:pStyle w:val="Maintext"/>
        <w:numPr>
          <w:ilvl w:val="0"/>
          <w:numId w:val="0"/>
        </w:numPr>
        <w:tabs>
          <w:tab w:val="left" w:pos="720"/>
          <w:tab w:val="left" w:pos="1440"/>
          <w:tab w:val="left" w:pos="2160"/>
          <w:tab w:val="left" w:pos="2880"/>
          <w:tab w:val="left" w:pos="3600"/>
          <w:tab w:val="left" w:pos="4320"/>
          <w:tab w:val="left" w:pos="5040"/>
          <w:tab w:val="left" w:pos="5820"/>
        </w:tabs>
        <w:ind w:left="709"/>
      </w:pPr>
      <w:r>
        <w:rPr>
          <w:b/>
        </w:rPr>
        <w:t>Table B25</w:t>
      </w:r>
      <w:r>
        <w:rPr>
          <w:b/>
        </w:rPr>
        <w:tab/>
      </w:r>
      <w:r w:rsidRPr="00D27464">
        <w:t>Severe under</w:t>
      </w:r>
      <w:r>
        <w:t xml:space="preserve">-occupation* by </w:t>
      </w:r>
      <w:r w:rsidR="00B440F0">
        <w:t>delivery area</w:t>
      </w:r>
    </w:p>
    <w:tbl>
      <w:tblPr>
        <w:tblW w:w="7772" w:type="dxa"/>
        <w:tblInd w:w="720" w:type="dxa"/>
        <w:tblLook w:val="04A0" w:firstRow="1" w:lastRow="0" w:firstColumn="1" w:lastColumn="0" w:noHBand="0" w:noVBand="1"/>
      </w:tblPr>
      <w:tblGrid>
        <w:gridCol w:w="2280"/>
        <w:gridCol w:w="1872"/>
        <w:gridCol w:w="1720"/>
        <w:gridCol w:w="1900"/>
      </w:tblGrid>
      <w:tr w:rsidR="00F704B2" w:rsidRPr="005742D7" w:rsidTr="00D51DF4">
        <w:trPr>
          <w:trHeight w:val="255"/>
        </w:trPr>
        <w:tc>
          <w:tcPr>
            <w:tcW w:w="22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5742D7" w:rsidRDefault="00B440F0" w:rsidP="003C5498">
            <w:pPr>
              <w:spacing w:before="0" w:after="0"/>
              <w:rPr>
                <w:rFonts w:cs="Arial"/>
                <w:b/>
                <w:bCs/>
                <w:color w:val="FFFFFF"/>
                <w:sz w:val="20"/>
                <w:szCs w:val="20"/>
                <w:lang w:eastAsia="en-GB"/>
              </w:rPr>
            </w:pPr>
            <w:r>
              <w:rPr>
                <w:rFonts w:cs="Arial"/>
                <w:b/>
                <w:bCs/>
                <w:color w:val="FFFFFF"/>
                <w:sz w:val="20"/>
                <w:szCs w:val="20"/>
                <w:lang w:eastAsia="en-GB"/>
              </w:rPr>
              <w:t>Delivery area</w:t>
            </w:r>
          </w:p>
        </w:tc>
        <w:tc>
          <w:tcPr>
            <w:tcW w:w="1872"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5742D7" w:rsidRDefault="00D51DF4" w:rsidP="003C5498">
            <w:pPr>
              <w:spacing w:before="0" w:after="0"/>
              <w:jc w:val="center"/>
              <w:rPr>
                <w:rFonts w:cs="Arial"/>
                <w:b/>
                <w:bCs/>
                <w:color w:val="FFFFFF"/>
                <w:sz w:val="20"/>
                <w:szCs w:val="20"/>
                <w:lang w:eastAsia="en-GB"/>
              </w:rPr>
            </w:pPr>
            <w:r>
              <w:rPr>
                <w:rFonts w:cs="Arial"/>
                <w:b/>
                <w:bCs/>
                <w:color w:val="FFFFFF"/>
                <w:sz w:val="20"/>
                <w:szCs w:val="20"/>
                <w:lang w:eastAsia="en-GB"/>
              </w:rPr>
              <w:t>No. Under</w:t>
            </w:r>
            <w:r w:rsidR="00F704B2" w:rsidRPr="005742D7">
              <w:rPr>
                <w:rFonts w:cs="Arial"/>
                <w:b/>
                <w:bCs/>
                <w:color w:val="FFFFFF"/>
                <w:sz w:val="20"/>
                <w:szCs w:val="20"/>
                <w:lang w:eastAsia="en-GB"/>
              </w:rPr>
              <w:t>occupying*</w:t>
            </w:r>
          </w:p>
        </w:tc>
        <w:tc>
          <w:tcPr>
            <w:tcW w:w="1720"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5742D7" w:rsidRDefault="00F704B2" w:rsidP="003C5498">
            <w:pPr>
              <w:spacing w:before="0" w:after="0"/>
              <w:jc w:val="center"/>
              <w:rPr>
                <w:rFonts w:cs="Arial"/>
                <w:b/>
                <w:bCs/>
                <w:color w:val="FFFFFF"/>
                <w:sz w:val="20"/>
                <w:szCs w:val="20"/>
                <w:lang w:eastAsia="en-GB"/>
              </w:rPr>
            </w:pPr>
            <w:r w:rsidRPr="005742D7">
              <w:rPr>
                <w:rFonts w:cs="Arial"/>
                <w:b/>
                <w:bCs/>
                <w:color w:val="FFFFFF"/>
                <w:sz w:val="20"/>
                <w:szCs w:val="20"/>
                <w:lang w:eastAsia="en-GB"/>
              </w:rPr>
              <w:t>Total households</w:t>
            </w:r>
          </w:p>
        </w:tc>
        <w:tc>
          <w:tcPr>
            <w:tcW w:w="1900"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5742D7" w:rsidRDefault="00F704B2" w:rsidP="00D51DF4">
            <w:pPr>
              <w:spacing w:before="0" w:after="0"/>
              <w:jc w:val="center"/>
              <w:rPr>
                <w:rFonts w:cs="Arial"/>
                <w:b/>
                <w:bCs/>
                <w:color w:val="FFFFFF"/>
                <w:sz w:val="20"/>
                <w:szCs w:val="20"/>
                <w:lang w:eastAsia="en-GB"/>
              </w:rPr>
            </w:pPr>
            <w:r w:rsidRPr="005742D7">
              <w:rPr>
                <w:rFonts w:cs="Arial"/>
                <w:b/>
                <w:bCs/>
                <w:color w:val="FFFFFF"/>
                <w:sz w:val="20"/>
                <w:szCs w:val="20"/>
                <w:lang w:eastAsia="en-GB"/>
              </w:rPr>
              <w:t xml:space="preserve">% </w:t>
            </w:r>
            <w:r w:rsidR="00D51DF4">
              <w:rPr>
                <w:rFonts w:cs="Arial"/>
                <w:b/>
                <w:bCs/>
                <w:color w:val="FFFFFF"/>
                <w:sz w:val="20"/>
                <w:szCs w:val="20"/>
                <w:lang w:eastAsia="en-GB"/>
              </w:rPr>
              <w:t>U</w:t>
            </w:r>
            <w:r w:rsidRPr="005742D7">
              <w:rPr>
                <w:rFonts w:cs="Arial"/>
                <w:b/>
                <w:bCs/>
                <w:color w:val="FFFFFF"/>
                <w:sz w:val="20"/>
                <w:szCs w:val="20"/>
                <w:lang w:eastAsia="en-GB"/>
              </w:rPr>
              <w:t>nderoccupying</w:t>
            </w:r>
            <w:r w:rsidR="00D51DF4">
              <w:rPr>
                <w:rFonts w:cs="Arial"/>
                <w:b/>
                <w:bCs/>
                <w:color w:val="FFFFFF"/>
                <w:sz w:val="20"/>
                <w:szCs w:val="20"/>
                <w:lang w:eastAsia="en-GB"/>
              </w:rPr>
              <w:t>*</w:t>
            </w:r>
          </w:p>
        </w:tc>
      </w:tr>
      <w:tr w:rsidR="00D51DF4" w:rsidRPr="005742D7" w:rsidTr="00D51DF4">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51DF4" w:rsidRDefault="00D51DF4" w:rsidP="00D51DF4">
            <w:pPr>
              <w:spacing w:before="0" w:after="0"/>
              <w:rPr>
                <w:rFonts w:cs="Arial"/>
                <w:sz w:val="20"/>
                <w:szCs w:val="20"/>
              </w:rPr>
            </w:pPr>
            <w:r>
              <w:rPr>
                <w:rFonts w:cs="Arial"/>
                <w:sz w:val="20"/>
                <w:szCs w:val="20"/>
              </w:rPr>
              <w:t>North Durham</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3896</w:t>
            </w:r>
          </w:p>
        </w:tc>
        <w:tc>
          <w:tcPr>
            <w:tcW w:w="172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60151</w:t>
            </w:r>
          </w:p>
        </w:tc>
        <w:tc>
          <w:tcPr>
            <w:tcW w:w="190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6.5</w:t>
            </w:r>
          </w:p>
        </w:tc>
      </w:tr>
      <w:tr w:rsidR="00D51DF4" w:rsidRPr="005742D7" w:rsidTr="00D51DF4">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51DF4" w:rsidRDefault="00D51DF4" w:rsidP="00D51DF4">
            <w:pPr>
              <w:spacing w:before="0" w:after="0"/>
              <w:rPr>
                <w:rFonts w:cs="Arial"/>
                <w:sz w:val="20"/>
                <w:szCs w:val="20"/>
              </w:rPr>
            </w:pPr>
            <w:r>
              <w:rPr>
                <w:rFonts w:cs="Arial"/>
                <w:sz w:val="20"/>
                <w:szCs w:val="20"/>
              </w:rPr>
              <w:t>Central Durham</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4598</w:t>
            </w:r>
          </w:p>
        </w:tc>
        <w:tc>
          <w:tcPr>
            <w:tcW w:w="172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42905</w:t>
            </w:r>
          </w:p>
        </w:tc>
        <w:tc>
          <w:tcPr>
            <w:tcW w:w="190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10.7</w:t>
            </w:r>
          </w:p>
        </w:tc>
      </w:tr>
      <w:tr w:rsidR="00D51DF4" w:rsidRPr="005742D7" w:rsidTr="00D51DF4">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51DF4" w:rsidRDefault="00D51DF4" w:rsidP="00D51DF4">
            <w:pPr>
              <w:spacing w:before="0" w:after="0"/>
              <w:rPr>
                <w:rFonts w:cs="Arial"/>
                <w:sz w:val="20"/>
                <w:szCs w:val="20"/>
              </w:rPr>
            </w:pPr>
            <w:r>
              <w:rPr>
                <w:rFonts w:cs="Arial"/>
                <w:sz w:val="20"/>
                <w:szCs w:val="20"/>
              </w:rPr>
              <w:t>East Durham</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2297</w:t>
            </w:r>
          </w:p>
        </w:tc>
        <w:tc>
          <w:tcPr>
            <w:tcW w:w="172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41416</w:t>
            </w:r>
          </w:p>
        </w:tc>
        <w:tc>
          <w:tcPr>
            <w:tcW w:w="190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5.5</w:t>
            </w:r>
          </w:p>
        </w:tc>
      </w:tr>
      <w:tr w:rsidR="00D51DF4" w:rsidRPr="005742D7" w:rsidTr="00D51DF4">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51DF4" w:rsidRDefault="00D51DF4" w:rsidP="00D51DF4">
            <w:pPr>
              <w:spacing w:before="0" w:after="0"/>
              <w:rPr>
                <w:rFonts w:cs="Arial"/>
                <w:sz w:val="20"/>
                <w:szCs w:val="20"/>
              </w:rPr>
            </w:pPr>
            <w:r>
              <w:rPr>
                <w:rFonts w:cs="Arial"/>
                <w:sz w:val="20"/>
                <w:szCs w:val="20"/>
              </w:rPr>
              <w:t>The Dales</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1984</w:t>
            </w:r>
          </w:p>
        </w:tc>
        <w:tc>
          <w:tcPr>
            <w:tcW w:w="172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14811</w:t>
            </w:r>
          </w:p>
        </w:tc>
        <w:tc>
          <w:tcPr>
            <w:tcW w:w="190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13.4</w:t>
            </w:r>
          </w:p>
        </w:tc>
      </w:tr>
      <w:tr w:rsidR="00D51DF4" w:rsidRPr="005742D7" w:rsidTr="00D51DF4">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51DF4" w:rsidRDefault="00D51DF4" w:rsidP="00D51DF4">
            <w:pPr>
              <w:spacing w:before="0" w:after="0"/>
              <w:rPr>
                <w:rFonts w:cs="Arial"/>
                <w:sz w:val="20"/>
                <w:szCs w:val="20"/>
              </w:rPr>
            </w:pPr>
            <w:r>
              <w:rPr>
                <w:rFonts w:cs="Arial"/>
                <w:sz w:val="20"/>
                <w:szCs w:val="20"/>
              </w:rPr>
              <w:t>South Durham</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4788</w:t>
            </w:r>
          </w:p>
        </w:tc>
        <w:tc>
          <w:tcPr>
            <w:tcW w:w="172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64520</w:t>
            </w:r>
          </w:p>
        </w:tc>
        <w:tc>
          <w:tcPr>
            <w:tcW w:w="190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7.4</w:t>
            </w:r>
          </w:p>
        </w:tc>
      </w:tr>
      <w:tr w:rsidR="00D51DF4" w:rsidRPr="005742D7" w:rsidTr="00D51DF4">
        <w:trPr>
          <w:trHeight w:val="255"/>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D51DF4" w:rsidRDefault="00D51DF4" w:rsidP="00D51DF4">
            <w:pPr>
              <w:spacing w:before="0" w:after="0"/>
              <w:rPr>
                <w:rFonts w:cs="Arial"/>
                <w:sz w:val="20"/>
                <w:szCs w:val="20"/>
              </w:rPr>
            </w:pPr>
            <w:r>
              <w:rPr>
                <w:rFonts w:cs="Arial"/>
                <w:sz w:val="20"/>
                <w:szCs w:val="20"/>
              </w:rPr>
              <w:t>Total</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17563</w:t>
            </w:r>
          </w:p>
        </w:tc>
        <w:tc>
          <w:tcPr>
            <w:tcW w:w="172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223803</w:t>
            </w:r>
          </w:p>
        </w:tc>
        <w:tc>
          <w:tcPr>
            <w:tcW w:w="1900" w:type="dxa"/>
            <w:tcBorders>
              <w:top w:val="nil"/>
              <w:left w:val="nil"/>
              <w:bottom w:val="single" w:sz="4" w:space="0" w:color="auto"/>
              <w:right w:val="single" w:sz="4" w:space="0" w:color="auto"/>
            </w:tcBorders>
            <w:shd w:val="clear" w:color="auto" w:fill="auto"/>
            <w:noWrap/>
            <w:vAlign w:val="bottom"/>
            <w:hideMark/>
          </w:tcPr>
          <w:p w:rsidR="00D51DF4" w:rsidRDefault="00D51DF4" w:rsidP="00D51DF4">
            <w:pPr>
              <w:spacing w:before="0" w:after="0"/>
              <w:jc w:val="center"/>
              <w:rPr>
                <w:rFonts w:cs="Arial"/>
                <w:sz w:val="20"/>
                <w:szCs w:val="20"/>
              </w:rPr>
            </w:pPr>
            <w:r>
              <w:rPr>
                <w:rFonts w:cs="Arial"/>
                <w:sz w:val="20"/>
                <w:szCs w:val="20"/>
              </w:rPr>
              <w:t>7.8</w:t>
            </w:r>
          </w:p>
        </w:tc>
      </w:tr>
    </w:tbl>
    <w:p w:rsidR="00F704B2" w:rsidRDefault="00F704B2" w:rsidP="00F704B2">
      <w:pPr>
        <w:pStyle w:val="Maintext"/>
        <w:numPr>
          <w:ilvl w:val="0"/>
          <w:numId w:val="0"/>
        </w:numPr>
        <w:ind w:firstLine="709"/>
        <w:rPr>
          <w:sz w:val="20"/>
          <w:szCs w:val="20"/>
        </w:rPr>
      </w:pPr>
      <w:r>
        <w:rPr>
          <w:sz w:val="20"/>
          <w:szCs w:val="20"/>
        </w:rPr>
        <w:t>*household has 3 or more ‘spare’ bedrooms</w:t>
      </w:r>
    </w:p>
    <w:p w:rsidR="00F704B2" w:rsidRDefault="00F704B2" w:rsidP="00F704B2">
      <w:pPr>
        <w:pStyle w:val="Maintext"/>
        <w:numPr>
          <w:ilvl w:val="0"/>
          <w:numId w:val="0"/>
        </w:numPr>
        <w:ind w:firstLine="709"/>
        <w:rPr>
          <w:sz w:val="20"/>
          <w:szCs w:val="20"/>
        </w:rPr>
      </w:pPr>
      <w:r>
        <w:rPr>
          <w:sz w:val="20"/>
          <w:szCs w:val="20"/>
        </w:rPr>
        <w:t>Source: Household survey 2012</w:t>
      </w:r>
      <w:r w:rsidR="00D51DF4">
        <w:rPr>
          <w:sz w:val="20"/>
          <w:szCs w:val="20"/>
        </w:rPr>
        <w:t xml:space="preserve"> rebased to 2011 Census</w:t>
      </w:r>
    </w:p>
    <w:p w:rsidR="00F704B2" w:rsidRDefault="00F704B2" w:rsidP="00D24193">
      <w:pPr>
        <w:pStyle w:val="Maintext"/>
        <w:numPr>
          <w:ilvl w:val="0"/>
          <w:numId w:val="0"/>
        </w:numPr>
        <w:rPr>
          <w:sz w:val="20"/>
          <w:szCs w:val="20"/>
        </w:rPr>
      </w:pPr>
    </w:p>
    <w:p w:rsidR="00F704B2" w:rsidRPr="00396F7D" w:rsidRDefault="00F704B2" w:rsidP="00F704B2">
      <w:pPr>
        <w:pStyle w:val="Maintext"/>
        <w:numPr>
          <w:ilvl w:val="1"/>
          <w:numId w:val="8"/>
        </w:numPr>
        <w:tabs>
          <w:tab w:val="num" w:pos="992"/>
        </w:tabs>
        <w:rPr>
          <w:b/>
        </w:rPr>
      </w:pPr>
      <w:r>
        <w:t xml:space="preserve">Table B26 considers severe under-occupation by tenure.  Severe under-occupation is most prevalent amongst owner occupiers </w:t>
      </w:r>
      <w:r w:rsidR="00D51DF4">
        <w:t xml:space="preserve">who own their property outright </w:t>
      </w:r>
      <w:r>
        <w:t>(</w:t>
      </w:r>
      <w:r w:rsidR="00D51DF4">
        <w:t>14.5%</w:t>
      </w:r>
      <w:r>
        <w:t xml:space="preserve">).  </w:t>
      </w:r>
    </w:p>
    <w:p w:rsidR="00F704B2" w:rsidRDefault="00F704B2" w:rsidP="00F704B2">
      <w:pPr>
        <w:pStyle w:val="Maintext"/>
        <w:numPr>
          <w:ilvl w:val="0"/>
          <w:numId w:val="0"/>
        </w:numPr>
        <w:ind w:firstLine="709"/>
        <w:rPr>
          <w:b/>
        </w:rPr>
      </w:pPr>
    </w:p>
    <w:p w:rsidR="00F704B2" w:rsidRDefault="00F704B2" w:rsidP="00F704B2">
      <w:pPr>
        <w:pStyle w:val="Maintext"/>
        <w:numPr>
          <w:ilvl w:val="0"/>
          <w:numId w:val="0"/>
        </w:numPr>
        <w:ind w:firstLine="709"/>
      </w:pPr>
      <w:r>
        <w:rPr>
          <w:b/>
        </w:rPr>
        <w:t>Table B26</w:t>
      </w:r>
      <w:r>
        <w:rPr>
          <w:b/>
        </w:rPr>
        <w:tab/>
      </w:r>
      <w:r w:rsidRPr="00D27464">
        <w:t>Severe under</w:t>
      </w:r>
      <w:r>
        <w:t>-occupation* by tenure</w:t>
      </w:r>
    </w:p>
    <w:tbl>
      <w:tblPr>
        <w:tblW w:w="8222" w:type="dxa"/>
        <w:tblInd w:w="675" w:type="dxa"/>
        <w:tblLook w:val="04A0" w:firstRow="1" w:lastRow="0" w:firstColumn="1" w:lastColumn="0" w:noHBand="0" w:noVBand="1"/>
      </w:tblPr>
      <w:tblGrid>
        <w:gridCol w:w="2994"/>
        <w:gridCol w:w="1872"/>
        <w:gridCol w:w="1655"/>
        <w:gridCol w:w="1872"/>
      </w:tblGrid>
      <w:tr w:rsidR="00D51DF4" w:rsidRPr="00D51DF4" w:rsidTr="00D51DF4">
        <w:trPr>
          <w:trHeight w:val="510"/>
        </w:trPr>
        <w:tc>
          <w:tcPr>
            <w:tcW w:w="2994"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D51DF4" w:rsidRPr="00D51DF4" w:rsidRDefault="00D51DF4" w:rsidP="00D51DF4">
            <w:pPr>
              <w:spacing w:before="0" w:after="0"/>
              <w:rPr>
                <w:rFonts w:cs="Arial"/>
                <w:b/>
                <w:bCs/>
                <w:color w:val="FFFFFF"/>
                <w:sz w:val="20"/>
                <w:szCs w:val="20"/>
                <w:lang w:eastAsia="en-GB"/>
              </w:rPr>
            </w:pPr>
            <w:r w:rsidRPr="00D51DF4">
              <w:rPr>
                <w:rFonts w:cs="Arial"/>
                <w:b/>
                <w:bCs/>
                <w:color w:val="FFFFFF"/>
                <w:sz w:val="20"/>
                <w:szCs w:val="20"/>
                <w:lang w:eastAsia="en-GB"/>
              </w:rPr>
              <w:t>Tenure</w:t>
            </w:r>
          </w:p>
        </w:tc>
        <w:tc>
          <w:tcPr>
            <w:tcW w:w="1872" w:type="dxa"/>
            <w:tcBorders>
              <w:top w:val="single" w:sz="4" w:space="0" w:color="auto"/>
              <w:left w:val="nil"/>
              <w:bottom w:val="single" w:sz="4" w:space="0" w:color="auto"/>
              <w:right w:val="single" w:sz="4" w:space="0" w:color="auto"/>
            </w:tcBorders>
            <w:shd w:val="clear" w:color="000000" w:fill="008080"/>
            <w:vAlign w:val="bottom"/>
            <w:hideMark/>
          </w:tcPr>
          <w:p w:rsidR="00D51DF4" w:rsidRPr="00D51DF4" w:rsidRDefault="00D51DF4" w:rsidP="00D51DF4">
            <w:pPr>
              <w:spacing w:before="0" w:after="0"/>
              <w:jc w:val="center"/>
              <w:rPr>
                <w:rFonts w:cs="Arial"/>
                <w:b/>
                <w:bCs/>
                <w:color w:val="FFFFFF"/>
                <w:sz w:val="20"/>
                <w:szCs w:val="20"/>
                <w:lang w:eastAsia="en-GB"/>
              </w:rPr>
            </w:pPr>
            <w:r w:rsidRPr="00D51DF4">
              <w:rPr>
                <w:rFonts w:cs="Arial"/>
                <w:b/>
                <w:bCs/>
                <w:color w:val="FFFFFF"/>
                <w:sz w:val="20"/>
                <w:szCs w:val="20"/>
                <w:lang w:eastAsia="en-GB"/>
              </w:rPr>
              <w:t>N</w:t>
            </w:r>
            <w:r>
              <w:rPr>
                <w:rFonts w:cs="Arial"/>
                <w:b/>
                <w:bCs/>
                <w:color w:val="FFFFFF"/>
                <w:sz w:val="20"/>
                <w:szCs w:val="20"/>
                <w:lang w:eastAsia="en-GB"/>
              </w:rPr>
              <w:t>o. Under</w:t>
            </w:r>
            <w:r w:rsidRPr="00D51DF4">
              <w:rPr>
                <w:rFonts w:cs="Arial"/>
                <w:b/>
                <w:bCs/>
                <w:color w:val="FFFFFF"/>
                <w:sz w:val="20"/>
                <w:szCs w:val="20"/>
                <w:lang w:eastAsia="en-GB"/>
              </w:rPr>
              <w:t>occupying*</w:t>
            </w:r>
          </w:p>
        </w:tc>
        <w:tc>
          <w:tcPr>
            <w:tcW w:w="1655" w:type="dxa"/>
            <w:tcBorders>
              <w:top w:val="single" w:sz="4" w:space="0" w:color="auto"/>
              <w:left w:val="nil"/>
              <w:bottom w:val="single" w:sz="4" w:space="0" w:color="auto"/>
              <w:right w:val="single" w:sz="4" w:space="0" w:color="auto"/>
            </w:tcBorders>
            <w:shd w:val="clear" w:color="000000" w:fill="008080"/>
            <w:vAlign w:val="bottom"/>
            <w:hideMark/>
          </w:tcPr>
          <w:p w:rsidR="00D51DF4" w:rsidRPr="00D51DF4" w:rsidRDefault="00D51DF4" w:rsidP="00D51DF4">
            <w:pPr>
              <w:spacing w:before="0" w:after="0"/>
              <w:jc w:val="center"/>
              <w:rPr>
                <w:rFonts w:cs="Arial"/>
                <w:b/>
                <w:bCs/>
                <w:color w:val="FFFFFF"/>
                <w:sz w:val="20"/>
                <w:szCs w:val="20"/>
                <w:lang w:eastAsia="en-GB"/>
              </w:rPr>
            </w:pPr>
            <w:r w:rsidRPr="00D51DF4">
              <w:rPr>
                <w:rFonts w:cs="Arial"/>
                <w:b/>
                <w:bCs/>
                <w:color w:val="FFFFFF"/>
                <w:sz w:val="20"/>
                <w:szCs w:val="20"/>
                <w:lang w:eastAsia="en-GB"/>
              </w:rPr>
              <w:t>Total Households</w:t>
            </w:r>
          </w:p>
        </w:tc>
        <w:tc>
          <w:tcPr>
            <w:tcW w:w="1701" w:type="dxa"/>
            <w:tcBorders>
              <w:top w:val="single" w:sz="4" w:space="0" w:color="auto"/>
              <w:left w:val="nil"/>
              <w:bottom w:val="single" w:sz="4" w:space="0" w:color="auto"/>
              <w:right w:val="single" w:sz="4" w:space="0" w:color="auto"/>
            </w:tcBorders>
            <w:shd w:val="clear" w:color="000000" w:fill="008080"/>
            <w:vAlign w:val="bottom"/>
            <w:hideMark/>
          </w:tcPr>
          <w:p w:rsidR="00D51DF4" w:rsidRDefault="00D51DF4" w:rsidP="00D51DF4">
            <w:pPr>
              <w:spacing w:before="0" w:after="0"/>
              <w:jc w:val="center"/>
              <w:rPr>
                <w:rFonts w:cs="Arial"/>
                <w:b/>
                <w:bCs/>
                <w:color w:val="FFFFFF"/>
                <w:sz w:val="20"/>
                <w:szCs w:val="20"/>
                <w:lang w:eastAsia="en-GB"/>
              </w:rPr>
            </w:pPr>
            <w:r w:rsidRPr="00D51DF4">
              <w:rPr>
                <w:rFonts w:cs="Arial"/>
                <w:b/>
                <w:bCs/>
                <w:color w:val="FFFFFF"/>
                <w:sz w:val="20"/>
                <w:szCs w:val="20"/>
                <w:lang w:eastAsia="en-GB"/>
              </w:rPr>
              <w:t xml:space="preserve">% </w:t>
            </w:r>
          </w:p>
          <w:p w:rsidR="00D51DF4" w:rsidRPr="00D51DF4" w:rsidRDefault="00D51DF4" w:rsidP="00D51DF4">
            <w:pPr>
              <w:spacing w:before="0" w:after="0"/>
              <w:jc w:val="center"/>
              <w:rPr>
                <w:rFonts w:cs="Arial"/>
                <w:b/>
                <w:bCs/>
                <w:color w:val="FFFFFF"/>
                <w:sz w:val="20"/>
                <w:szCs w:val="20"/>
                <w:lang w:eastAsia="en-GB"/>
              </w:rPr>
            </w:pPr>
            <w:r>
              <w:rPr>
                <w:rFonts w:cs="Arial"/>
                <w:b/>
                <w:bCs/>
                <w:color w:val="FFFFFF"/>
                <w:sz w:val="20"/>
                <w:szCs w:val="20"/>
                <w:lang w:eastAsia="en-GB"/>
              </w:rPr>
              <w:t>Under</w:t>
            </w:r>
            <w:r w:rsidRPr="00D51DF4">
              <w:rPr>
                <w:rFonts w:cs="Arial"/>
                <w:b/>
                <w:bCs/>
                <w:color w:val="FFFFFF"/>
                <w:sz w:val="20"/>
                <w:szCs w:val="20"/>
                <w:lang w:eastAsia="en-GB"/>
              </w:rPr>
              <w:t>occupying*</w:t>
            </w:r>
          </w:p>
        </w:tc>
      </w:tr>
      <w:tr w:rsidR="00D51DF4" w:rsidRPr="00D51DF4" w:rsidTr="00D51DF4">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Owned (no mortgage)</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11524</w:t>
            </w:r>
          </w:p>
        </w:tc>
        <w:tc>
          <w:tcPr>
            <w:tcW w:w="1655"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79618</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14.5</w:t>
            </w:r>
          </w:p>
        </w:tc>
      </w:tr>
      <w:tr w:rsidR="00D51DF4" w:rsidRPr="00D51DF4" w:rsidTr="00D51DF4">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Owned (with mortgage)</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5319</w:t>
            </w:r>
          </w:p>
        </w:tc>
        <w:tc>
          <w:tcPr>
            <w:tcW w:w="1655"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67729</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7.9</w:t>
            </w:r>
          </w:p>
        </w:tc>
      </w:tr>
      <w:tr w:rsidR="00D51DF4" w:rsidRPr="00D51DF4" w:rsidTr="00D51DF4">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Social/Affordable Rent and Intermediate</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87</w:t>
            </w:r>
          </w:p>
        </w:tc>
        <w:tc>
          <w:tcPr>
            <w:tcW w:w="1655"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45492</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0.2</w:t>
            </w:r>
          </w:p>
        </w:tc>
      </w:tr>
      <w:tr w:rsidR="00D51DF4" w:rsidRPr="00D51DF4" w:rsidTr="00D51DF4">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 xml:space="preserve">Rented privately  </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634</w:t>
            </w:r>
          </w:p>
        </w:tc>
        <w:tc>
          <w:tcPr>
            <w:tcW w:w="1655"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30964</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2.0</w:t>
            </w:r>
          </w:p>
        </w:tc>
      </w:tr>
      <w:tr w:rsidR="00D51DF4" w:rsidRPr="00D51DF4" w:rsidTr="00D51DF4">
        <w:trPr>
          <w:trHeight w:val="255"/>
        </w:trPr>
        <w:tc>
          <w:tcPr>
            <w:tcW w:w="2994"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Total</w:t>
            </w:r>
          </w:p>
        </w:tc>
        <w:tc>
          <w:tcPr>
            <w:tcW w:w="187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17563</w:t>
            </w:r>
          </w:p>
        </w:tc>
        <w:tc>
          <w:tcPr>
            <w:tcW w:w="1655"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223803</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7.8</w:t>
            </w:r>
          </w:p>
        </w:tc>
      </w:tr>
    </w:tbl>
    <w:p w:rsidR="00F704B2" w:rsidRDefault="00F704B2" w:rsidP="00F704B2">
      <w:pPr>
        <w:pStyle w:val="Maintext"/>
        <w:numPr>
          <w:ilvl w:val="0"/>
          <w:numId w:val="0"/>
        </w:numPr>
        <w:ind w:firstLine="709"/>
        <w:rPr>
          <w:sz w:val="20"/>
          <w:szCs w:val="20"/>
        </w:rPr>
      </w:pPr>
      <w:r>
        <w:rPr>
          <w:sz w:val="20"/>
          <w:szCs w:val="20"/>
        </w:rPr>
        <w:t>*household has 3 or more ‘spare’ bedrooms</w:t>
      </w:r>
    </w:p>
    <w:p w:rsidR="00F704B2" w:rsidRDefault="00F704B2" w:rsidP="00F704B2">
      <w:pPr>
        <w:pStyle w:val="Maintext"/>
        <w:numPr>
          <w:ilvl w:val="0"/>
          <w:numId w:val="0"/>
        </w:numPr>
        <w:ind w:firstLine="709"/>
        <w:rPr>
          <w:b/>
          <w:sz w:val="20"/>
          <w:szCs w:val="20"/>
        </w:rPr>
      </w:pPr>
      <w:r>
        <w:rPr>
          <w:sz w:val="20"/>
          <w:szCs w:val="20"/>
        </w:rPr>
        <w:t>Source: Household survey 2012</w:t>
      </w:r>
      <w:r w:rsidR="00D51DF4">
        <w:rPr>
          <w:sz w:val="20"/>
          <w:szCs w:val="20"/>
        </w:rPr>
        <w:t xml:space="preserve"> rebased to 2011 Census</w:t>
      </w:r>
    </w:p>
    <w:p w:rsidR="00F704B2" w:rsidRPr="00D8517E" w:rsidRDefault="00F704B2" w:rsidP="00F704B2">
      <w:pPr>
        <w:pStyle w:val="Maintext"/>
        <w:numPr>
          <w:ilvl w:val="0"/>
          <w:numId w:val="0"/>
        </w:numPr>
        <w:ind w:firstLine="709"/>
        <w:rPr>
          <w:b/>
          <w:sz w:val="20"/>
          <w:szCs w:val="20"/>
        </w:rPr>
      </w:pPr>
    </w:p>
    <w:p w:rsidR="00F704B2" w:rsidRDefault="00F704B2" w:rsidP="00F704B2">
      <w:pPr>
        <w:pStyle w:val="Maintext"/>
        <w:numPr>
          <w:ilvl w:val="1"/>
          <w:numId w:val="8"/>
        </w:numPr>
        <w:tabs>
          <w:tab w:val="num" w:pos="992"/>
        </w:tabs>
      </w:pPr>
      <w:r>
        <w:t xml:space="preserve">Table B27 illustrates the relationship between severe under-occupation and household type.  This shows that severe under-occupation is most prevalent amongst couples without children accounting for 71.4% of all sever under-occupation.  The next largest group are single adults with no children (13.6%). </w:t>
      </w:r>
    </w:p>
    <w:p w:rsidR="00F704B2" w:rsidRDefault="00F704B2" w:rsidP="00F704B2">
      <w:pPr>
        <w:pStyle w:val="Maintext"/>
        <w:numPr>
          <w:ilvl w:val="0"/>
          <w:numId w:val="0"/>
        </w:numPr>
        <w:ind w:firstLine="709"/>
        <w:rPr>
          <w:b/>
        </w:rPr>
      </w:pPr>
    </w:p>
    <w:p w:rsidR="00F704B2" w:rsidRDefault="00F704B2" w:rsidP="00F704B2">
      <w:pPr>
        <w:spacing w:before="0"/>
        <w:ind w:left="993" w:hanging="284"/>
        <w:rPr>
          <w:b/>
        </w:rPr>
      </w:pPr>
      <w:r>
        <w:rPr>
          <w:b/>
        </w:rPr>
        <w:br w:type="page"/>
      </w:r>
    </w:p>
    <w:p w:rsidR="00F704B2" w:rsidRDefault="00F704B2" w:rsidP="00F704B2">
      <w:pPr>
        <w:pStyle w:val="Maintext"/>
        <w:numPr>
          <w:ilvl w:val="0"/>
          <w:numId w:val="0"/>
        </w:numPr>
        <w:ind w:firstLine="709"/>
      </w:pPr>
      <w:r>
        <w:rPr>
          <w:b/>
        </w:rPr>
        <w:t>Table B27</w:t>
      </w:r>
      <w:r>
        <w:rPr>
          <w:b/>
        </w:rPr>
        <w:tab/>
      </w:r>
      <w:r>
        <w:t>Under-occupation* by household type</w:t>
      </w:r>
    </w:p>
    <w:tbl>
      <w:tblPr>
        <w:tblW w:w="8363" w:type="dxa"/>
        <w:tblInd w:w="817" w:type="dxa"/>
        <w:tblLayout w:type="fixed"/>
        <w:tblLook w:val="04A0" w:firstRow="1" w:lastRow="0" w:firstColumn="1" w:lastColumn="0" w:noHBand="0" w:noVBand="1"/>
      </w:tblPr>
      <w:tblGrid>
        <w:gridCol w:w="2852"/>
        <w:gridCol w:w="1968"/>
        <w:gridCol w:w="1701"/>
        <w:gridCol w:w="1842"/>
      </w:tblGrid>
      <w:tr w:rsidR="00D51DF4" w:rsidRPr="00D51DF4" w:rsidTr="00D51DF4">
        <w:trPr>
          <w:trHeight w:val="510"/>
        </w:trPr>
        <w:tc>
          <w:tcPr>
            <w:tcW w:w="2852"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D51DF4" w:rsidRPr="00D51DF4" w:rsidRDefault="00D51DF4" w:rsidP="00D51DF4">
            <w:pPr>
              <w:spacing w:before="0" w:after="0"/>
              <w:rPr>
                <w:rFonts w:cs="Arial"/>
                <w:b/>
                <w:bCs/>
                <w:color w:val="FFFFFF"/>
                <w:sz w:val="20"/>
                <w:szCs w:val="20"/>
                <w:lang w:eastAsia="en-GB"/>
              </w:rPr>
            </w:pPr>
            <w:r w:rsidRPr="00D51DF4">
              <w:rPr>
                <w:rFonts w:cs="Arial"/>
                <w:b/>
                <w:bCs/>
                <w:color w:val="FFFFFF"/>
                <w:sz w:val="20"/>
                <w:szCs w:val="20"/>
                <w:lang w:eastAsia="en-GB"/>
              </w:rPr>
              <w:t>Households</w:t>
            </w:r>
          </w:p>
        </w:tc>
        <w:tc>
          <w:tcPr>
            <w:tcW w:w="1968" w:type="dxa"/>
            <w:tcBorders>
              <w:top w:val="single" w:sz="4" w:space="0" w:color="auto"/>
              <w:left w:val="nil"/>
              <w:bottom w:val="single" w:sz="4" w:space="0" w:color="auto"/>
              <w:right w:val="single" w:sz="4" w:space="0" w:color="auto"/>
            </w:tcBorders>
            <w:shd w:val="clear" w:color="000000" w:fill="008080"/>
            <w:vAlign w:val="bottom"/>
            <w:hideMark/>
          </w:tcPr>
          <w:p w:rsidR="00D51DF4" w:rsidRPr="00D51DF4" w:rsidRDefault="00D51DF4" w:rsidP="00D51DF4">
            <w:pPr>
              <w:spacing w:before="0" w:after="0"/>
              <w:jc w:val="center"/>
              <w:rPr>
                <w:rFonts w:cs="Arial"/>
                <w:b/>
                <w:bCs/>
                <w:color w:val="FFFFFF"/>
                <w:sz w:val="20"/>
                <w:szCs w:val="20"/>
                <w:lang w:eastAsia="en-GB"/>
              </w:rPr>
            </w:pPr>
            <w:r>
              <w:rPr>
                <w:rFonts w:cs="Arial"/>
                <w:b/>
                <w:bCs/>
                <w:color w:val="FFFFFF"/>
                <w:sz w:val="20"/>
                <w:szCs w:val="20"/>
                <w:lang w:eastAsia="en-GB"/>
              </w:rPr>
              <w:t>No. Under</w:t>
            </w:r>
            <w:r w:rsidRPr="00D51DF4">
              <w:rPr>
                <w:rFonts w:cs="Arial"/>
                <w:b/>
                <w:bCs/>
                <w:color w:val="FFFFFF"/>
                <w:sz w:val="20"/>
                <w:szCs w:val="20"/>
                <w:lang w:eastAsia="en-GB"/>
              </w:rPr>
              <w:t>occupying*</w:t>
            </w:r>
          </w:p>
        </w:tc>
        <w:tc>
          <w:tcPr>
            <w:tcW w:w="1701" w:type="dxa"/>
            <w:tcBorders>
              <w:top w:val="single" w:sz="4" w:space="0" w:color="auto"/>
              <w:left w:val="nil"/>
              <w:bottom w:val="single" w:sz="4" w:space="0" w:color="auto"/>
              <w:right w:val="single" w:sz="4" w:space="0" w:color="auto"/>
            </w:tcBorders>
            <w:shd w:val="clear" w:color="000000" w:fill="008080"/>
            <w:vAlign w:val="bottom"/>
            <w:hideMark/>
          </w:tcPr>
          <w:p w:rsidR="00D51DF4" w:rsidRPr="00D51DF4" w:rsidRDefault="00D51DF4" w:rsidP="00D51DF4">
            <w:pPr>
              <w:spacing w:before="0" w:after="0"/>
              <w:jc w:val="center"/>
              <w:rPr>
                <w:rFonts w:cs="Arial"/>
                <w:b/>
                <w:bCs/>
                <w:color w:val="FFFFFF"/>
                <w:sz w:val="20"/>
                <w:szCs w:val="20"/>
                <w:lang w:eastAsia="en-GB"/>
              </w:rPr>
            </w:pPr>
            <w:r w:rsidRPr="00D51DF4">
              <w:rPr>
                <w:rFonts w:cs="Arial"/>
                <w:b/>
                <w:bCs/>
                <w:color w:val="FFFFFF"/>
                <w:sz w:val="20"/>
                <w:szCs w:val="20"/>
                <w:lang w:eastAsia="en-GB"/>
              </w:rPr>
              <w:t>Total Households</w:t>
            </w:r>
          </w:p>
        </w:tc>
        <w:tc>
          <w:tcPr>
            <w:tcW w:w="1842" w:type="dxa"/>
            <w:tcBorders>
              <w:top w:val="single" w:sz="4" w:space="0" w:color="auto"/>
              <w:left w:val="nil"/>
              <w:bottom w:val="single" w:sz="4" w:space="0" w:color="auto"/>
              <w:right w:val="single" w:sz="4" w:space="0" w:color="auto"/>
            </w:tcBorders>
            <w:shd w:val="clear" w:color="000000" w:fill="008080"/>
            <w:vAlign w:val="bottom"/>
            <w:hideMark/>
          </w:tcPr>
          <w:p w:rsidR="00D51DF4" w:rsidRPr="00D51DF4" w:rsidRDefault="00D51DF4" w:rsidP="00D51DF4">
            <w:pPr>
              <w:spacing w:before="0" w:after="0"/>
              <w:jc w:val="center"/>
              <w:rPr>
                <w:rFonts w:cs="Arial"/>
                <w:b/>
                <w:bCs/>
                <w:color w:val="FFFFFF"/>
                <w:sz w:val="20"/>
                <w:szCs w:val="20"/>
                <w:lang w:eastAsia="en-GB"/>
              </w:rPr>
            </w:pPr>
            <w:r>
              <w:rPr>
                <w:rFonts w:cs="Arial"/>
                <w:b/>
                <w:bCs/>
                <w:color w:val="FFFFFF"/>
                <w:sz w:val="20"/>
                <w:szCs w:val="20"/>
                <w:lang w:eastAsia="en-GB"/>
              </w:rPr>
              <w:t>% Under</w:t>
            </w:r>
            <w:r w:rsidRPr="00D51DF4">
              <w:rPr>
                <w:rFonts w:cs="Arial"/>
                <w:b/>
                <w:bCs/>
                <w:color w:val="FFFFFF"/>
                <w:sz w:val="20"/>
                <w:szCs w:val="20"/>
                <w:lang w:eastAsia="en-GB"/>
              </w:rPr>
              <w:t>occupying</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Single adult (under 60)</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1193</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28541</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4.2</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Single adult (60 or over)</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1558</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40135</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3.9</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Couple only (both under 60)</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4985</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29114</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17.1</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Couple only (one or both over 60)</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8210</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49755</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16.5</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Couple 1/2 child(ren) under 18</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910</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27077</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3.4</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Couple 3+ children under 18</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4352</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0.0</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Lone parent with 1/2 child(ren) under 18</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53</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10545</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0.5</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Lone parent with 3+ children under 18</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716</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0.0</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Student household</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728</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0.0</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Friends sharing</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1386</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0.0</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Other type of household</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15</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3515</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0.4</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Couple with adult child(ren)</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587</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20932</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2.8</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Lone parent with adult child(ren)</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53</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5819</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0.9</w:t>
            </w:r>
          </w:p>
        </w:tc>
      </w:tr>
      <w:tr w:rsidR="00D51DF4" w:rsidRPr="00D51DF4" w:rsidTr="00D51DF4">
        <w:trPr>
          <w:trHeight w:val="255"/>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rPr>
                <w:rFonts w:cs="Arial"/>
                <w:sz w:val="20"/>
                <w:szCs w:val="20"/>
                <w:lang w:eastAsia="en-GB"/>
              </w:rPr>
            </w:pPr>
            <w:r w:rsidRPr="00D51DF4">
              <w:rPr>
                <w:rFonts w:cs="Arial"/>
                <w:sz w:val="20"/>
                <w:szCs w:val="20"/>
                <w:lang w:eastAsia="en-GB"/>
              </w:rPr>
              <w:t>Total</w:t>
            </w:r>
          </w:p>
        </w:tc>
        <w:tc>
          <w:tcPr>
            <w:tcW w:w="1968"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17563</w:t>
            </w:r>
          </w:p>
        </w:tc>
        <w:tc>
          <w:tcPr>
            <w:tcW w:w="1701"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223803</w:t>
            </w:r>
          </w:p>
        </w:tc>
        <w:tc>
          <w:tcPr>
            <w:tcW w:w="1842" w:type="dxa"/>
            <w:tcBorders>
              <w:top w:val="nil"/>
              <w:left w:val="nil"/>
              <w:bottom w:val="single" w:sz="4" w:space="0" w:color="auto"/>
              <w:right w:val="single" w:sz="4" w:space="0" w:color="auto"/>
            </w:tcBorders>
            <w:shd w:val="clear" w:color="auto" w:fill="auto"/>
            <w:noWrap/>
            <w:vAlign w:val="bottom"/>
            <w:hideMark/>
          </w:tcPr>
          <w:p w:rsidR="00D51DF4" w:rsidRPr="00D51DF4" w:rsidRDefault="00D51DF4" w:rsidP="00D51DF4">
            <w:pPr>
              <w:spacing w:before="0" w:after="0"/>
              <w:jc w:val="center"/>
              <w:rPr>
                <w:rFonts w:cs="Arial"/>
                <w:sz w:val="20"/>
                <w:szCs w:val="20"/>
                <w:lang w:eastAsia="en-GB"/>
              </w:rPr>
            </w:pPr>
            <w:r w:rsidRPr="00D51DF4">
              <w:rPr>
                <w:rFonts w:cs="Arial"/>
                <w:sz w:val="20"/>
                <w:szCs w:val="20"/>
                <w:lang w:eastAsia="en-GB"/>
              </w:rPr>
              <w:t>7.8</w:t>
            </w:r>
          </w:p>
        </w:tc>
      </w:tr>
    </w:tbl>
    <w:p w:rsidR="00F704B2" w:rsidRDefault="00F704B2" w:rsidP="00F704B2">
      <w:pPr>
        <w:pStyle w:val="Maintext"/>
        <w:numPr>
          <w:ilvl w:val="0"/>
          <w:numId w:val="0"/>
        </w:numPr>
        <w:ind w:firstLine="709"/>
        <w:rPr>
          <w:sz w:val="20"/>
          <w:szCs w:val="20"/>
        </w:rPr>
      </w:pPr>
      <w:r>
        <w:rPr>
          <w:sz w:val="20"/>
          <w:szCs w:val="20"/>
        </w:rPr>
        <w:t>*Household has 3 or more ‘spare’ bedrooms</w:t>
      </w:r>
    </w:p>
    <w:p w:rsidR="00F704B2" w:rsidRDefault="00F704B2" w:rsidP="00F704B2">
      <w:pPr>
        <w:pStyle w:val="Maintext"/>
        <w:numPr>
          <w:ilvl w:val="0"/>
          <w:numId w:val="0"/>
        </w:numPr>
        <w:ind w:firstLine="709"/>
        <w:rPr>
          <w:sz w:val="20"/>
          <w:szCs w:val="20"/>
        </w:rPr>
      </w:pPr>
      <w:r>
        <w:rPr>
          <w:sz w:val="20"/>
          <w:szCs w:val="20"/>
        </w:rPr>
        <w:t>Source: Household survey 2012</w:t>
      </w:r>
      <w:r w:rsidR="00D51DF4">
        <w:rPr>
          <w:sz w:val="20"/>
          <w:szCs w:val="20"/>
        </w:rPr>
        <w:t xml:space="preserve"> rebased to 2011 Census</w:t>
      </w:r>
    </w:p>
    <w:p w:rsidR="00AC717B" w:rsidRDefault="00AC717B" w:rsidP="00AC717B">
      <w:bookmarkStart w:id="272" w:name="_Toc225941591"/>
      <w:bookmarkStart w:id="273" w:name="_Toc318323449"/>
    </w:p>
    <w:p w:rsidR="00D24193" w:rsidRPr="00AC717B" w:rsidRDefault="00D24193" w:rsidP="00AC717B"/>
    <w:p w:rsidR="00F704B2" w:rsidRDefault="00F704B2" w:rsidP="00F704B2">
      <w:pPr>
        <w:pStyle w:val="Heading3"/>
      </w:pPr>
      <w:r>
        <w:t>Step 3.4</w:t>
      </w:r>
      <w:r>
        <w:tab/>
        <w:t>Vacancies, turnover rates and available supply by tenure</w:t>
      </w:r>
      <w:bookmarkEnd w:id="272"/>
      <w:bookmarkEnd w:id="273"/>
      <w:r>
        <w:t xml:space="preserve"> </w:t>
      </w:r>
    </w:p>
    <w:p w:rsidR="00F704B2" w:rsidRDefault="00F704B2" w:rsidP="00F704B2">
      <w:pPr>
        <w:rPr>
          <w:i/>
        </w:rPr>
      </w:pPr>
    </w:p>
    <w:p w:rsidR="00F704B2" w:rsidRDefault="00F704B2" w:rsidP="00F704B2">
      <w:pPr>
        <w:pStyle w:val="Heading4"/>
      </w:pPr>
      <w:bookmarkStart w:id="274" w:name="_Toc225941592"/>
      <w:r>
        <w:t>Vacancy rates</w:t>
      </w:r>
      <w:bookmarkEnd w:id="274"/>
    </w:p>
    <w:p w:rsidR="00F704B2" w:rsidRDefault="00F704B2" w:rsidP="00F704B2">
      <w:pPr>
        <w:pStyle w:val="Maintext"/>
        <w:numPr>
          <w:ilvl w:val="1"/>
          <w:numId w:val="8"/>
        </w:numPr>
        <w:tabs>
          <w:tab w:val="num" w:pos="992"/>
        </w:tabs>
      </w:pPr>
      <w:r>
        <w:t xml:space="preserve">A total of </w:t>
      </w:r>
      <w:r w:rsidR="008F76D8">
        <w:t>10,110</w:t>
      </w:r>
      <w:r>
        <w:t xml:space="preserve"> dwellings were reported as vacant in </w:t>
      </w:r>
      <w:r w:rsidR="008F76D8">
        <w:t>2011 representing 4.3</w:t>
      </w:r>
      <w:r>
        <w:t>% of total dwelling stock</w:t>
      </w:r>
      <w:r>
        <w:rPr>
          <w:rStyle w:val="FootnoteReference"/>
        </w:rPr>
        <w:footnoteReference w:id="29"/>
      </w:r>
      <w:r>
        <w:t>.</w:t>
      </w:r>
    </w:p>
    <w:p w:rsidR="00F704B2" w:rsidRDefault="00F704B2" w:rsidP="00F704B2">
      <w:pPr>
        <w:pStyle w:val="Maintext"/>
        <w:numPr>
          <w:ilvl w:val="0"/>
          <w:numId w:val="0"/>
        </w:numPr>
        <w:rPr>
          <w:i/>
        </w:rPr>
      </w:pPr>
    </w:p>
    <w:p w:rsidR="00F704B2" w:rsidRDefault="00F704B2" w:rsidP="00F704B2">
      <w:pPr>
        <w:pStyle w:val="Heading4"/>
      </w:pPr>
      <w:bookmarkStart w:id="275" w:name="_Toc225941593"/>
      <w:r>
        <w:t>Turnover rates</w:t>
      </w:r>
      <w:bookmarkEnd w:id="275"/>
    </w:p>
    <w:p w:rsidR="00F704B2" w:rsidRDefault="008F76D8" w:rsidP="00F704B2">
      <w:pPr>
        <w:pStyle w:val="Maintext"/>
        <w:numPr>
          <w:ilvl w:val="1"/>
          <w:numId w:val="8"/>
        </w:numPr>
        <w:tabs>
          <w:tab w:val="num" w:pos="992"/>
        </w:tabs>
      </w:pPr>
      <w:r>
        <w:t>The 2012</w:t>
      </w:r>
      <w:r w:rsidR="00F704B2">
        <w:t xml:space="preserve"> Household Survey provided information on how long a household had lived at their present address.  Using this information, turnover rates can be derived by </w:t>
      </w:r>
      <w:r w:rsidR="00B440F0">
        <w:t>delivery area</w:t>
      </w:r>
      <w:r w:rsidR="00F704B2">
        <w:t xml:space="preserve"> (Table B28) and tenure (Table B29).  Overall, around 5.</w:t>
      </w:r>
      <w:r w:rsidR="00D24193">
        <w:t>4</w:t>
      </w:r>
      <w:r w:rsidR="00F704B2">
        <w:t>% of households move each year.  Within County Durham, highest levels of turnover were in Central Durham (</w:t>
      </w:r>
      <w:r w:rsidR="00D24193">
        <w:t>6.2</w:t>
      </w:r>
      <w:r w:rsidR="00F704B2">
        <w:t xml:space="preserve">%). </w:t>
      </w:r>
    </w:p>
    <w:p w:rsidR="00F704B2" w:rsidRDefault="00F704B2" w:rsidP="00F704B2">
      <w:pPr>
        <w:pStyle w:val="Maintext"/>
        <w:numPr>
          <w:ilvl w:val="1"/>
          <w:numId w:val="8"/>
        </w:numPr>
        <w:tabs>
          <w:tab w:val="num" w:pos="992"/>
        </w:tabs>
      </w:pPr>
      <w:r>
        <w:t>Table B29 shows that there are strong relationships between turnover and tenure, with the private rented se</w:t>
      </w:r>
      <w:r w:rsidR="00D24193">
        <w:t xml:space="preserve">ctor </w:t>
      </w:r>
      <w:r>
        <w:t xml:space="preserve">exhibiting strong rates of turnover and the owner-occupied sector the least; this is consistent with national trends. </w:t>
      </w:r>
    </w:p>
    <w:p w:rsidR="00F704B2" w:rsidRDefault="00F704B2" w:rsidP="00F704B2">
      <w:pPr>
        <w:pStyle w:val="Maintext"/>
        <w:numPr>
          <w:ilvl w:val="0"/>
          <w:numId w:val="0"/>
        </w:numPr>
        <w:rPr>
          <w:b/>
          <w:i/>
        </w:rPr>
      </w:pPr>
    </w:p>
    <w:p w:rsidR="00F704B2" w:rsidRDefault="00F704B2" w:rsidP="00F704B2">
      <w:pPr>
        <w:pStyle w:val="Maintext"/>
        <w:numPr>
          <w:ilvl w:val="0"/>
          <w:numId w:val="0"/>
        </w:numPr>
        <w:ind w:firstLine="709"/>
        <w:rPr>
          <w:b/>
        </w:rPr>
      </w:pPr>
    </w:p>
    <w:p w:rsidR="00F704B2" w:rsidRDefault="00F704B2" w:rsidP="00F704B2">
      <w:pPr>
        <w:pStyle w:val="Maintext"/>
        <w:numPr>
          <w:ilvl w:val="0"/>
          <w:numId w:val="0"/>
        </w:numPr>
        <w:ind w:firstLine="709"/>
      </w:pPr>
      <w:r>
        <w:rPr>
          <w:b/>
        </w:rPr>
        <w:t>Table B28</w:t>
      </w:r>
      <w:r>
        <w:rPr>
          <w:b/>
        </w:rPr>
        <w:tab/>
      </w:r>
      <w:r>
        <w:t xml:space="preserve">Household turnover rates by </w:t>
      </w:r>
      <w:r w:rsidR="00B440F0">
        <w:t>delivery area</w:t>
      </w:r>
    </w:p>
    <w:tbl>
      <w:tblPr>
        <w:tblW w:w="9263" w:type="dxa"/>
        <w:tblInd w:w="93" w:type="dxa"/>
        <w:tblLook w:val="04A0" w:firstRow="1" w:lastRow="0" w:firstColumn="1" w:lastColumn="0" w:noHBand="0" w:noVBand="1"/>
      </w:tblPr>
      <w:tblGrid>
        <w:gridCol w:w="2283"/>
        <w:gridCol w:w="1780"/>
        <w:gridCol w:w="1720"/>
        <w:gridCol w:w="1760"/>
        <w:gridCol w:w="1720"/>
      </w:tblGrid>
      <w:tr w:rsidR="00F704B2" w:rsidRPr="000D3C2C" w:rsidTr="003C5498">
        <w:trPr>
          <w:trHeight w:val="1020"/>
        </w:trPr>
        <w:tc>
          <w:tcPr>
            <w:tcW w:w="2283"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0D3C2C" w:rsidRDefault="00B440F0" w:rsidP="003C5498">
            <w:pPr>
              <w:spacing w:before="0" w:after="0"/>
              <w:rPr>
                <w:rFonts w:cs="Arial"/>
                <w:b/>
                <w:bCs/>
                <w:color w:val="FFFFFF"/>
                <w:sz w:val="20"/>
                <w:szCs w:val="20"/>
                <w:lang w:eastAsia="en-GB"/>
              </w:rPr>
            </w:pPr>
            <w:r>
              <w:rPr>
                <w:rFonts w:cs="Arial"/>
                <w:b/>
                <w:bCs/>
                <w:color w:val="FFFFFF"/>
                <w:sz w:val="20"/>
                <w:szCs w:val="20"/>
                <w:lang w:eastAsia="en-GB"/>
              </w:rPr>
              <w:t>Delivery area</w:t>
            </w:r>
          </w:p>
        </w:tc>
        <w:tc>
          <w:tcPr>
            <w:tcW w:w="1780" w:type="dxa"/>
            <w:tcBorders>
              <w:top w:val="single" w:sz="4" w:space="0" w:color="auto"/>
              <w:left w:val="nil"/>
              <w:bottom w:val="single" w:sz="4" w:space="0" w:color="auto"/>
              <w:right w:val="single" w:sz="4" w:space="0" w:color="auto"/>
            </w:tcBorders>
            <w:shd w:val="clear" w:color="000000" w:fill="008080"/>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 households living in property for less than 5 years</w:t>
            </w:r>
          </w:p>
        </w:tc>
        <w:tc>
          <w:tcPr>
            <w:tcW w:w="1720" w:type="dxa"/>
            <w:tcBorders>
              <w:top w:val="single" w:sz="4" w:space="0" w:color="auto"/>
              <w:left w:val="nil"/>
              <w:bottom w:val="single" w:sz="4" w:space="0" w:color="auto"/>
              <w:right w:val="single" w:sz="4" w:space="0" w:color="auto"/>
            </w:tcBorders>
            <w:shd w:val="clear" w:color="000000" w:fill="008080"/>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Annual Turnover (%)</w:t>
            </w:r>
          </w:p>
        </w:tc>
        <w:tc>
          <w:tcPr>
            <w:tcW w:w="1760" w:type="dxa"/>
            <w:tcBorders>
              <w:top w:val="single" w:sz="4" w:space="0" w:color="auto"/>
              <w:left w:val="nil"/>
              <w:bottom w:val="single" w:sz="4" w:space="0" w:color="auto"/>
              <w:right w:val="single" w:sz="4" w:space="0" w:color="auto"/>
            </w:tcBorders>
            <w:shd w:val="clear" w:color="000000" w:fill="008080"/>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Annual turnover (no. of dwellings)</w:t>
            </w:r>
          </w:p>
        </w:tc>
        <w:tc>
          <w:tcPr>
            <w:tcW w:w="1720"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Total households</w:t>
            </w:r>
          </w:p>
        </w:tc>
      </w:tr>
      <w:tr w:rsidR="00D24193" w:rsidRPr="000D3C2C" w:rsidTr="003C5498">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North Durham</w:t>
            </w:r>
          </w:p>
        </w:tc>
        <w:tc>
          <w:tcPr>
            <w:tcW w:w="178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26.2</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5.2</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3151</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60151</w:t>
            </w:r>
          </w:p>
        </w:tc>
      </w:tr>
      <w:tr w:rsidR="00D24193" w:rsidRPr="000D3C2C" w:rsidTr="003C5498">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Central Durham</w:t>
            </w:r>
          </w:p>
        </w:tc>
        <w:tc>
          <w:tcPr>
            <w:tcW w:w="178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30.8</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6.2</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2642</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42905</w:t>
            </w:r>
          </w:p>
        </w:tc>
      </w:tr>
      <w:tr w:rsidR="00D24193" w:rsidRPr="000D3C2C" w:rsidTr="003C5498">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East Durham</w:t>
            </w:r>
          </w:p>
        </w:tc>
        <w:tc>
          <w:tcPr>
            <w:tcW w:w="178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26.4</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5.3</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2190</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41416</w:t>
            </w:r>
          </w:p>
        </w:tc>
      </w:tr>
      <w:tr w:rsidR="00D24193" w:rsidRPr="000D3C2C" w:rsidTr="003C5498">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The Dales</w:t>
            </w:r>
          </w:p>
        </w:tc>
        <w:tc>
          <w:tcPr>
            <w:tcW w:w="178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26.2</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5.2</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775</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14811</w:t>
            </w:r>
          </w:p>
        </w:tc>
      </w:tr>
      <w:tr w:rsidR="00D24193" w:rsidRPr="000D3C2C" w:rsidTr="003C5498">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South Durham</w:t>
            </w:r>
          </w:p>
        </w:tc>
        <w:tc>
          <w:tcPr>
            <w:tcW w:w="178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25.7</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5.1</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3322</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64520</w:t>
            </w:r>
          </w:p>
        </w:tc>
      </w:tr>
      <w:tr w:rsidR="00D24193" w:rsidRPr="000D3C2C" w:rsidTr="003C5498">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Total</w:t>
            </w:r>
          </w:p>
        </w:tc>
        <w:tc>
          <w:tcPr>
            <w:tcW w:w="178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27.0</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5.4</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12079</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223803</w:t>
            </w:r>
          </w:p>
        </w:tc>
      </w:tr>
    </w:tbl>
    <w:p w:rsidR="00F704B2" w:rsidRDefault="00F704B2" w:rsidP="00F704B2">
      <w:pPr>
        <w:pStyle w:val="Maintext"/>
        <w:numPr>
          <w:ilvl w:val="0"/>
          <w:numId w:val="0"/>
        </w:numPr>
        <w:rPr>
          <w:sz w:val="20"/>
          <w:szCs w:val="20"/>
        </w:rPr>
      </w:pPr>
      <w:r>
        <w:rPr>
          <w:sz w:val="20"/>
          <w:szCs w:val="20"/>
        </w:rPr>
        <w:t xml:space="preserve">Source: Household </w:t>
      </w:r>
      <w:r w:rsidR="00D24193">
        <w:rPr>
          <w:sz w:val="20"/>
          <w:szCs w:val="20"/>
        </w:rPr>
        <w:t>S</w:t>
      </w:r>
      <w:r>
        <w:rPr>
          <w:sz w:val="20"/>
          <w:szCs w:val="20"/>
        </w:rPr>
        <w:t>urvey 2012</w:t>
      </w:r>
      <w:r w:rsidR="00D24193">
        <w:rPr>
          <w:sz w:val="20"/>
          <w:szCs w:val="20"/>
        </w:rPr>
        <w:t xml:space="preserve"> rebased to 2011 Census</w:t>
      </w:r>
    </w:p>
    <w:p w:rsidR="00F704B2" w:rsidRDefault="00F704B2" w:rsidP="00F704B2">
      <w:pPr>
        <w:pStyle w:val="Maintext"/>
        <w:numPr>
          <w:ilvl w:val="0"/>
          <w:numId w:val="0"/>
        </w:numPr>
        <w:ind w:firstLine="709"/>
        <w:rPr>
          <w:b/>
        </w:rPr>
      </w:pPr>
    </w:p>
    <w:p w:rsidR="00F704B2" w:rsidRDefault="00F704B2" w:rsidP="00F704B2">
      <w:pPr>
        <w:pStyle w:val="Maintext"/>
        <w:numPr>
          <w:ilvl w:val="0"/>
          <w:numId w:val="0"/>
        </w:numPr>
        <w:ind w:firstLine="720"/>
      </w:pPr>
      <w:r>
        <w:rPr>
          <w:b/>
        </w:rPr>
        <w:t>Table B29</w:t>
      </w:r>
      <w:r>
        <w:rPr>
          <w:b/>
        </w:rPr>
        <w:tab/>
      </w:r>
      <w:r>
        <w:t>Household turnover rates by area and tenure</w:t>
      </w:r>
    </w:p>
    <w:tbl>
      <w:tblPr>
        <w:tblW w:w="10035" w:type="dxa"/>
        <w:tblInd w:w="93" w:type="dxa"/>
        <w:tblLook w:val="04A0" w:firstRow="1" w:lastRow="0" w:firstColumn="1" w:lastColumn="0" w:noHBand="0" w:noVBand="1"/>
      </w:tblPr>
      <w:tblGrid>
        <w:gridCol w:w="2992"/>
        <w:gridCol w:w="1843"/>
        <w:gridCol w:w="1720"/>
        <w:gridCol w:w="1760"/>
        <w:gridCol w:w="1720"/>
      </w:tblGrid>
      <w:tr w:rsidR="00F704B2" w:rsidRPr="000D3C2C" w:rsidTr="003C5498">
        <w:trPr>
          <w:trHeight w:val="1020"/>
        </w:trPr>
        <w:tc>
          <w:tcPr>
            <w:tcW w:w="2992"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704B2" w:rsidRPr="000D3C2C" w:rsidRDefault="00F704B2" w:rsidP="003C5498">
            <w:pPr>
              <w:spacing w:before="0" w:after="0"/>
              <w:rPr>
                <w:rFonts w:cs="Arial"/>
                <w:b/>
                <w:bCs/>
                <w:color w:val="FFFFFF"/>
                <w:sz w:val="20"/>
                <w:szCs w:val="20"/>
                <w:lang w:eastAsia="en-GB"/>
              </w:rPr>
            </w:pPr>
            <w:r w:rsidRPr="000D3C2C">
              <w:rPr>
                <w:rFonts w:cs="Arial"/>
                <w:b/>
                <w:bCs/>
                <w:color w:val="FFFFFF"/>
                <w:sz w:val="20"/>
                <w:szCs w:val="20"/>
                <w:lang w:eastAsia="en-GB"/>
              </w:rPr>
              <w:t>Tenure</w:t>
            </w:r>
          </w:p>
        </w:tc>
        <w:tc>
          <w:tcPr>
            <w:tcW w:w="1843" w:type="dxa"/>
            <w:tcBorders>
              <w:top w:val="single" w:sz="4" w:space="0" w:color="auto"/>
              <w:left w:val="nil"/>
              <w:bottom w:val="single" w:sz="4" w:space="0" w:color="auto"/>
              <w:right w:val="single" w:sz="4" w:space="0" w:color="auto"/>
            </w:tcBorders>
            <w:shd w:val="clear" w:color="000000" w:fill="008080"/>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 households living in property for less than 5 years</w:t>
            </w:r>
          </w:p>
        </w:tc>
        <w:tc>
          <w:tcPr>
            <w:tcW w:w="1720" w:type="dxa"/>
            <w:tcBorders>
              <w:top w:val="single" w:sz="4" w:space="0" w:color="auto"/>
              <w:left w:val="nil"/>
              <w:bottom w:val="single" w:sz="4" w:space="0" w:color="auto"/>
              <w:right w:val="single" w:sz="4" w:space="0" w:color="auto"/>
            </w:tcBorders>
            <w:shd w:val="clear" w:color="000000" w:fill="008080"/>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Annual Turnover (%)</w:t>
            </w:r>
          </w:p>
        </w:tc>
        <w:tc>
          <w:tcPr>
            <w:tcW w:w="1760" w:type="dxa"/>
            <w:tcBorders>
              <w:top w:val="single" w:sz="4" w:space="0" w:color="auto"/>
              <w:left w:val="nil"/>
              <w:bottom w:val="single" w:sz="4" w:space="0" w:color="auto"/>
              <w:right w:val="single" w:sz="4" w:space="0" w:color="auto"/>
            </w:tcBorders>
            <w:shd w:val="clear" w:color="000000" w:fill="008080"/>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Annual turnover (no. of dwellings)</w:t>
            </w:r>
          </w:p>
        </w:tc>
        <w:tc>
          <w:tcPr>
            <w:tcW w:w="1720" w:type="dxa"/>
            <w:tcBorders>
              <w:top w:val="single" w:sz="4" w:space="0" w:color="auto"/>
              <w:left w:val="nil"/>
              <w:bottom w:val="single" w:sz="4" w:space="0" w:color="auto"/>
              <w:right w:val="single" w:sz="4" w:space="0" w:color="auto"/>
            </w:tcBorders>
            <w:shd w:val="clear" w:color="000000" w:fill="008080"/>
            <w:noWrap/>
            <w:vAlign w:val="bottom"/>
            <w:hideMark/>
          </w:tcPr>
          <w:p w:rsidR="00F704B2" w:rsidRPr="000D3C2C" w:rsidRDefault="00F704B2" w:rsidP="003C5498">
            <w:pPr>
              <w:spacing w:before="0" w:after="0"/>
              <w:jc w:val="center"/>
              <w:rPr>
                <w:rFonts w:cs="Arial"/>
                <w:b/>
                <w:bCs/>
                <w:color w:val="FFFFFF"/>
                <w:sz w:val="20"/>
                <w:szCs w:val="20"/>
                <w:lang w:eastAsia="en-GB"/>
              </w:rPr>
            </w:pPr>
            <w:r w:rsidRPr="000D3C2C">
              <w:rPr>
                <w:rFonts w:cs="Arial"/>
                <w:b/>
                <w:bCs/>
                <w:color w:val="FFFFFF"/>
                <w:sz w:val="20"/>
                <w:szCs w:val="20"/>
                <w:lang w:eastAsia="en-GB"/>
              </w:rPr>
              <w:t>Total households</w:t>
            </w:r>
          </w:p>
        </w:tc>
      </w:tr>
      <w:tr w:rsidR="00D24193" w:rsidRPr="000D3C2C" w:rsidTr="003C5498">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Owned (no mortgage)</w:t>
            </w:r>
          </w:p>
        </w:tc>
        <w:tc>
          <w:tcPr>
            <w:tcW w:w="1843"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7.2</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1.4</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1150</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79618</w:t>
            </w:r>
          </w:p>
        </w:tc>
      </w:tr>
      <w:tr w:rsidR="00D24193" w:rsidRPr="000D3C2C" w:rsidTr="003C5498">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Owned (with mortgage)</w:t>
            </w:r>
          </w:p>
        </w:tc>
        <w:tc>
          <w:tcPr>
            <w:tcW w:w="1843"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23.0</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4.6</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3111</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67729</w:t>
            </w:r>
          </w:p>
        </w:tc>
      </w:tr>
      <w:tr w:rsidR="00D24193" w:rsidRPr="000D3C2C" w:rsidTr="003C5498">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Social/Affordable Rent and Intermediate</w:t>
            </w:r>
          </w:p>
        </w:tc>
        <w:tc>
          <w:tcPr>
            <w:tcW w:w="1843"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33.0</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6.6</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2999</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45492</w:t>
            </w:r>
          </w:p>
        </w:tc>
      </w:tr>
      <w:tr w:rsidR="00D24193" w:rsidRPr="000D3C2C" w:rsidTr="003C5498">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 xml:space="preserve">Rented privately  </w:t>
            </w:r>
          </w:p>
        </w:tc>
        <w:tc>
          <w:tcPr>
            <w:tcW w:w="1843"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77.8</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15.6</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4819</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30964</w:t>
            </w:r>
          </w:p>
        </w:tc>
      </w:tr>
      <w:tr w:rsidR="00D24193" w:rsidRPr="000D3C2C" w:rsidTr="003C5498">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D24193" w:rsidRDefault="00D24193" w:rsidP="00D24193">
            <w:pPr>
              <w:spacing w:before="0" w:after="0"/>
              <w:rPr>
                <w:rFonts w:cs="Arial"/>
                <w:sz w:val="20"/>
                <w:szCs w:val="20"/>
              </w:rPr>
            </w:pPr>
            <w:r>
              <w:rPr>
                <w:rFonts w:cs="Arial"/>
                <w:sz w:val="20"/>
                <w:szCs w:val="20"/>
              </w:rPr>
              <w:t>Total</w:t>
            </w:r>
          </w:p>
        </w:tc>
        <w:tc>
          <w:tcPr>
            <w:tcW w:w="1843"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27.0</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5.4</w:t>
            </w:r>
          </w:p>
        </w:tc>
        <w:tc>
          <w:tcPr>
            <w:tcW w:w="176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12079</w:t>
            </w:r>
          </w:p>
        </w:tc>
        <w:tc>
          <w:tcPr>
            <w:tcW w:w="1720" w:type="dxa"/>
            <w:tcBorders>
              <w:top w:val="nil"/>
              <w:left w:val="nil"/>
              <w:bottom w:val="single" w:sz="4" w:space="0" w:color="auto"/>
              <w:right w:val="single" w:sz="4" w:space="0" w:color="auto"/>
            </w:tcBorders>
            <w:shd w:val="clear" w:color="auto" w:fill="auto"/>
            <w:noWrap/>
            <w:vAlign w:val="bottom"/>
            <w:hideMark/>
          </w:tcPr>
          <w:p w:rsidR="00D24193" w:rsidRDefault="00D24193" w:rsidP="00D24193">
            <w:pPr>
              <w:spacing w:before="0" w:after="0"/>
              <w:jc w:val="center"/>
              <w:rPr>
                <w:rFonts w:cs="Arial"/>
                <w:sz w:val="20"/>
                <w:szCs w:val="20"/>
              </w:rPr>
            </w:pPr>
            <w:r>
              <w:rPr>
                <w:rFonts w:cs="Arial"/>
                <w:sz w:val="20"/>
                <w:szCs w:val="20"/>
              </w:rPr>
              <w:t>223803</w:t>
            </w:r>
          </w:p>
        </w:tc>
      </w:tr>
    </w:tbl>
    <w:p w:rsidR="00F704B2" w:rsidRDefault="00F704B2" w:rsidP="00F704B2">
      <w:pPr>
        <w:pStyle w:val="Maintext"/>
        <w:numPr>
          <w:ilvl w:val="0"/>
          <w:numId w:val="0"/>
        </w:numPr>
        <w:rPr>
          <w:sz w:val="20"/>
          <w:szCs w:val="20"/>
        </w:rPr>
      </w:pPr>
      <w:r>
        <w:rPr>
          <w:sz w:val="20"/>
          <w:szCs w:val="20"/>
        </w:rPr>
        <w:t>Source: Household survey 2012</w:t>
      </w:r>
      <w:r w:rsidR="00D24193">
        <w:rPr>
          <w:sz w:val="20"/>
          <w:szCs w:val="20"/>
        </w:rPr>
        <w:t xml:space="preserve"> rebased to 2011 Census</w:t>
      </w:r>
    </w:p>
    <w:p w:rsidR="00F704B2" w:rsidRDefault="00F704B2" w:rsidP="00F704B2">
      <w:pPr>
        <w:pStyle w:val="Heading3"/>
        <w:ind w:left="0" w:firstLine="709"/>
      </w:pPr>
      <w:bookmarkStart w:id="276" w:name="_Toc225941594"/>
      <w:bookmarkStart w:id="277" w:name="_Toc318323450"/>
    </w:p>
    <w:p w:rsidR="00F704B2" w:rsidRDefault="00F704B2" w:rsidP="00F704B2">
      <w:pPr>
        <w:pStyle w:val="Heading3"/>
        <w:ind w:left="0" w:firstLine="709"/>
      </w:pPr>
      <w:r>
        <w:t>Supply by tenure</w:t>
      </w:r>
      <w:bookmarkEnd w:id="276"/>
      <w:bookmarkEnd w:id="277"/>
    </w:p>
    <w:p w:rsidR="00F704B2" w:rsidRDefault="00F704B2" w:rsidP="00F704B2">
      <w:pPr>
        <w:pStyle w:val="Maintext"/>
        <w:numPr>
          <w:ilvl w:val="0"/>
          <w:numId w:val="0"/>
        </w:numPr>
        <w:ind w:firstLine="709"/>
        <w:rPr>
          <w:b/>
        </w:rPr>
      </w:pPr>
    </w:p>
    <w:p w:rsidR="00F704B2" w:rsidRDefault="00F704B2" w:rsidP="00F704B2">
      <w:pPr>
        <w:pStyle w:val="Heading4"/>
      </w:pPr>
      <w:bookmarkStart w:id="278" w:name="_Toc225941595"/>
      <w:r>
        <w:t>Owner occupied</w:t>
      </w:r>
      <w:bookmarkEnd w:id="278"/>
    </w:p>
    <w:p w:rsidR="00F704B2" w:rsidRPr="00E17564" w:rsidRDefault="00F704B2" w:rsidP="00F704B2">
      <w:pPr>
        <w:pStyle w:val="Maintext"/>
        <w:numPr>
          <w:ilvl w:val="1"/>
          <w:numId w:val="8"/>
        </w:numPr>
        <w:tabs>
          <w:tab w:val="num" w:pos="992"/>
        </w:tabs>
      </w:pPr>
      <w:r>
        <w:t xml:space="preserve">On </w:t>
      </w:r>
      <w:r w:rsidRPr="00E17564">
        <w:t xml:space="preserve">the basis of household turnover rates presented in Table B29, around </w:t>
      </w:r>
      <w:r w:rsidR="00D24193" w:rsidRPr="00E17564">
        <w:t>4,300</w:t>
      </w:r>
      <w:r w:rsidRPr="00E17564">
        <w:t xml:space="preserve"> owner occupied dwellings become available for purchase on an annual basis. </w:t>
      </w:r>
    </w:p>
    <w:p w:rsidR="00F704B2" w:rsidRDefault="00F704B2" w:rsidP="00F704B2">
      <w:pPr>
        <w:rPr>
          <w:b/>
          <w:i/>
        </w:rPr>
      </w:pPr>
    </w:p>
    <w:p w:rsidR="00F704B2" w:rsidRDefault="00F704B2" w:rsidP="00F704B2">
      <w:pPr>
        <w:pStyle w:val="Heading4"/>
      </w:pPr>
      <w:bookmarkStart w:id="279" w:name="_Toc225941596"/>
      <w:r>
        <w:t>Private rented</w:t>
      </w:r>
      <w:bookmarkEnd w:id="279"/>
    </w:p>
    <w:p w:rsidR="00F704B2" w:rsidRPr="00E17564" w:rsidRDefault="00F704B2" w:rsidP="00F704B2">
      <w:pPr>
        <w:pStyle w:val="Maintext"/>
        <w:numPr>
          <w:ilvl w:val="1"/>
          <w:numId w:val="8"/>
        </w:numPr>
        <w:tabs>
          <w:tab w:val="num" w:pos="992"/>
        </w:tabs>
      </w:pPr>
      <w:r>
        <w:t xml:space="preserve">There is a high degree of turnover in private rented </w:t>
      </w:r>
      <w:r w:rsidRPr="00E17564">
        <w:t xml:space="preserve">properties, which results in a good overall supply.  Household survey data suggests around </w:t>
      </w:r>
      <w:r w:rsidR="00D24193" w:rsidRPr="00E17564">
        <w:t>4,800</w:t>
      </w:r>
      <w:r w:rsidRPr="00E17564">
        <w:t xml:space="preserve"> private rented lets become available each year. </w:t>
      </w:r>
    </w:p>
    <w:p w:rsidR="00F704B2" w:rsidRDefault="00F704B2" w:rsidP="00F704B2"/>
    <w:p w:rsidR="00F704B2" w:rsidRDefault="00F704B2" w:rsidP="00F704B2">
      <w:pPr>
        <w:pStyle w:val="Heading4"/>
      </w:pPr>
      <w:bookmarkStart w:id="280" w:name="_Toc225941597"/>
      <w:r>
        <w:t>Social rented</w:t>
      </w:r>
      <w:bookmarkEnd w:id="280"/>
    </w:p>
    <w:p w:rsidR="00F704B2" w:rsidRPr="004F6372" w:rsidRDefault="00F704B2" w:rsidP="00F704B2">
      <w:pPr>
        <w:pStyle w:val="Maintext"/>
        <w:numPr>
          <w:ilvl w:val="1"/>
          <w:numId w:val="8"/>
        </w:numPr>
        <w:tabs>
          <w:tab w:val="num" w:pos="992"/>
        </w:tabs>
        <w:rPr>
          <w:rFonts w:cs="Arial"/>
        </w:rPr>
      </w:pPr>
      <w:r>
        <w:rPr>
          <w:rFonts w:cs="Arial"/>
        </w:rPr>
        <w:t xml:space="preserve">Household survey data suggests around </w:t>
      </w:r>
      <w:r w:rsidRPr="00343F71">
        <w:rPr>
          <w:rFonts w:cs="Arial"/>
        </w:rPr>
        <w:t>3,</w:t>
      </w:r>
      <w:r w:rsidR="00D24193" w:rsidRPr="00343F71">
        <w:rPr>
          <w:rFonts w:cs="Arial"/>
        </w:rPr>
        <w:t xml:space="preserve">000 </w:t>
      </w:r>
      <w:r>
        <w:rPr>
          <w:rFonts w:cs="Arial"/>
        </w:rPr>
        <w:t xml:space="preserve">social rented lettings are made each year. Further analysis of social rented lettings is presented at Appendix D. </w:t>
      </w:r>
    </w:p>
    <w:p w:rsidR="00F704B2" w:rsidRDefault="00F704B2" w:rsidP="00F704B2"/>
    <w:p w:rsidR="00F704B2" w:rsidRDefault="00F704B2" w:rsidP="00F704B2">
      <w:pPr>
        <w:pStyle w:val="Heading4"/>
      </w:pPr>
      <w:bookmarkStart w:id="281" w:name="_Toc225941598"/>
      <w:r>
        <w:t>Intermediate tenure</w:t>
      </w:r>
      <w:bookmarkEnd w:id="281"/>
    </w:p>
    <w:p w:rsidR="00F704B2" w:rsidRPr="0077270A" w:rsidRDefault="00F704B2" w:rsidP="00F704B2">
      <w:pPr>
        <w:pStyle w:val="Maintext"/>
        <w:numPr>
          <w:ilvl w:val="1"/>
          <w:numId w:val="8"/>
        </w:numPr>
        <w:tabs>
          <w:tab w:val="num" w:pos="992"/>
        </w:tabs>
        <w:rPr>
          <w:rFonts w:cs="Arial"/>
        </w:rPr>
      </w:pPr>
      <w:r w:rsidRPr="0077270A">
        <w:t xml:space="preserve">Intermediate housing is defined in </w:t>
      </w:r>
      <w:r>
        <w:t>the NPPF as ‘homes for sale and rent provided at a cost above social rent, but below market levels’</w:t>
      </w:r>
      <w:r>
        <w:rPr>
          <w:rFonts w:cs="Arial"/>
        </w:rPr>
        <w:t xml:space="preserve">. </w:t>
      </w:r>
      <w:r w:rsidRPr="0077270A">
        <w:t xml:space="preserve">Intermediate tenure includes shared equity products (e.g. Homebuy), discounted for sale houses etc. ‘housing at prices and rents above those of social rent, but below market price or rents’.  Intermediate tenure includes shared equity products (e.g. Homebuy), discounted for sale houses etc. </w:t>
      </w:r>
    </w:p>
    <w:p w:rsidR="00F704B2" w:rsidRPr="0077270A" w:rsidRDefault="00F704B2" w:rsidP="00F704B2">
      <w:pPr>
        <w:pStyle w:val="Maintext"/>
        <w:numPr>
          <w:ilvl w:val="1"/>
          <w:numId w:val="8"/>
        </w:numPr>
        <w:tabs>
          <w:tab w:val="num" w:pos="992"/>
        </w:tabs>
        <w:rPr>
          <w:rFonts w:cs="Arial"/>
        </w:rPr>
      </w:pPr>
      <w:r w:rsidRPr="0077270A">
        <w:rPr>
          <w:rFonts w:cs="Arial"/>
        </w:rPr>
        <w:t>House</w:t>
      </w:r>
      <w:r>
        <w:rPr>
          <w:rFonts w:cs="Arial"/>
        </w:rPr>
        <w:t xml:space="preserve">hold survey data suggests that </w:t>
      </w:r>
      <w:r w:rsidR="00343F71">
        <w:rPr>
          <w:rFonts w:cs="Arial"/>
        </w:rPr>
        <w:t>around 30</w:t>
      </w:r>
      <w:r w:rsidRPr="0077270A">
        <w:rPr>
          <w:rFonts w:cs="Arial"/>
        </w:rPr>
        <w:t xml:space="preserve"> intermediate tenure dwellings come available each year. Further analysis of intermediate tenure turnover is presented at Appendix D. </w:t>
      </w:r>
    </w:p>
    <w:p w:rsidR="00F704B2" w:rsidRPr="00E24296" w:rsidRDefault="00F704B2" w:rsidP="00F704B2">
      <w:bookmarkStart w:id="282" w:name="_Toc170878500"/>
      <w:bookmarkStart w:id="283" w:name="_Toc184123864"/>
      <w:bookmarkStart w:id="284" w:name="_Toc184198283"/>
      <w:bookmarkStart w:id="285" w:name="_Toc184200214"/>
      <w:bookmarkStart w:id="286" w:name="_Toc225941599"/>
      <w:bookmarkStart w:id="287" w:name="_Toc273698050"/>
      <w:bookmarkStart w:id="288" w:name="_Toc273708383"/>
    </w:p>
    <w:p w:rsidR="00F704B2" w:rsidRDefault="00F704B2" w:rsidP="00F704B2">
      <w:pPr>
        <w:pStyle w:val="Heading2"/>
        <w:ind w:left="0"/>
      </w:pPr>
      <w:r>
        <w:tab/>
      </w:r>
      <w:bookmarkStart w:id="289" w:name="_Toc280272453"/>
      <w:bookmarkStart w:id="290" w:name="_Toc318323451"/>
      <w:bookmarkStart w:id="291" w:name="_Toc320271453"/>
      <w:bookmarkStart w:id="292" w:name="_Toc322443363"/>
      <w:bookmarkStart w:id="293" w:name="_Toc333507789"/>
      <w:r>
        <w:t>Stage 4: Bringing the evidence together</w:t>
      </w:r>
      <w:bookmarkEnd w:id="282"/>
      <w:bookmarkEnd w:id="283"/>
      <w:bookmarkEnd w:id="284"/>
      <w:bookmarkEnd w:id="285"/>
      <w:bookmarkEnd w:id="286"/>
      <w:bookmarkEnd w:id="287"/>
      <w:bookmarkEnd w:id="288"/>
      <w:bookmarkEnd w:id="289"/>
      <w:bookmarkEnd w:id="290"/>
      <w:bookmarkEnd w:id="291"/>
      <w:bookmarkEnd w:id="292"/>
      <w:bookmarkEnd w:id="293"/>
    </w:p>
    <w:p w:rsidR="00F704B2" w:rsidRDefault="00F704B2" w:rsidP="00F704B2"/>
    <w:p w:rsidR="00F704B2" w:rsidRDefault="00F704B2" w:rsidP="00F704B2">
      <w:pPr>
        <w:pStyle w:val="Heading3"/>
      </w:pPr>
      <w:bookmarkStart w:id="294" w:name="_Toc225941600"/>
      <w:bookmarkStart w:id="295" w:name="_Toc318323452"/>
      <w:r>
        <w:t>Step 4.1</w:t>
      </w:r>
      <w:r>
        <w:tab/>
        <w:t>Mapping market characteristics</w:t>
      </w:r>
      <w:bookmarkEnd w:id="294"/>
      <w:bookmarkEnd w:id="295"/>
      <w:r>
        <w:t xml:space="preserve"> </w:t>
      </w:r>
    </w:p>
    <w:p w:rsidR="00F704B2" w:rsidRDefault="00F704B2" w:rsidP="00F704B2"/>
    <w:p w:rsidR="00F704B2" w:rsidRPr="00881B06" w:rsidRDefault="00F704B2" w:rsidP="00F704B2">
      <w:pPr>
        <w:pStyle w:val="Heading4"/>
      </w:pPr>
      <w:bookmarkStart w:id="296" w:name="_Toc225941601"/>
      <w:r w:rsidRPr="00881B06">
        <w:t>Introduction</w:t>
      </w:r>
      <w:bookmarkEnd w:id="296"/>
    </w:p>
    <w:p w:rsidR="00F704B2" w:rsidRPr="00923298" w:rsidRDefault="00F704B2" w:rsidP="00F704B2">
      <w:pPr>
        <w:pStyle w:val="Maintext"/>
        <w:numPr>
          <w:ilvl w:val="1"/>
          <w:numId w:val="8"/>
        </w:numPr>
        <w:tabs>
          <w:tab w:val="num" w:pos="992"/>
        </w:tabs>
      </w:pPr>
      <w:r w:rsidRPr="00923298">
        <w:t xml:space="preserve">Chapter 3 presented a range of material relating to housing market dynamics.  An analysis of household mobility suggests that of households moving in the past 5 years, </w:t>
      </w:r>
      <w:r w:rsidR="001D3255">
        <w:t>77.5</w:t>
      </w:r>
      <w:r w:rsidRPr="00923298">
        <w:t xml:space="preserve">% of households move within County Durham and </w:t>
      </w:r>
      <w:r w:rsidR="001D3255">
        <w:t>22.5</w:t>
      </w:r>
      <w:r w:rsidRPr="00923298">
        <w:t xml:space="preserve">% had moved into the area, with </w:t>
      </w:r>
      <w:r w:rsidR="00923298" w:rsidRPr="00923298">
        <w:t>10.8</w:t>
      </w:r>
      <w:r w:rsidRPr="00923298">
        <w:t xml:space="preserve">% originating from </w:t>
      </w:r>
      <w:r w:rsidR="00923298" w:rsidRPr="00923298">
        <w:t>elsewhere in the North East, 1.8% from Yorkshire and the Humber, 2.3% from the North West, 6.6% from elsewhere in the UK and 1.1% from outside the UK.</w:t>
      </w:r>
    </w:p>
    <w:p w:rsidR="00F704B2" w:rsidRPr="00923298" w:rsidRDefault="00F704B2" w:rsidP="00F704B2">
      <w:pPr>
        <w:pStyle w:val="Maintext"/>
        <w:numPr>
          <w:ilvl w:val="1"/>
          <w:numId w:val="8"/>
        </w:numPr>
        <w:rPr>
          <w:rFonts w:cs="Arial"/>
          <w:iCs/>
        </w:rPr>
      </w:pPr>
      <w:r w:rsidRPr="00923298">
        <w:t>A majority (</w:t>
      </w:r>
      <w:r w:rsidR="00923298" w:rsidRPr="00923298">
        <w:t>61.0</w:t>
      </w:r>
      <w:r w:rsidRPr="00923298">
        <w:t>%) of households moving into County Durham were headed by someone who was economically active although a majority (</w:t>
      </w:r>
      <w:r w:rsidR="00923298" w:rsidRPr="00923298">
        <w:t>54.8</w:t>
      </w:r>
      <w:r w:rsidRPr="00923298">
        <w:t xml:space="preserve">% worked outside the County. </w:t>
      </w:r>
      <w:r w:rsidR="00923298" w:rsidRPr="00923298">
        <w:t xml:space="preserve">Key reasons for moving included to be closer to family and friends for social reasons (17.2%), to be closer to work (17.1%) and </w:t>
      </w:r>
      <w:r w:rsidRPr="00923298">
        <w:t>wanting a larger property (</w:t>
      </w:r>
      <w:r w:rsidR="00923298" w:rsidRPr="00923298">
        <w:t>13.0</w:t>
      </w:r>
      <w:r w:rsidRPr="00923298">
        <w:t xml:space="preserve">%), </w:t>
      </w:r>
      <w:r w:rsidR="00923298" w:rsidRPr="00923298">
        <w:t>45.8</w:t>
      </w:r>
      <w:r w:rsidRPr="00923298">
        <w:t xml:space="preserve">% had a weekly income in excess of £500, </w:t>
      </w:r>
      <w:r w:rsidR="00923298" w:rsidRPr="00923298">
        <w:t>48.7</w:t>
      </w:r>
      <w:r w:rsidRPr="00923298">
        <w:t xml:space="preserve">% of household reference people were in the 16-39 age group and </w:t>
      </w:r>
      <w:r w:rsidR="00923298" w:rsidRPr="00923298">
        <w:t>34.1</w:t>
      </w:r>
      <w:r w:rsidRPr="00923298">
        <w:t>% in the 40-59 age group.</w:t>
      </w:r>
    </w:p>
    <w:p w:rsidR="00F704B2" w:rsidRPr="00923298" w:rsidRDefault="00F704B2" w:rsidP="00F704B2">
      <w:pPr>
        <w:pStyle w:val="Maintext"/>
        <w:numPr>
          <w:ilvl w:val="1"/>
          <w:numId w:val="8"/>
        </w:numPr>
      </w:pPr>
      <w:r w:rsidRPr="00923298">
        <w:t>In terms of</w:t>
      </w:r>
      <w:r w:rsidR="0058050B" w:rsidRPr="00923298">
        <w:t xml:space="preserve"> travel to work patterns, </w:t>
      </w:r>
      <w:r w:rsidR="00923298" w:rsidRPr="00923298">
        <w:t>65.2</w:t>
      </w:r>
      <w:r w:rsidR="0058050B" w:rsidRPr="00923298">
        <w:t>%</w:t>
      </w:r>
      <w:r w:rsidRPr="00923298">
        <w:t xml:space="preserve"> of residents work in County Durham and 34.</w:t>
      </w:r>
      <w:r w:rsidR="00923298" w:rsidRPr="00923298">
        <w:t>8</w:t>
      </w:r>
      <w:r w:rsidRPr="00923298">
        <w:t>% commute out to work, particularly to Tyne and Wear (</w:t>
      </w:r>
      <w:r w:rsidR="00923298" w:rsidRPr="00923298">
        <w:t>19.8</w:t>
      </w:r>
      <w:r w:rsidRPr="00923298">
        <w:t>%) and Tee</w:t>
      </w:r>
      <w:r w:rsidR="008F76D8" w:rsidRPr="00923298">
        <w:t>s</w:t>
      </w:r>
      <w:r w:rsidRPr="00923298">
        <w:t xml:space="preserve"> Valley (</w:t>
      </w:r>
      <w:r w:rsidR="00923298" w:rsidRPr="00923298">
        <w:t>9.4</w:t>
      </w:r>
      <w:r w:rsidRPr="00923298">
        <w:t xml:space="preserve">%). </w:t>
      </w:r>
    </w:p>
    <w:p w:rsidR="00F704B2" w:rsidRDefault="00F704B2" w:rsidP="00F704B2">
      <w:pPr>
        <w:pStyle w:val="Maintext"/>
        <w:numPr>
          <w:ilvl w:val="1"/>
          <w:numId w:val="8"/>
        </w:numPr>
        <w:tabs>
          <w:tab w:val="num" w:pos="992"/>
        </w:tabs>
      </w:pPr>
      <w:r w:rsidRPr="00923298">
        <w:t xml:space="preserve">The extent to which housing market dynamics vary across the </w:t>
      </w:r>
      <w:r w:rsidR="00315960" w:rsidRPr="00923298">
        <w:t>county</w:t>
      </w:r>
      <w:r w:rsidRPr="00923298">
        <w:t xml:space="preserve"> are now explored by </w:t>
      </w:r>
      <w:r w:rsidR="00B440F0" w:rsidRPr="00923298">
        <w:t>delivery</w:t>
      </w:r>
      <w:r w:rsidR="00B440F0">
        <w:t xml:space="preserve"> area, </w:t>
      </w:r>
      <w:r>
        <w:t>with specific reference to:</w:t>
      </w:r>
    </w:p>
    <w:p w:rsidR="00F704B2" w:rsidRDefault="00F704B2" w:rsidP="0008403A">
      <w:pPr>
        <w:pStyle w:val="Maintext"/>
        <w:numPr>
          <w:ilvl w:val="0"/>
          <w:numId w:val="42"/>
        </w:numPr>
      </w:pPr>
      <w:r>
        <w:t xml:space="preserve">Housing market function (through the review of migration patterns and travel to work patterns); and </w:t>
      </w:r>
    </w:p>
    <w:p w:rsidR="00F704B2" w:rsidRDefault="00F704B2" w:rsidP="0008403A">
      <w:pPr>
        <w:pStyle w:val="Maintext"/>
        <w:numPr>
          <w:ilvl w:val="0"/>
          <w:numId w:val="42"/>
        </w:numPr>
      </w:pPr>
      <w:r>
        <w:t>Housing market typology (through the review of dwelling stock and socio-economic and demographic characteristics)</w:t>
      </w:r>
      <w:r w:rsidR="0008403A">
        <w:t>.</w:t>
      </w:r>
    </w:p>
    <w:p w:rsidR="00F704B2" w:rsidRDefault="00F704B2" w:rsidP="00F704B2">
      <w:pPr>
        <w:pStyle w:val="Maintext"/>
        <w:numPr>
          <w:ilvl w:val="1"/>
          <w:numId w:val="8"/>
        </w:numPr>
        <w:tabs>
          <w:tab w:val="num" w:pos="992"/>
        </w:tabs>
      </w:pPr>
      <w:r>
        <w:t xml:space="preserve">Table B30 provides a review of the distinctive attributes of each </w:t>
      </w:r>
      <w:r w:rsidR="0083534C">
        <w:t>survey area</w:t>
      </w:r>
      <w:r>
        <w:t xml:space="preserve">.  For each attribute, a </w:t>
      </w:r>
      <w:r w:rsidR="00315960">
        <w:t>county</w:t>
      </w:r>
      <w:r>
        <w:t xml:space="preserve"> mean has been calculated (for instance the % of households who are owner-occupiers).  Information for each </w:t>
      </w:r>
      <w:r w:rsidR="00B440F0">
        <w:t>delivery area</w:t>
      </w:r>
      <w:r>
        <w:t xml:space="preserve"> is then compared against this mean to indicate the extent of variation from the mean figure.  The colours in the chart reflect the degree of variation:</w:t>
      </w:r>
    </w:p>
    <w:p w:rsidR="00F704B2" w:rsidRDefault="00F704B2" w:rsidP="00F704B2">
      <w:pPr>
        <w:pStyle w:val="Maintext"/>
        <w:numPr>
          <w:ilvl w:val="2"/>
          <w:numId w:val="8"/>
        </w:numPr>
      </w:pPr>
      <w:r>
        <w:t xml:space="preserve">YELLOW indicates that the </w:t>
      </w:r>
      <w:r w:rsidR="0083534C">
        <w:t>survey area</w:t>
      </w:r>
      <w:r>
        <w:t xml:space="preserve"> figure is less than 75% of the </w:t>
      </w:r>
      <w:r w:rsidR="00315960">
        <w:t>county</w:t>
      </w:r>
      <w:r>
        <w:t xml:space="preserve"> mean;</w:t>
      </w:r>
    </w:p>
    <w:p w:rsidR="00F704B2" w:rsidRDefault="00F704B2" w:rsidP="00F704B2">
      <w:pPr>
        <w:pStyle w:val="Maintext"/>
        <w:numPr>
          <w:ilvl w:val="2"/>
          <w:numId w:val="8"/>
        </w:numPr>
      </w:pPr>
      <w:r>
        <w:t xml:space="preserve">GREEN indicates that the </w:t>
      </w:r>
      <w:r w:rsidR="0083534C">
        <w:t>survey area</w:t>
      </w:r>
      <w:r>
        <w:t xml:space="preserve"> figure is between 75% and 125% of the </w:t>
      </w:r>
      <w:r w:rsidR="00315960">
        <w:t>county</w:t>
      </w:r>
      <w:r>
        <w:t xml:space="preserve"> mean; and</w:t>
      </w:r>
    </w:p>
    <w:p w:rsidR="00F704B2" w:rsidRPr="003C2381" w:rsidRDefault="00F704B2" w:rsidP="00F704B2">
      <w:pPr>
        <w:pStyle w:val="Maintext"/>
        <w:numPr>
          <w:ilvl w:val="2"/>
          <w:numId w:val="8"/>
        </w:numPr>
      </w:pPr>
      <w:r>
        <w:t xml:space="preserve">RED indicates that the </w:t>
      </w:r>
      <w:r w:rsidR="0083534C">
        <w:t>survey area</w:t>
      </w:r>
      <w:r>
        <w:t xml:space="preserve"> figure is at least 125% of the </w:t>
      </w:r>
      <w:r w:rsidR="00315960">
        <w:t xml:space="preserve">county </w:t>
      </w:r>
      <w:r>
        <w:t>mean.</w:t>
      </w:r>
    </w:p>
    <w:p w:rsidR="00F704B2" w:rsidRPr="00294203" w:rsidRDefault="00F704B2" w:rsidP="00F704B2">
      <w:pPr>
        <w:pStyle w:val="Maintext"/>
        <w:numPr>
          <w:ilvl w:val="1"/>
          <w:numId w:val="8"/>
        </w:numPr>
        <w:tabs>
          <w:tab w:val="num" w:pos="992"/>
        </w:tabs>
      </w:pPr>
      <w:r w:rsidRPr="003C2381">
        <w:t>Percentage data is presented for migration and travel to work data</w:t>
      </w:r>
      <w:r>
        <w:rPr>
          <w:b/>
        </w:rPr>
        <w:t>.</w:t>
      </w:r>
    </w:p>
    <w:p w:rsidR="00F704B2" w:rsidRPr="00343F71" w:rsidRDefault="00F704B2" w:rsidP="00F704B2">
      <w:pPr>
        <w:pStyle w:val="Maintext"/>
        <w:numPr>
          <w:ilvl w:val="1"/>
          <w:numId w:val="8"/>
        </w:numPr>
        <w:tabs>
          <w:tab w:val="num" w:pos="992"/>
        </w:tabs>
      </w:pPr>
      <w:r w:rsidRPr="00343F71">
        <w:t xml:space="preserve">Overall, analysis indicates that there is not a considerable degree of variation in property type, size and tenure across County Durham’s </w:t>
      </w:r>
      <w:r w:rsidR="00B440F0" w:rsidRPr="00343F71">
        <w:t>delivery area</w:t>
      </w:r>
      <w:r w:rsidRPr="00343F71">
        <w:t xml:space="preserve">s. The main exception is West Durham which has proportionately more private rented; detached and flatted dwellings; higher house prices relative to the County average. </w:t>
      </w:r>
    </w:p>
    <w:p w:rsidR="000874A4" w:rsidRPr="00343F71" w:rsidRDefault="000874A4" w:rsidP="000874A4">
      <w:pPr>
        <w:pStyle w:val="Maintext"/>
        <w:numPr>
          <w:ilvl w:val="0"/>
          <w:numId w:val="0"/>
        </w:numPr>
        <w:tabs>
          <w:tab w:val="num" w:pos="992"/>
        </w:tabs>
        <w:ind w:left="709"/>
      </w:pPr>
    </w:p>
    <w:p w:rsidR="00F704B2" w:rsidRPr="00C52B2F" w:rsidRDefault="00F704B2" w:rsidP="00F704B2">
      <w:pPr>
        <w:pStyle w:val="Maintext"/>
        <w:numPr>
          <w:ilvl w:val="0"/>
          <w:numId w:val="0"/>
        </w:numPr>
        <w:ind w:left="709"/>
      </w:pPr>
      <w:r>
        <w:rPr>
          <w:b/>
        </w:rPr>
        <w:br w:type="page"/>
        <w:t>Table B30</w:t>
      </w:r>
      <w:r w:rsidRPr="005878B1">
        <w:rPr>
          <w:b/>
        </w:rPr>
        <w:tab/>
      </w:r>
      <w:r>
        <w:t xml:space="preserve">Attributes of </w:t>
      </w:r>
      <w:r w:rsidR="00B440F0">
        <w:t>delivery area</w:t>
      </w:r>
      <w:r>
        <w:t>s</w:t>
      </w:r>
    </w:p>
    <w:p w:rsidR="0008403A" w:rsidRDefault="0008403A" w:rsidP="00F704B2">
      <w:pPr>
        <w:pStyle w:val="Maintext"/>
        <w:numPr>
          <w:ilvl w:val="0"/>
          <w:numId w:val="0"/>
        </w:numPr>
        <w:ind w:left="709"/>
        <w:rPr>
          <w:sz w:val="20"/>
          <w:szCs w:val="20"/>
        </w:rPr>
      </w:pPr>
      <w:r w:rsidRPr="0008403A">
        <w:rPr>
          <w:noProof/>
          <w:lang w:eastAsia="en-GB"/>
        </w:rPr>
        <w:drawing>
          <wp:inline distT="0" distB="0" distL="0" distR="0">
            <wp:extent cx="4473875" cy="8019561"/>
            <wp:effectExtent l="19050" t="0" r="28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75411" cy="8022314"/>
                    </a:xfrm>
                    <a:prstGeom prst="rect">
                      <a:avLst/>
                    </a:prstGeom>
                    <a:noFill/>
                    <a:ln w="9525">
                      <a:noFill/>
                      <a:miter lim="800000"/>
                      <a:headEnd/>
                      <a:tailEnd/>
                    </a:ln>
                  </pic:spPr>
                </pic:pic>
              </a:graphicData>
            </a:graphic>
          </wp:inline>
        </w:drawing>
      </w:r>
    </w:p>
    <w:p w:rsidR="00F704B2" w:rsidRPr="00503899" w:rsidRDefault="00AE4DA1" w:rsidP="00F704B2">
      <w:pPr>
        <w:pStyle w:val="Maintext"/>
        <w:numPr>
          <w:ilvl w:val="0"/>
          <w:numId w:val="0"/>
        </w:numPr>
        <w:ind w:left="709"/>
        <w:rPr>
          <w:b/>
        </w:rPr>
      </w:pPr>
      <w:r>
        <w:rPr>
          <w:sz w:val="20"/>
          <w:szCs w:val="20"/>
        </w:rPr>
        <w:t>Source: 2012 Household Survey</w:t>
      </w:r>
      <w:r w:rsidR="00F704B2" w:rsidRPr="00503899">
        <w:rPr>
          <w:sz w:val="20"/>
          <w:szCs w:val="20"/>
        </w:rPr>
        <w:t>; Land Registry</w:t>
      </w:r>
    </w:p>
    <w:p w:rsidR="00F704B2" w:rsidRPr="005878B1" w:rsidRDefault="00F704B2" w:rsidP="00F704B2">
      <w:pPr>
        <w:pStyle w:val="Heading4"/>
        <w:ind w:left="0" w:firstLine="709"/>
        <w:rPr>
          <w:b/>
          <w:i w:val="0"/>
        </w:rPr>
      </w:pPr>
      <w:r w:rsidRPr="005878B1">
        <w:rPr>
          <w:b/>
          <w:i w:val="0"/>
        </w:rPr>
        <w:t xml:space="preserve">Housing market function </w:t>
      </w:r>
    </w:p>
    <w:p w:rsidR="00F704B2" w:rsidRPr="00503899" w:rsidRDefault="00F704B2" w:rsidP="00F704B2">
      <w:pPr>
        <w:pStyle w:val="Maintext"/>
        <w:numPr>
          <w:ilvl w:val="1"/>
          <w:numId w:val="8"/>
        </w:numPr>
      </w:pPr>
      <w:r w:rsidRPr="00503899">
        <w:t>The household survey identif</w:t>
      </w:r>
      <w:r w:rsidR="00343F71">
        <w:t>ied that the vast majority (77.5</w:t>
      </w:r>
      <w:r w:rsidRPr="00503899">
        <w:t xml:space="preserve">%) of households moving within the preceding 5 years had moved within </w:t>
      </w:r>
      <w:r>
        <w:t>County Durham</w:t>
      </w:r>
      <w:r w:rsidRPr="00503899">
        <w:t xml:space="preserve">, so the </w:t>
      </w:r>
      <w:r>
        <w:t xml:space="preserve">County </w:t>
      </w:r>
      <w:r w:rsidRPr="00503899">
        <w:t xml:space="preserve">can be described as a self-contained </w:t>
      </w:r>
      <w:r w:rsidR="00B440F0">
        <w:t>delivery area</w:t>
      </w:r>
      <w:r w:rsidRPr="00503899">
        <w:t xml:space="preserve"> (70% is the threshold used by CLG in defin</w:t>
      </w:r>
      <w:r>
        <w:t xml:space="preserve">ing a </w:t>
      </w:r>
      <w:r w:rsidR="00B440F0">
        <w:t>delivery area</w:t>
      </w:r>
      <w:r>
        <w:t>). 22.7</w:t>
      </w:r>
      <w:r w:rsidRPr="00503899">
        <w:t xml:space="preserve">% </w:t>
      </w:r>
      <w:r>
        <w:t>of households originated from outside County Durham, with 8.5% originated in Tyne and Wear, 3.2% from Tees Valley and 11% from elsewhere</w:t>
      </w:r>
      <w:r w:rsidRPr="00503899">
        <w:t>.</w:t>
      </w:r>
    </w:p>
    <w:p w:rsidR="00F704B2" w:rsidRDefault="00F704B2" w:rsidP="00F704B2">
      <w:pPr>
        <w:pStyle w:val="Maintext"/>
        <w:numPr>
          <w:ilvl w:val="1"/>
          <w:numId w:val="8"/>
        </w:numPr>
      </w:pPr>
      <w:r w:rsidRPr="00503899">
        <w:t xml:space="preserve">The CLG suggests that a housing market is self-contained if at least 70% of households moving originate from the same area.  On this basis, </w:t>
      </w:r>
      <w:r>
        <w:t xml:space="preserve">South Durham can be described as a self-contained </w:t>
      </w:r>
      <w:r w:rsidR="00B440F0">
        <w:t>delivery area</w:t>
      </w:r>
      <w:r>
        <w:t xml:space="preserve"> and the other </w:t>
      </w:r>
      <w:r w:rsidR="00B440F0">
        <w:t>delivery area</w:t>
      </w:r>
      <w:r>
        <w:t>s are not self-contained but influenced by other migration patterns:</w:t>
      </w:r>
    </w:p>
    <w:p w:rsidR="00F704B2" w:rsidRDefault="00F704B2" w:rsidP="00F704B2">
      <w:pPr>
        <w:pStyle w:val="Maintext"/>
        <w:numPr>
          <w:ilvl w:val="2"/>
          <w:numId w:val="8"/>
        </w:numPr>
      </w:pPr>
      <w:r>
        <w:t xml:space="preserve">Central Durham is almost self-contained (67.7% of moving households originated from the same </w:t>
      </w:r>
      <w:r w:rsidR="00B440F0">
        <w:t>delivery area</w:t>
      </w:r>
      <w:r>
        <w:t>), with 12.7% originating from elsewhere in County Durham, 11.3% from elsewhere in the UK (outside of the North East, North West and Yorkshire and the Humber) and 5% originated from Tyne and Wear;</w:t>
      </w:r>
    </w:p>
    <w:p w:rsidR="00F704B2" w:rsidRDefault="00F704B2" w:rsidP="00F704B2">
      <w:pPr>
        <w:pStyle w:val="Maintext"/>
        <w:numPr>
          <w:ilvl w:val="2"/>
          <w:numId w:val="8"/>
        </w:numPr>
      </w:pPr>
      <w:r>
        <w:t xml:space="preserve">In North Durham, 59.4% of households originated from the same </w:t>
      </w:r>
      <w:r w:rsidR="00B440F0">
        <w:t>delivery area</w:t>
      </w:r>
      <w:r>
        <w:t>. A further 14% originated from elsewhere in County Durham and 14.2% originated from Tyne and Wear;</w:t>
      </w:r>
    </w:p>
    <w:p w:rsidR="00F704B2" w:rsidRDefault="00F704B2" w:rsidP="00F704B2">
      <w:pPr>
        <w:pStyle w:val="Maintext"/>
        <w:numPr>
          <w:ilvl w:val="2"/>
          <w:numId w:val="8"/>
        </w:numPr>
      </w:pPr>
      <w:r>
        <w:t xml:space="preserve">East Durham is one of the least self-contained </w:t>
      </w:r>
      <w:r w:rsidR="00B440F0">
        <w:t xml:space="preserve">delivery </w:t>
      </w:r>
      <w:r w:rsidR="00582920">
        <w:t>areas</w:t>
      </w:r>
      <w:r>
        <w:t>, with 48.1% of households o</w:t>
      </w:r>
      <w:r w:rsidR="00E264FC">
        <w:t xml:space="preserve">riginating from the same </w:t>
      </w:r>
      <w:r w:rsidR="0083534C">
        <w:t>survey area</w:t>
      </w:r>
      <w:r>
        <w:t>. A further 23.6% originated from elsewhere in County Durham and 13.1% originated from Tyne and Wear;</w:t>
      </w:r>
    </w:p>
    <w:p w:rsidR="00F704B2" w:rsidRDefault="00F704B2" w:rsidP="00F704B2">
      <w:pPr>
        <w:pStyle w:val="Maintext"/>
        <w:numPr>
          <w:ilvl w:val="2"/>
          <w:numId w:val="8"/>
        </w:numPr>
      </w:pPr>
      <w:r>
        <w:t xml:space="preserve">Although South Durham is a self-contained </w:t>
      </w:r>
      <w:r w:rsidR="00B440F0">
        <w:t>delivery area</w:t>
      </w:r>
      <w:r>
        <w:t>, 5.9% of households originated from Tees Valley and 4.1% from elsewhere in the UK (outside of the North East, North West and Yorkshire and the Humber)</w:t>
      </w:r>
    </w:p>
    <w:p w:rsidR="00F704B2" w:rsidRDefault="00F704B2" w:rsidP="00F704B2">
      <w:pPr>
        <w:pStyle w:val="Maintext"/>
        <w:numPr>
          <w:ilvl w:val="2"/>
          <w:numId w:val="8"/>
        </w:numPr>
      </w:pPr>
      <w:r>
        <w:t xml:space="preserve">West Durham is the least self-contained </w:t>
      </w:r>
      <w:r w:rsidR="00B440F0">
        <w:t>delivery area</w:t>
      </w:r>
      <w:r>
        <w:t xml:space="preserve">, with 45.1% of household originating from the same </w:t>
      </w:r>
      <w:r w:rsidR="0083534C">
        <w:t>survey area</w:t>
      </w:r>
      <w:r>
        <w:t>. A further 31.9% moved from within County Durham, 4.6% from Tees Valley  and 10.9% from elsewhere in the UK.</w:t>
      </w:r>
    </w:p>
    <w:p w:rsidR="00F704B2" w:rsidRPr="00503899" w:rsidRDefault="00F704B2" w:rsidP="00F704B2">
      <w:pPr>
        <w:pStyle w:val="Maintext"/>
        <w:numPr>
          <w:ilvl w:val="0"/>
          <w:numId w:val="0"/>
        </w:numPr>
        <w:ind w:left="709"/>
        <w:rPr>
          <w:rFonts w:cs="Arial"/>
          <w:iCs/>
        </w:rPr>
      </w:pPr>
      <w:r w:rsidRPr="00503899">
        <w:t xml:space="preserve"> </w:t>
      </w:r>
    </w:p>
    <w:p w:rsidR="00F704B2" w:rsidRDefault="00F704B2" w:rsidP="00F704B2">
      <w:pPr>
        <w:pStyle w:val="Heading4"/>
        <w:ind w:left="0" w:firstLine="709"/>
      </w:pPr>
    </w:p>
    <w:p w:rsidR="00F704B2" w:rsidRDefault="00F704B2" w:rsidP="00F704B2">
      <w:pPr>
        <w:pStyle w:val="Heading4"/>
        <w:ind w:left="0" w:firstLine="709"/>
      </w:pPr>
      <w:r>
        <w:t>Housing market typology</w:t>
      </w:r>
    </w:p>
    <w:p w:rsidR="00F704B2" w:rsidRDefault="00F704B2" w:rsidP="00F704B2">
      <w:pPr>
        <w:pStyle w:val="Maintext"/>
        <w:numPr>
          <w:ilvl w:val="1"/>
          <w:numId w:val="8"/>
        </w:numPr>
      </w:pPr>
      <w:r>
        <w:t xml:space="preserve">This study has provides up to date information on the housing stock in the County Durham and how the stock profile varies by </w:t>
      </w:r>
      <w:r w:rsidR="00B440F0">
        <w:t>delivery area</w:t>
      </w:r>
      <w:r>
        <w:t xml:space="preserve"> has been presented. </w:t>
      </w:r>
    </w:p>
    <w:p w:rsidR="00F704B2" w:rsidRPr="001D3255" w:rsidRDefault="00F704B2" w:rsidP="00F704B2">
      <w:pPr>
        <w:pStyle w:val="Maintext"/>
        <w:numPr>
          <w:ilvl w:val="1"/>
          <w:numId w:val="8"/>
        </w:numPr>
      </w:pPr>
      <w:r>
        <w:t>Across County Durham there are a total of 235,360 dwellings of which 2,169 are second homes, 10,110 vacant, 1.504 are student households and 223,081 are occupied</w:t>
      </w:r>
      <w:r w:rsidR="000874A4">
        <w:t>.</w:t>
      </w:r>
      <w:r>
        <w:t xml:space="preserve"> </w:t>
      </w:r>
      <w:r w:rsidRPr="00F80558">
        <w:rPr>
          <w:bCs/>
        </w:rPr>
        <w:t xml:space="preserve">Overall, across the </w:t>
      </w:r>
      <w:r>
        <w:rPr>
          <w:bCs/>
        </w:rPr>
        <w:t>County Durham</w:t>
      </w:r>
      <w:r w:rsidRPr="00F80558">
        <w:rPr>
          <w:bCs/>
        </w:rPr>
        <w:t>:</w:t>
      </w:r>
    </w:p>
    <w:p w:rsidR="001D3255" w:rsidRDefault="001D3255" w:rsidP="001D3255">
      <w:pPr>
        <w:pStyle w:val="Maintext"/>
        <w:numPr>
          <w:ilvl w:val="2"/>
          <w:numId w:val="8"/>
        </w:numPr>
      </w:pPr>
      <w:r>
        <w:t>79.3% of properties are houses, 5.0% are flats/maisonettes, 15.3% are bungalows and 0.5% are other property types (e.g. caravans);</w:t>
      </w:r>
    </w:p>
    <w:p w:rsidR="001D3255" w:rsidRDefault="001D3255" w:rsidP="001D3255">
      <w:pPr>
        <w:pStyle w:val="Maintext"/>
        <w:numPr>
          <w:ilvl w:val="2"/>
          <w:numId w:val="8"/>
        </w:numPr>
      </w:pPr>
      <w:r>
        <w:t>6.1% have one bedroom, 34.8% have two bedrooms, 43.7% have three bedrooms and 15.4% have four or more bedrooms;</w:t>
      </w:r>
    </w:p>
    <w:p w:rsidR="001D3255" w:rsidRDefault="001D3255" w:rsidP="001D3255">
      <w:pPr>
        <w:pStyle w:val="Maintext"/>
        <w:numPr>
          <w:ilvl w:val="2"/>
          <w:numId w:val="8"/>
        </w:numPr>
      </w:pPr>
      <w:r>
        <w:t xml:space="preserve">17.6% of properties were built before 1919, a further 16.5% were built between 1919 and 1944, 21.7% between 1945 and 1964, 23.1% between 1965 and 1984 and 21.2% have been built since 1985; </w:t>
      </w:r>
    </w:p>
    <w:p w:rsidR="001D3255" w:rsidRDefault="001D3255" w:rsidP="001D3255">
      <w:pPr>
        <w:pStyle w:val="Maintext"/>
        <w:numPr>
          <w:ilvl w:val="2"/>
          <w:numId w:val="8"/>
        </w:numPr>
      </w:pPr>
      <w:r>
        <w:t>65.8% of properties are owner-occupied, 20.3% are rented from a social landlord or an intermediate tenure (e.g. shared ownership) and 13.8% are private rented</w:t>
      </w:r>
    </w:p>
    <w:p w:rsidR="00F704B2" w:rsidRDefault="00F704B2" w:rsidP="00F704B2">
      <w:pPr>
        <w:pStyle w:val="Maintext"/>
        <w:numPr>
          <w:ilvl w:val="0"/>
          <w:numId w:val="0"/>
        </w:numPr>
      </w:pPr>
    </w:p>
    <w:p w:rsidR="00F704B2" w:rsidRDefault="00F704B2" w:rsidP="00F704B2">
      <w:pPr>
        <w:pStyle w:val="Heading4"/>
        <w:ind w:left="0" w:firstLine="709"/>
      </w:pPr>
      <w:r>
        <w:t>Summary of market characteristics</w:t>
      </w:r>
    </w:p>
    <w:p w:rsidR="00F704B2" w:rsidRDefault="00F704B2" w:rsidP="00F704B2">
      <w:pPr>
        <w:pStyle w:val="Maintext"/>
        <w:numPr>
          <w:ilvl w:val="1"/>
          <w:numId w:val="8"/>
        </w:numPr>
      </w:pPr>
      <w:r>
        <w:t xml:space="preserve">A range of material has been gathered to help identify market drivers and the characteristics of </w:t>
      </w:r>
      <w:r w:rsidR="00B440F0">
        <w:t>delivery area</w:t>
      </w:r>
      <w:r>
        <w:t>s across County Durham and linkages with other areas.</w:t>
      </w:r>
    </w:p>
    <w:p w:rsidR="00F704B2" w:rsidRPr="002145B0" w:rsidRDefault="00F704B2" w:rsidP="00F704B2">
      <w:pPr>
        <w:pStyle w:val="Maintext"/>
        <w:numPr>
          <w:ilvl w:val="1"/>
          <w:numId w:val="8"/>
        </w:numPr>
        <w:rPr>
          <w:rFonts w:cs="Arial"/>
          <w:iCs/>
        </w:rPr>
      </w:pPr>
      <w:r w:rsidRPr="00EB148A">
        <w:t xml:space="preserve">An analysis of </w:t>
      </w:r>
      <w:r>
        <w:t>household mobility</w:t>
      </w:r>
      <w:r w:rsidRPr="00EB148A">
        <w:t xml:space="preserve"> suggests that</w:t>
      </w:r>
      <w:r>
        <w:t xml:space="preserve"> of households</w:t>
      </w:r>
      <w:r w:rsidR="001D3255">
        <w:t xml:space="preserve"> moving in the past 5 years 77.5</w:t>
      </w:r>
      <w:r>
        <w:t>%</w:t>
      </w:r>
      <w:r w:rsidRPr="00EB148A">
        <w:t xml:space="preserve"> of </w:t>
      </w:r>
      <w:r>
        <w:t xml:space="preserve">moving </w:t>
      </w:r>
      <w:r w:rsidRPr="00EB148A">
        <w:t xml:space="preserve">households </w:t>
      </w:r>
      <w:r>
        <w:t>moved w</w:t>
      </w:r>
      <w:r w:rsidR="001D3255">
        <w:t>ithin County Durham. Of the 22.5</w:t>
      </w:r>
      <w:r>
        <w:t>% who had moved into County Durham, 20.4% originated from Tyne and Wear and 9.3% from Tees Valley. A majority (71.9%) of households moving into County Durham were headed by someone who was economically active although a majority (56.4% worked outside the County. Key reasons for moving included wanting a larger property (17.8%), to be closer to work (14.9%) and to be closer to family and friends (13.5%). 57.4% had a weekly income in excess of £500, 53.1% of household reference people were in the 16-39 age group and 40% in the 40-59 age group.</w:t>
      </w:r>
    </w:p>
    <w:p w:rsidR="00F704B2" w:rsidRDefault="00F704B2" w:rsidP="00F704B2">
      <w:pPr>
        <w:pStyle w:val="Maintext"/>
        <w:numPr>
          <w:ilvl w:val="1"/>
          <w:numId w:val="8"/>
        </w:numPr>
      </w:pPr>
      <w:r>
        <w:t>In terms of</w:t>
      </w:r>
      <w:r w:rsidR="001D3255">
        <w:t xml:space="preserve"> travel to work patterns, 65.2%</w:t>
      </w:r>
      <w:r>
        <w:t xml:space="preserve"> of resident</w:t>
      </w:r>
      <w:r w:rsidR="001D3255">
        <w:t>s work in County Durham and 34.8</w:t>
      </w:r>
      <w:r>
        <w:t>% commute out to work, par</w:t>
      </w:r>
      <w:r w:rsidR="001D3255">
        <w:t>ticularly to Tyne and Wear (19.8%) and Tee Valley (9.4</w:t>
      </w:r>
      <w:r>
        <w:t xml:space="preserve">%). </w:t>
      </w:r>
    </w:p>
    <w:p w:rsidR="00F704B2" w:rsidRDefault="00F704B2" w:rsidP="00F704B2">
      <w:pPr>
        <w:pStyle w:val="Maintext"/>
        <w:numPr>
          <w:ilvl w:val="1"/>
          <w:numId w:val="8"/>
        </w:numPr>
      </w:pPr>
      <w:r>
        <w:t xml:space="preserve">On balance, County Durham can be described as a self contained </w:t>
      </w:r>
      <w:r w:rsidR="00B440F0">
        <w:t>Delivery area</w:t>
      </w:r>
      <w:r>
        <w:t xml:space="preserve"> in terms of migration, with some areas exhibiting strong interactions with other areas. In terms of travel to work, County Durham is part of a broader functional market which extends into Tyne and Wear and Tees Valley.</w:t>
      </w:r>
    </w:p>
    <w:p w:rsidR="00F704B2" w:rsidRDefault="00F704B2" w:rsidP="00F704B2">
      <w:pPr>
        <w:pStyle w:val="Heading2"/>
      </w:pPr>
    </w:p>
    <w:p w:rsidR="00F704B2" w:rsidRDefault="00F704B2" w:rsidP="00F704B2">
      <w:pPr>
        <w:pStyle w:val="Heading3"/>
      </w:pPr>
      <w:bookmarkStart w:id="297" w:name="_Toc225941605"/>
      <w:bookmarkStart w:id="298" w:name="_Toc318323453"/>
    </w:p>
    <w:p w:rsidR="00F704B2" w:rsidRDefault="00F704B2" w:rsidP="00F704B2">
      <w:pPr>
        <w:pStyle w:val="Heading3"/>
      </w:pPr>
      <w:r>
        <w:t>Step 4.2</w:t>
      </w:r>
      <w:r>
        <w:tab/>
        <w:t>Trends and drivers</w:t>
      </w:r>
      <w:bookmarkEnd w:id="297"/>
      <w:bookmarkEnd w:id="298"/>
    </w:p>
    <w:p w:rsidR="00F704B2" w:rsidRDefault="00F704B2" w:rsidP="00F704B2"/>
    <w:p w:rsidR="00F704B2" w:rsidRDefault="00F704B2" w:rsidP="00F704B2">
      <w:pPr>
        <w:pStyle w:val="Maintext"/>
        <w:numPr>
          <w:ilvl w:val="1"/>
          <w:numId w:val="8"/>
        </w:numPr>
      </w:pPr>
      <w:r>
        <w:t xml:space="preserve">The main drivers affecting housing markets relate to demography, economy and dwelling stock attributes.  Key observations relating to County Durham are now summarised. </w:t>
      </w:r>
    </w:p>
    <w:p w:rsidR="00C349E7" w:rsidRDefault="00C349E7" w:rsidP="00C349E7">
      <w:pPr>
        <w:pStyle w:val="Maintext"/>
        <w:numPr>
          <w:ilvl w:val="1"/>
          <w:numId w:val="8"/>
        </w:numPr>
      </w:pPr>
      <w:r>
        <w:t>In summary, the following demographic drivers will continue to underpin the operation of the County Durham  housing market</w:t>
      </w:r>
      <w:r w:rsidR="00A07667">
        <w:t xml:space="preserve"> area</w:t>
      </w:r>
      <w:r>
        <w:t>:</w:t>
      </w:r>
    </w:p>
    <w:p w:rsidR="00C349E7" w:rsidRDefault="00C349E7" w:rsidP="00C349E7">
      <w:pPr>
        <w:pStyle w:val="Maintext"/>
        <w:numPr>
          <w:ilvl w:val="2"/>
          <w:numId w:val="8"/>
        </w:numPr>
      </w:pPr>
      <w:r>
        <w:t>An increasing population, with projections prepared by Durham County Council</w:t>
      </w:r>
      <w:r>
        <w:rPr>
          <w:rStyle w:val="FootnoteReference"/>
        </w:rPr>
        <w:footnoteReference w:id="30"/>
      </w:r>
      <w:r>
        <w:t xml:space="preserve"> predicting a population of </w:t>
      </w:r>
      <w:r w:rsidR="001D3255">
        <w:t>560,715</w:t>
      </w:r>
      <w:r>
        <w:t xml:space="preserve"> in 2030 compared with </w:t>
      </w:r>
      <w:r w:rsidR="001D3255">
        <w:t>512,994 in 2011</w:t>
      </w:r>
      <w:r>
        <w:t xml:space="preserve">, an increase of </w:t>
      </w:r>
      <w:r w:rsidR="001D3255">
        <w:t>47,721 (9.3</w:t>
      </w:r>
      <w:r>
        <w:t xml:space="preserve">%); </w:t>
      </w:r>
    </w:p>
    <w:p w:rsidR="001D3255" w:rsidRDefault="001D3255" w:rsidP="001D3255">
      <w:pPr>
        <w:pStyle w:val="Maintext"/>
        <w:numPr>
          <w:ilvl w:val="2"/>
          <w:numId w:val="8"/>
        </w:numPr>
      </w:pPr>
      <w:r>
        <w:t>Over the next few decades, there will be a ‘demographic shift’ with the number (and proportion) of older people increasing. Durham County Council population projections indicate a baseline in 2011 of 93,014 people aged 65 and over and 23,777 aged 80 and over. By 2030, these numbers are expected to increase to 138,402 people aged 65 and over (a 48.8% increase) and 45,028 aged 80 and over (a 89.4% increase);</w:t>
      </w:r>
    </w:p>
    <w:p w:rsidR="00C349E7" w:rsidRDefault="00C349E7" w:rsidP="00C349E7">
      <w:pPr>
        <w:pStyle w:val="Maintext"/>
        <w:numPr>
          <w:ilvl w:val="2"/>
          <w:numId w:val="8"/>
        </w:numPr>
      </w:pPr>
      <w:r>
        <w:t>Durham County Council trend-based projections</w:t>
      </w:r>
      <w:r>
        <w:rPr>
          <w:rStyle w:val="FootnoteReference"/>
        </w:rPr>
        <w:footnoteReference w:id="31"/>
      </w:r>
      <w:r>
        <w:t xml:space="preserve"> indicate that the number of households in County Durham is expected to increase </w:t>
      </w:r>
      <w:r w:rsidR="001D3255">
        <w:t>from 223,636 in 2011 to 246,134 in 2030, an increase of 10.1%. This represents an annual increase to 2030 of around 1,125 households each year</w:t>
      </w:r>
      <w:r>
        <w:t>;</w:t>
      </w:r>
    </w:p>
    <w:p w:rsidR="001D3255" w:rsidRDefault="001D3255" w:rsidP="00C349E7">
      <w:pPr>
        <w:pStyle w:val="Maintext"/>
        <w:numPr>
          <w:ilvl w:val="2"/>
          <w:numId w:val="8"/>
        </w:numPr>
      </w:pPr>
      <w:r>
        <w:t>Although the total number of households is predicted to grow, the age profile of household reference people (heads of household) will change. Of the overall change of 22,498 households additional households between 2011 and 2030, the number of households where the household reference person is aged 65 and over is projected to increase by around 23,100 and the number of households with a household reference person aged under 44 is predicted to increase by around 7,400. However, the number of households where the household reference person is aged between 45 and 64 years is predicted to decrease by around 8,000;</w:t>
      </w:r>
    </w:p>
    <w:p w:rsidR="00C349E7" w:rsidRDefault="001D3255" w:rsidP="00C349E7">
      <w:pPr>
        <w:pStyle w:val="Maintext"/>
        <w:numPr>
          <w:ilvl w:val="2"/>
          <w:numId w:val="8"/>
        </w:numPr>
      </w:pPr>
      <w:r>
        <w:t xml:space="preserve">The 2012 Household Survey indicates that the largest household groups are couples with children (23.5%), couples (under 60 no children)(13.1%), singles under 60 (12.8%), older couples (one or more 60 or over)(22.4%), older singles (60 or over)(18.0%), lone parents (7.7%) and other types of household (2.5%); </w:t>
      </w:r>
      <w:r w:rsidR="00C349E7">
        <w:t>and</w:t>
      </w:r>
    </w:p>
    <w:p w:rsidR="00C349E7" w:rsidRDefault="00C349E7" w:rsidP="00C349E7">
      <w:pPr>
        <w:pStyle w:val="Maintext"/>
        <w:numPr>
          <w:ilvl w:val="2"/>
          <w:numId w:val="8"/>
        </w:numPr>
      </w:pPr>
      <w:r>
        <w:t>Regional household projections suggest that the proportion of singles and other household types is likely to increase in the future.</w:t>
      </w:r>
    </w:p>
    <w:p w:rsidR="00F704B2" w:rsidRDefault="00F704B2" w:rsidP="00F704B2">
      <w:pPr>
        <w:pStyle w:val="Maintext"/>
        <w:numPr>
          <w:ilvl w:val="1"/>
          <w:numId w:val="8"/>
        </w:numPr>
      </w:pPr>
      <w:r>
        <w:t xml:space="preserve">The following economic drivers underpin the operation of the County Durham </w:t>
      </w:r>
      <w:r w:rsidR="00A07667">
        <w:t xml:space="preserve">housing market </w:t>
      </w:r>
      <w:r w:rsidR="00AE4DA1">
        <w:t>area</w:t>
      </w:r>
      <w:r>
        <w:t>:</w:t>
      </w:r>
    </w:p>
    <w:p w:rsidR="001D3255" w:rsidRPr="00A0196E" w:rsidRDefault="001D3255" w:rsidP="001D3255">
      <w:pPr>
        <w:pStyle w:val="Maintext"/>
        <w:numPr>
          <w:ilvl w:val="0"/>
          <w:numId w:val="16"/>
        </w:numPr>
      </w:pPr>
      <w:r>
        <w:t>48.9% of household reference people are economically active and are in employment according to the 2012 Household Survey rebased to the 2011 Census; a further 32.4% are retired; 8.8% are permanently sick/disabled; 5.0% are either looking after the ho</w:t>
      </w:r>
      <w:r w:rsidRPr="00A0196E">
        <w:t>me</w:t>
      </w:r>
      <w:r>
        <w:t>, are c</w:t>
      </w:r>
      <w:r w:rsidRPr="00A0196E">
        <w:t>are</w:t>
      </w:r>
      <w:r>
        <w:t>rs or volunteers; 3.9% are unemployed and available for work; and 1.0% are in full-time education/training;</w:t>
      </w:r>
    </w:p>
    <w:p w:rsidR="001D3255" w:rsidRPr="00B96E65" w:rsidRDefault="001D3255" w:rsidP="001D3255">
      <w:pPr>
        <w:pStyle w:val="Maintext"/>
        <w:numPr>
          <w:ilvl w:val="0"/>
          <w:numId w:val="16"/>
        </w:numPr>
        <w:rPr>
          <w:i/>
        </w:rPr>
      </w:pPr>
      <w:r>
        <w:t xml:space="preserve">65.2% of people in employment work within County Durham. Of those working outside County, 19.8% work in Tyne and Wear and 9.4% in Tees Valley. </w:t>
      </w:r>
    </w:p>
    <w:p w:rsidR="001D3255" w:rsidRPr="00C87A8A" w:rsidRDefault="001D3255" w:rsidP="001D3255">
      <w:pPr>
        <w:pStyle w:val="Maintext"/>
        <w:numPr>
          <w:ilvl w:val="0"/>
          <w:numId w:val="16"/>
        </w:numPr>
      </w:pPr>
      <w:r w:rsidRPr="00C87A8A">
        <w:t>According to the ONS Annual Survey of Hours and Earnings, lower quartile earnings in 2012 across County Durham were £17,716 which compares with £17,592 for the North East region and £18,933 for England. Median incomes were £23,816, compared with a regional median of £23,676 and a national median of £26,660.</w:t>
      </w:r>
    </w:p>
    <w:p w:rsidR="001D3255" w:rsidRPr="00A0196E" w:rsidRDefault="001D3255" w:rsidP="001D3255">
      <w:pPr>
        <w:pStyle w:val="Maintext"/>
        <w:numPr>
          <w:ilvl w:val="0"/>
          <w:numId w:val="16"/>
        </w:numPr>
      </w:pPr>
      <w:r>
        <w:t>There is considerable income polarisation across County Durham, with household survey data indicating that 44.7% of households receive less than £300 each week and 33.1% receive at least £500 each week.</w:t>
      </w:r>
    </w:p>
    <w:p w:rsidR="00F704B2" w:rsidRPr="00A0196E" w:rsidRDefault="00F704B2" w:rsidP="00F704B2">
      <w:pPr>
        <w:pStyle w:val="Maintext"/>
        <w:numPr>
          <w:ilvl w:val="0"/>
          <w:numId w:val="0"/>
        </w:numPr>
        <w:ind w:left="1080"/>
      </w:pPr>
    </w:p>
    <w:p w:rsidR="00F704B2" w:rsidRDefault="00F704B2" w:rsidP="00F704B2">
      <w:pPr>
        <w:pStyle w:val="Maintext"/>
        <w:numPr>
          <w:ilvl w:val="1"/>
          <w:numId w:val="8"/>
        </w:numPr>
      </w:pPr>
      <w:r>
        <w:t>In terms of dwelling stock, the 2012 household survey reports that, across County Durham:</w:t>
      </w:r>
    </w:p>
    <w:p w:rsidR="001D3255" w:rsidRDefault="001D3255" w:rsidP="001D3255">
      <w:pPr>
        <w:pStyle w:val="Maintext"/>
        <w:numPr>
          <w:ilvl w:val="0"/>
          <w:numId w:val="15"/>
        </w:numPr>
      </w:pPr>
      <w:r>
        <w:t>79.3% of properties are houses, 5.0% are flats/maisonettes, 15.3% are bungalows and 0.5% are other property types (e.g. caravans);</w:t>
      </w:r>
    </w:p>
    <w:p w:rsidR="001D3255" w:rsidRDefault="001D3255" w:rsidP="001D3255">
      <w:pPr>
        <w:pStyle w:val="Maintext"/>
        <w:numPr>
          <w:ilvl w:val="0"/>
          <w:numId w:val="15"/>
        </w:numPr>
      </w:pPr>
      <w:r>
        <w:t>6.1% have one bedroom, 34.8% have two bedrooms, 43.7% have three bedrooms and 15.4% have four or more bedrooms;</w:t>
      </w:r>
    </w:p>
    <w:p w:rsidR="001D3255" w:rsidRDefault="001D3255" w:rsidP="001D3255">
      <w:pPr>
        <w:pStyle w:val="Maintext"/>
        <w:numPr>
          <w:ilvl w:val="0"/>
          <w:numId w:val="15"/>
        </w:numPr>
      </w:pPr>
      <w:r>
        <w:t xml:space="preserve">17.6% of properties were built before 1919, a further 16.5% were built between 1919 and 1944, 21.7% between 1945 and 1964, 23.1% between 1965 and 1984 and 21.2% have been built since 1985; </w:t>
      </w:r>
    </w:p>
    <w:p w:rsidR="001D3255" w:rsidRDefault="001D3255" w:rsidP="001D3255">
      <w:pPr>
        <w:pStyle w:val="Maintext"/>
        <w:numPr>
          <w:ilvl w:val="0"/>
          <w:numId w:val="15"/>
        </w:numPr>
      </w:pPr>
      <w:r>
        <w:t>65.8% of properties are owner-occupied, 20.3% are rented from a social landlord or an intermediate tenure (e.g. shared ownership) and 13.8% are private rented</w:t>
      </w:r>
      <w:r w:rsidR="004730BE">
        <w:t>;</w:t>
      </w:r>
    </w:p>
    <w:p w:rsidR="00F704B2" w:rsidRPr="001B71ED" w:rsidRDefault="00F704B2" w:rsidP="00F704B2">
      <w:pPr>
        <w:pStyle w:val="Maintext"/>
        <w:numPr>
          <w:ilvl w:val="0"/>
          <w:numId w:val="15"/>
        </w:numPr>
      </w:pPr>
      <w:r w:rsidRPr="001B71ED">
        <w:t>There is a particularly strong aspiration for houses</w:t>
      </w:r>
    </w:p>
    <w:p w:rsidR="00F704B2" w:rsidRDefault="00F704B2" w:rsidP="00F704B2">
      <w:pPr>
        <w:pStyle w:val="Heading3"/>
        <w:tabs>
          <w:tab w:val="left" w:pos="2820"/>
        </w:tabs>
        <w:ind w:left="0"/>
      </w:pPr>
    </w:p>
    <w:p w:rsidR="00F704B2" w:rsidRDefault="00F704B2" w:rsidP="00F704B2">
      <w:pPr>
        <w:pStyle w:val="Heading3"/>
      </w:pPr>
      <w:bookmarkStart w:id="299" w:name="_Toc318323454"/>
      <w:r>
        <w:t>Step 4.3</w:t>
      </w:r>
      <w:r>
        <w:tab/>
        <w:t>Issues for future policy/strategy</w:t>
      </w:r>
      <w:bookmarkEnd w:id="299"/>
      <w:r>
        <w:t xml:space="preserve"> </w:t>
      </w:r>
    </w:p>
    <w:p w:rsidR="00F704B2" w:rsidRDefault="00F704B2" w:rsidP="00F704B2"/>
    <w:p w:rsidR="00F704B2" w:rsidRDefault="00F704B2" w:rsidP="00F704B2">
      <w:pPr>
        <w:pStyle w:val="Maintext"/>
        <w:numPr>
          <w:ilvl w:val="1"/>
          <w:numId w:val="8"/>
        </w:numPr>
      </w:pPr>
      <w:r>
        <w:t>This chapter has provided a wealth of material to assess the current housing market.  This material assists in identifying key strategic themes which are presented in Chapter 6 of the main report.</w:t>
      </w:r>
    </w:p>
    <w:p w:rsidR="00F704B2" w:rsidRDefault="00F704B2" w:rsidP="00F704B2">
      <w:pPr>
        <w:pStyle w:val="Maintext"/>
        <w:numPr>
          <w:ilvl w:val="0"/>
          <w:numId w:val="0"/>
        </w:numPr>
        <w:ind w:left="709"/>
        <w:rPr>
          <w:b/>
        </w:rPr>
      </w:pPr>
    </w:p>
    <w:p w:rsidR="00F704B2" w:rsidRDefault="00F704B2" w:rsidP="00F704B2"/>
    <w:bookmarkEnd w:id="195"/>
    <w:p w:rsidR="00EE6B85" w:rsidRDefault="00EE6B85" w:rsidP="00EE6B85">
      <w:pPr>
        <w:pStyle w:val="Heading1"/>
        <w:numPr>
          <w:ilvl w:val="0"/>
          <w:numId w:val="0"/>
        </w:numPr>
      </w:pPr>
    </w:p>
    <w:p w:rsidR="00EE6B85" w:rsidRDefault="00F704B2" w:rsidP="00EE6B85">
      <w:pPr>
        <w:pStyle w:val="Heading1"/>
        <w:numPr>
          <w:ilvl w:val="0"/>
          <w:numId w:val="0"/>
        </w:numPr>
      </w:pPr>
      <w:bookmarkStart w:id="300" w:name="_Toc236645919"/>
      <w:bookmarkStart w:id="301" w:name="_Toc273708384"/>
      <w:bookmarkStart w:id="302" w:name="_Toc280272454"/>
      <w:bookmarkStart w:id="303" w:name="_Toc318323455"/>
      <w:bookmarkStart w:id="304" w:name="_Toc225941609"/>
      <w:bookmarkEnd w:id="172"/>
      <w:bookmarkEnd w:id="191"/>
      <w:bookmarkEnd w:id="192"/>
      <w:bookmarkEnd w:id="196"/>
      <w:r>
        <w:br w:type="page"/>
      </w:r>
      <w:bookmarkStart w:id="305" w:name="_Toc333507790"/>
      <w:r w:rsidR="00EE6B85">
        <w:t>Technical Appendix C: The Future Housing Market</w:t>
      </w:r>
      <w:bookmarkEnd w:id="300"/>
      <w:bookmarkEnd w:id="301"/>
      <w:bookmarkEnd w:id="302"/>
      <w:bookmarkEnd w:id="303"/>
      <w:bookmarkEnd w:id="305"/>
      <w:r w:rsidR="00EE6B85">
        <w:t xml:space="preserve"> </w:t>
      </w:r>
    </w:p>
    <w:p w:rsidR="00EE6B85" w:rsidRDefault="00EE6B85" w:rsidP="00EE6B85"/>
    <w:p w:rsidR="00EE6B85" w:rsidRDefault="00EE6B85" w:rsidP="00EE6B85">
      <w:pPr>
        <w:pStyle w:val="Heading3"/>
      </w:pPr>
      <w:bookmarkStart w:id="306" w:name="_Toc318323456"/>
      <w:r>
        <w:t>Introduction</w:t>
      </w:r>
      <w:bookmarkEnd w:id="306"/>
    </w:p>
    <w:p w:rsidR="00EE6B85" w:rsidRDefault="00EE6B85" w:rsidP="00EE6B85"/>
    <w:p w:rsidR="00EE6B85" w:rsidRDefault="00EE6B85" w:rsidP="007E46FA">
      <w:pPr>
        <w:pStyle w:val="Maintext"/>
        <w:numPr>
          <w:ilvl w:val="1"/>
          <w:numId w:val="24"/>
        </w:numPr>
      </w:pPr>
      <w:r>
        <w:t xml:space="preserve">The purpose of this section is to review the future housing market in </w:t>
      </w:r>
      <w:r w:rsidR="00CD1ECC">
        <w:t xml:space="preserve">County Durham </w:t>
      </w:r>
      <w:r>
        <w:t xml:space="preserve">and provides information relating to the following stages of the SHMA process: </w:t>
      </w:r>
    </w:p>
    <w:tbl>
      <w:tblPr>
        <w:tblW w:w="0" w:type="auto"/>
        <w:tblInd w:w="720" w:type="dxa"/>
        <w:tblLook w:val="01E0" w:firstRow="1" w:lastRow="1" w:firstColumn="1" w:lastColumn="1" w:noHBand="0" w:noVBand="0"/>
      </w:tblPr>
      <w:tblGrid>
        <w:gridCol w:w="7244"/>
      </w:tblGrid>
      <w:tr w:rsidR="00EE6B85" w:rsidTr="00176832">
        <w:tc>
          <w:tcPr>
            <w:tcW w:w="7244" w:type="dxa"/>
          </w:tcPr>
          <w:p w:rsidR="00EE6B85" w:rsidRDefault="00EE6B85" w:rsidP="00176832">
            <w:pPr>
              <w:pStyle w:val="Maintext"/>
              <w:numPr>
                <w:ilvl w:val="0"/>
                <w:numId w:val="0"/>
              </w:numPr>
              <w:rPr>
                <w:b/>
                <w:color w:val="008080"/>
              </w:rPr>
            </w:pPr>
            <w:r>
              <w:rPr>
                <w:b/>
                <w:color w:val="008080"/>
              </w:rPr>
              <w:t>Stage 1: Projecting changes in future number of households</w:t>
            </w:r>
          </w:p>
        </w:tc>
      </w:tr>
      <w:tr w:rsidR="00EE6B85" w:rsidTr="00176832">
        <w:tc>
          <w:tcPr>
            <w:tcW w:w="7244" w:type="dxa"/>
          </w:tcPr>
          <w:p w:rsidR="00EE6B85" w:rsidRDefault="00EE6B85" w:rsidP="00176832">
            <w:pPr>
              <w:pStyle w:val="Maintext"/>
              <w:numPr>
                <w:ilvl w:val="0"/>
                <w:numId w:val="0"/>
              </w:numPr>
              <w:rPr>
                <w:color w:val="008080"/>
              </w:rPr>
            </w:pPr>
            <w:r>
              <w:rPr>
                <w:b/>
                <w:color w:val="008080"/>
              </w:rPr>
              <w:t>Stage 2: Future economic performance</w:t>
            </w:r>
          </w:p>
        </w:tc>
      </w:tr>
      <w:tr w:rsidR="00EE6B85" w:rsidTr="00176832">
        <w:tc>
          <w:tcPr>
            <w:tcW w:w="7244" w:type="dxa"/>
          </w:tcPr>
          <w:p w:rsidR="00EE6B85" w:rsidRDefault="00EE6B85" w:rsidP="00176832">
            <w:pPr>
              <w:pStyle w:val="Maintext"/>
              <w:numPr>
                <w:ilvl w:val="0"/>
                <w:numId w:val="0"/>
              </w:numPr>
              <w:rPr>
                <w:color w:val="008080"/>
              </w:rPr>
            </w:pPr>
            <w:r>
              <w:rPr>
                <w:b/>
                <w:color w:val="008080"/>
              </w:rPr>
              <w:t>Stage 3: Future affordability</w:t>
            </w:r>
          </w:p>
        </w:tc>
      </w:tr>
      <w:tr w:rsidR="00EE6B85" w:rsidTr="00176832">
        <w:tc>
          <w:tcPr>
            <w:tcW w:w="7244" w:type="dxa"/>
          </w:tcPr>
          <w:p w:rsidR="00EE6B85" w:rsidRDefault="00EE6B85" w:rsidP="00176832">
            <w:pPr>
              <w:pStyle w:val="Maintext"/>
              <w:numPr>
                <w:ilvl w:val="0"/>
                <w:numId w:val="0"/>
              </w:numPr>
              <w:rPr>
                <w:color w:val="008080"/>
              </w:rPr>
            </w:pPr>
            <w:r>
              <w:rPr>
                <w:b/>
                <w:color w:val="008080"/>
              </w:rPr>
              <w:t>Stage 4: Bringing the evidence together</w:t>
            </w:r>
          </w:p>
        </w:tc>
      </w:tr>
    </w:tbl>
    <w:p w:rsidR="00EE6B85" w:rsidRDefault="00EE6B85" w:rsidP="00EE6B85"/>
    <w:p w:rsidR="00EE6B85" w:rsidRDefault="00EE6B85" w:rsidP="007E46FA">
      <w:pPr>
        <w:pStyle w:val="Maintext"/>
        <w:numPr>
          <w:ilvl w:val="1"/>
          <w:numId w:val="24"/>
        </w:numPr>
      </w:pPr>
      <w:r>
        <w:t xml:space="preserve">Material in this chapter provides a basis for the following SHMA core outputs: </w:t>
      </w:r>
    </w:p>
    <w:p w:rsidR="00EE6B85" w:rsidRDefault="00EE6B85" w:rsidP="00EE6B85"/>
    <w:p w:rsidR="00EE6B85" w:rsidRDefault="00EE6B85" w:rsidP="00EE6B85">
      <w:pPr>
        <w:pStyle w:val="Heading3"/>
      </w:pPr>
      <w:bookmarkStart w:id="307" w:name="_Toc318323457"/>
      <w:r>
        <w:t>Core Output 3</w:t>
      </w:r>
      <w:r>
        <w:tab/>
        <w:t>Future households</w:t>
      </w:r>
      <w:bookmarkEnd w:id="307"/>
      <w:r>
        <w:t xml:space="preserve"> </w:t>
      </w:r>
    </w:p>
    <w:p w:rsidR="00EE6B85" w:rsidRDefault="00EE6B85" w:rsidP="00EE6B85"/>
    <w:p w:rsidR="00EE6B85" w:rsidRDefault="00EE6B85" w:rsidP="00EE6B85">
      <w:pPr>
        <w:pStyle w:val="Maintext"/>
        <w:numPr>
          <w:ilvl w:val="0"/>
          <w:numId w:val="0"/>
        </w:numPr>
        <w:ind w:firstLine="709"/>
        <w:rPr>
          <w:b/>
          <w:bCs/>
        </w:rPr>
      </w:pPr>
      <w:r>
        <w:rPr>
          <w:b/>
          <w:bCs/>
        </w:rPr>
        <w:t>Stage 1:   projecting changes in future numbers of households</w:t>
      </w:r>
    </w:p>
    <w:p w:rsidR="00566BCF" w:rsidRDefault="00566BCF" w:rsidP="007E46FA">
      <w:pPr>
        <w:pStyle w:val="Maintext"/>
        <w:numPr>
          <w:ilvl w:val="1"/>
          <w:numId w:val="24"/>
        </w:numPr>
      </w:pPr>
      <w:r w:rsidRPr="00E4595A">
        <w:t xml:space="preserve">Estimates of the number of future households can be derived from </w:t>
      </w:r>
      <w:r w:rsidR="00E374CB">
        <w:t xml:space="preserve">Durham </w:t>
      </w:r>
      <w:r w:rsidR="005F1EA2">
        <w:t>County Council 2011</w:t>
      </w:r>
      <w:r w:rsidR="00AE4DA1">
        <w:t>-</w:t>
      </w:r>
      <w:r w:rsidR="00A07667">
        <w:t xml:space="preserve">based household projections. These indicate that the total number of households is expected to increase from </w:t>
      </w:r>
      <w:r w:rsidR="005F1EA2">
        <w:t>223,636 in 2011 to 246,134</w:t>
      </w:r>
      <w:r w:rsidR="00A07667">
        <w:t xml:space="preserve"> in 2030.</w:t>
      </w:r>
    </w:p>
    <w:p w:rsidR="00EE7591" w:rsidRDefault="00EE7591" w:rsidP="00E374CB">
      <w:pPr>
        <w:pStyle w:val="Maintext"/>
        <w:numPr>
          <w:ilvl w:val="0"/>
          <w:numId w:val="0"/>
        </w:numPr>
        <w:ind w:left="709"/>
      </w:pPr>
    </w:p>
    <w:p w:rsidR="00EE6B85" w:rsidRPr="006541C2" w:rsidRDefault="00EE6B85" w:rsidP="00EE6B85">
      <w:pPr>
        <w:pStyle w:val="Maintext"/>
        <w:numPr>
          <w:ilvl w:val="0"/>
          <w:numId w:val="0"/>
        </w:numPr>
        <w:ind w:left="709"/>
        <w:rPr>
          <w:b/>
        </w:rPr>
      </w:pPr>
      <w:r w:rsidRPr="006541C2">
        <w:rPr>
          <w:b/>
        </w:rPr>
        <w:t>Household change and tenure requirements</w:t>
      </w:r>
    </w:p>
    <w:p w:rsidR="00EE6B85" w:rsidRDefault="006B30DB" w:rsidP="007E46FA">
      <w:pPr>
        <w:pStyle w:val="Maintext"/>
        <w:numPr>
          <w:ilvl w:val="1"/>
          <w:numId w:val="24"/>
        </w:numPr>
      </w:pPr>
      <w:r>
        <w:t xml:space="preserve">Analysis has been carried out which uses </w:t>
      </w:r>
      <w:r w:rsidR="003C5498">
        <w:t xml:space="preserve">Durham </w:t>
      </w:r>
      <w:r w:rsidR="005F1EA2">
        <w:t>County Council 2011</w:t>
      </w:r>
      <w:r w:rsidR="00AE4DA1">
        <w:t>-</w:t>
      </w:r>
      <w:r w:rsidR="003C5498">
        <w:t xml:space="preserve">based household projections </w:t>
      </w:r>
      <w:r>
        <w:t xml:space="preserve">and </w:t>
      </w:r>
      <w:r w:rsidR="003C5498">
        <w:t xml:space="preserve">the </w:t>
      </w:r>
      <w:r>
        <w:t>current tenure profiles of households to provide a broad prediction of chang</w:t>
      </w:r>
      <w:r w:rsidR="00A07667">
        <w:t>e in tenure over the period 2010</w:t>
      </w:r>
      <w:r w:rsidR="003C5498">
        <w:t>-2</w:t>
      </w:r>
      <w:r w:rsidR="00A07667">
        <w:t>030</w:t>
      </w:r>
      <w:r>
        <w:t>.</w:t>
      </w:r>
    </w:p>
    <w:p w:rsidR="00EE6B85" w:rsidRPr="006541C2" w:rsidRDefault="00EE6B85" w:rsidP="007E46FA">
      <w:pPr>
        <w:pStyle w:val="Maintext"/>
        <w:numPr>
          <w:ilvl w:val="1"/>
          <w:numId w:val="24"/>
        </w:numPr>
      </w:pPr>
      <w:r w:rsidRPr="006541C2">
        <w:rPr>
          <w:rFonts w:cs="Arial"/>
        </w:rPr>
        <w:t>From the outset, it is important to note that household projections do not automatically translate into housing targets. Determining an appropriate housing target is much more complex than simply reflecting household projections. Other factors, such as deliverability constraints and strategic policies also need to be taken into account. On balance, targets need to be set with the strategic vision of the Council in mind, coupled with a realistic assessment of what is deliverable and over what timeframe.</w:t>
      </w:r>
    </w:p>
    <w:p w:rsidR="00EE6B85" w:rsidRDefault="003C5498" w:rsidP="007E46FA">
      <w:pPr>
        <w:pStyle w:val="Maintext"/>
        <w:numPr>
          <w:ilvl w:val="1"/>
          <w:numId w:val="24"/>
        </w:numPr>
      </w:pPr>
      <w:r>
        <w:t xml:space="preserve">The analysis of household projections and tenure </w:t>
      </w:r>
      <w:r w:rsidR="00EE6B85">
        <w:t xml:space="preserve">offer an insight into how household change may occur within </w:t>
      </w:r>
      <w:r w:rsidR="006B30DB">
        <w:t>County Durham. The 2012</w:t>
      </w:r>
      <w:r w:rsidR="00EE6B85">
        <w:t xml:space="preserve"> household survey has established the tenure profile of households by age group of ho</w:t>
      </w:r>
      <w:r w:rsidR="006B30DB">
        <w:t>usehold reference person in 2012</w:t>
      </w:r>
      <w:r w:rsidR="00EE6B85">
        <w:t>. Assuming the proportions of households in particular tenures by age group stay the same, it is possible to estimate likely household change broken down by open market and affordable tenures. This is helpful in gauging the likely proportions requiring different tenure options.</w:t>
      </w:r>
    </w:p>
    <w:p w:rsidR="00EE6B85" w:rsidRDefault="006B30DB" w:rsidP="007E46FA">
      <w:pPr>
        <w:pStyle w:val="Maintext"/>
        <w:numPr>
          <w:ilvl w:val="1"/>
          <w:numId w:val="24"/>
        </w:numPr>
      </w:pPr>
      <w:r>
        <w:t>Table</w:t>
      </w:r>
      <w:r w:rsidR="00EE6B85">
        <w:t xml:space="preserve"> C2 </w:t>
      </w:r>
      <w:r>
        <w:t>s</w:t>
      </w:r>
      <w:r w:rsidR="00EE6B85">
        <w:t>how</w:t>
      </w:r>
      <w:r>
        <w:t>s</w:t>
      </w:r>
      <w:r w:rsidR="00EE6B85">
        <w:t xml:space="preserve"> household projections by age band for </w:t>
      </w:r>
      <w:r>
        <w:t>County Durham</w:t>
      </w:r>
      <w:r w:rsidR="003C5498">
        <w:t xml:space="preserve"> using Durham </w:t>
      </w:r>
      <w:r w:rsidR="005F1EA2">
        <w:t>County Council 2011</w:t>
      </w:r>
      <w:r w:rsidR="00AE4DA1">
        <w:t>-</w:t>
      </w:r>
      <w:r w:rsidR="003C5498">
        <w:t>based household projections</w:t>
      </w:r>
      <w:r w:rsidR="00EE6B85">
        <w:t>; the te</w:t>
      </w:r>
      <w:r>
        <w:t xml:space="preserve">nure profile by age band in 2012; </w:t>
      </w:r>
      <w:r w:rsidR="00EE6B85">
        <w:t>and the predicted impact of changes in the profile of HRPs on overall household numbers and tenure r</w:t>
      </w:r>
      <w:r>
        <w:t>e</w:t>
      </w:r>
      <w:r w:rsidR="003C5498">
        <w:t>quireme</w:t>
      </w:r>
      <w:r w:rsidR="008F76D8">
        <w:t>nts over the period 2010 to 2030</w:t>
      </w:r>
      <w:r w:rsidR="00EE6B85">
        <w:t xml:space="preserve">. </w:t>
      </w:r>
    </w:p>
    <w:p w:rsidR="00EE6B85" w:rsidRDefault="00EE6B85" w:rsidP="00EE6B85">
      <w:pPr>
        <w:pStyle w:val="Maintext"/>
        <w:numPr>
          <w:ilvl w:val="0"/>
          <w:numId w:val="0"/>
        </w:numPr>
        <w:ind w:left="709"/>
      </w:pPr>
    </w:p>
    <w:p w:rsidR="00EE6B85" w:rsidRDefault="00EE6B85" w:rsidP="005D7D0B">
      <w:pPr>
        <w:pStyle w:val="Maintext"/>
        <w:numPr>
          <w:ilvl w:val="0"/>
          <w:numId w:val="0"/>
        </w:numPr>
        <w:ind w:firstLine="709"/>
      </w:pPr>
      <w:r w:rsidRPr="003230F9">
        <w:rPr>
          <w:b/>
        </w:rPr>
        <w:t>Table C2</w:t>
      </w:r>
      <w:r>
        <w:tab/>
        <w:t xml:space="preserve">Household change in </w:t>
      </w:r>
      <w:r w:rsidR="00984A5F">
        <w:t>County Durham 2010-2030</w:t>
      </w:r>
    </w:p>
    <w:tbl>
      <w:tblPr>
        <w:tblW w:w="5825" w:type="dxa"/>
        <w:tblInd w:w="720" w:type="dxa"/>
        <w:tblLook w:val="04A0" w:firstRow="1" w:lastRow="0" w:firstColumn="1" w:lastColumn="0" w:noHBand="0" w:noVBand="1"/>
      </w:tblPr>
      <w:tblGrid>
        <w:gridCol w:w="1264"/>
        <w:gridCol w:w="951"/>
        <w:gridCol w:w="951"/>
        <w:gridCol w:w="1697"/>
        <w:gridCol w:w="962"/>
      </w:tblGrid>
      <w:tr w:rsidR="005F1EA2" w:rsidRPr="005F1EA2" w:rsidTr="005F1EA2">
        <w:trPr>
          <w:trHeight w:val="645"/>
        </w:trPr>
        <w:tc>
          <w:tcPr>
            <w:tcW w:w="5825" w:type="dxa"/>
            <w:gridSpan w:val="5"/>
            <w:tcBorders>
              <w:top w:val="single" w:sz="4" w:space="0" w:color="auto"/>
              <w:left w:val="single" w:sz="4" w:space="0" w:color="auto"/>
              <w:bottom w:val="nil"/>
              <w:right w:val="single" w:sz="4" w:space="0" w:color="000000"/>
            </w:tcBorders>
            <w:shd w:val="clear" w:color="000000" w:fill="008080"/>
            <w:vAlign w:val="bottom"/>
            <w:hideMark/>
          </w:tcPr>
          <w:p w:rsidR="005F1EA2" w:rsidRPr="005F1EA2" w:rsidRDefault="005F1EA2" w:rsidP="005F1EA2">
            <w:pPr>
              <w:spacing w:before="0" w:after="0"/>
              <w:rPr>
                <w:rFonts w:cs="Arial"/>
                <w:b/>
                <w:bCs/>
                <w:color w:val="FFFFFF"/>
                <w:sz w:val="22"/>
                <w:szCs w:val="22"/>
                <w:lang w:eastAsia="en-GB"/>
              </w:rPr>
            </w:pPr>
            <w:r w:rsidRPr="005F1EA2">
              <w:rPr>
                <w:rFonts w:cs="Arial"/>
                <w:b/>
                <w:bCs/>
                <w:color w:val="FFFFFF"/>
                <w:sz w:val="22"/>
                <w:szCs w:val="22"/>
                <w:lang w:eastAsia="en-GB"/>
              </w:rPr>
              <w:t>Change in no. households by HRP 2011-2030</w:t>
            </w:r>
          </w:p>
        </w:tc>
      </w:tr>
      <w:tr w:rsidR="005F1EA2" w:rsidRPr="005F1EA2" w:rsidTr="005F1EA2">
        <w:trPr>
          <w:trHeight w:val="300"/>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sz w:val="22"/>
                <w:szCs w:val="22"/>
                <w:lang w:eastAsia="en-GB"/>
              </w:rPr>
            </w:pPr>
            <w:r w:rsidRPr="005F1EA2">
              <w:rPr>
                <w:rFonts w:cs="Arial"/>
                <w:b/>
                <w:bCs/>
                <w:sz w:val="22"/>
                <w:szCs w:val="22"/>
                <w:lang w:eastAsia="en-GB"/>
              </w:rPr>
              <w:t>HRP</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2011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2030</w:t>
            </w:r>
          </w:p>
        </w:tc>
        <w:tc>
          <w:tcPr>
            <w:tcW w:w="1697"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Total change</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Annual</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Under 25</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8561</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12493</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3932</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197</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25-34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27740</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30883</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3143</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157</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35-44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37706</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38057</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351</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18</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45-54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43530</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37639</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-5891</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-295</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55-64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41248</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39120</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-2128</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-106</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65-74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34155</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39487</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5332</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267</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75-84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23014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32547</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9533</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477</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85+</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7682</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15908</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8226</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411</w:t>
            </w:r>
          </w:p>
        </w:tc>
      </w:tr>
      <w:tr w:rsidR="005F1EA2" w:rsidRPr="005F1EA2" w:rsidTr="005F1EA2">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sz w:val="22"/>
                <w:szCs w:val="22"/>
                <w:lang w:eastAsia="en-GB"/>
              </w:rPr>
            </w:pPr>
            <w:r w:rsidRPr="005F1EA2">
              <w:rPr>
                <w:rFonts w:cs="Arial"/>
                <w:b/>
                <w:bCs/>
                <w:sz w:val="22"/>
                <w:szCs w:val="22"/>
                <w:lang w:eastAsia="en-GB"/>
              </w:rPr>
              <w:t>Total</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223636</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246134</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22498</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1125</w:t>
            </w:r>
          </w:p>
        </w:tc>
      </w:tr>
      <w:tr w:rsidR="005F1EA2" w:rsidRPr="005F1EA2" w:rsidTr="005F1EA2">
        <w:trPr>
          <w:trHeight w:val="300"/>
        </w:trPr>
        <w:tc>
          <w:tcPr>
            <w:tcW w:w="1264" w:type="dxa"/>
            <w:tcBorders>
              <w:top w:val="nil"/>
              <w:left w:val="single" w:sz="4" w:space="0" w:color="auto"/>
              <w:bottom w:val="single" w:sz="4" w:space="0" w:color="auto"/>
              <w:right w:val="nil"/>
            </w:tcBorders>
            <w:shd w:val="clear" w:color="auto" w:fill="auto"/>
            <w:noWrap/>
            <w:vAlign w:val="bottom"/>
            <w:hideMark/>
          </w:tcPr>
          <w:p w:rsidR="005F1EA2" w:rsidRPr="005F1EA2" w:rsidRDefault="005F1EA2" w:rsidP="005F1EA2">
            <w:pPr>
              <w:spacing w:before="0" w:after="0"/>
              <w:jc w:val="right"/>
              <w:rPr>
                <w:rFonts w:cs="Arial"/>
                <w:b/>
                <w:bCs/>
                <w:sz w:val="22"/>
                <w:szCs w:val="22"/>
                <w:lang w:eastAsia="en-GB"/>
              </w:rPr>
            </w:pPr>
            <w:r w:rsidRPr="005F1EA2">
              <w:rPr>
                <w:rFonts w:cs="Arial"/>
                <w:b/>
                <w:bCs/>
                <w:sz w:val="22"/>
                <w:szCs w:val="22"/>
                <w:lang w:eastAsia="en-GB"/>
              </w:rPr>
              <w:t>Summary</w:t>
            </w:r>
          </w:p>
        </w:tc>
        <w:tc>
          <w:tcPr>
            <w:tcW w:w="951" w:type="dxa"/>
            <w:tcBorders>
              <w:top w:val="nil"/>
              <w:left w:val="nil"/>
              <w:bottom w:val="single" w:sz="4" w:space="0" w:color="auto"/>
              <w:right w:val="nil"/>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 </w:t>
            </w:r>
          </w:p>
        </w:tc>
        <w:tc>
          <w:tcPr>
            <w:tcW w:w="951" w:type="dxa"/>
            <w:tcBorders>
              <w:top w:val="nil"/>
              <w:left w:val="nil"/>
              <w:bottom w:val="single" w:sz="4" w:space="0" w:color="auto"/>
              <w:right w:val="nil"/>
            </w:tcBorders>
            <w:shd w:val="clear" w:color="auto" w:fill="auto"/>
            <w:noWrap/>
            <w:vAlign w:val="bottom"/>
            <w:hideMark/>
          </w:tcPr>
          <w:p w:rsidR="005F1EA2" w:rsidRPr="005F1EA2" w:rsidRDefault="005F1EA2" w:rsidP="005F1EA2">
            <w:pPr>
              <w:spacing w:before="0" w:after="0"/>
              <w:jc w:val="center"/>
              <w:rPr>
                <w:rFonts w:cs="Arial"/>
                <w:b/>
                <w:bCs/>
                <w:sz w:val="22"/>
                <w:szCs w:val="22"/>
                <w:lang w:eastAsia="en-GB"/>
              </w:rPr>
            </w:pPr>
            <w:r w:rsidRPr="005F1EA2">
              <w:rPr>
                <w:rFonts w:cs="Arial"/>
                <w:b/>
                <w:bCs/>
                <w:sz w:val="22"/>
                <w:szCs w:val="22"/>
                <w:lang w:eastAsia="en-GB"/>
              </w:rPr>
              <w:t> </w:t>
            </w:r>
          </w:p>
        </w:tc>
        <w:tc>
          <w:tcPr>
            <w:tcW w:w="1697" w:type="dxa"/>
            <w:tcBorders>
              <w:top w:val="nil"/>
              <w:left w:val="nil"/>
              <w:bottom w:val="single" w:sz="4" w:space="0" w:color="auto"/>
              <w:right w:val="nil"/>
            </w:tcBorders>
            <w:shd w:val="clear" w:color="auto" w:fill="auto"/>
            <w:noWrap/>
            <w:vAlign w:val="bottom"/>
            <w:hideMark/>
          </w:tcPr>
          <w:p w:rsidR="005F1EA2" w:rsidRPr="005F1EA2" w:rsidRDefault="005F1EA2" w:rsidP="005F1EA2">
            <w:pPr>
              <w:spacing w:before="0" w:after="0"/>
              <w:jc w:val="right"/>
              <w:rPr>
                <w:rFonts w:cs="Arial"/>
                <w:b/>
                <w:bCs/>
                <w:sz w:val="22"/>
                <w:szCs w:val="22"/>
                <w:lang w:eastAsia="en-GB"/>
              </w:rPr>
            </w:pPr>
            <w:r w:rsidRPr="005F1EA2">
              <w:rPr>
                <w:rFonts w:cs="Arial"/>
                <w:b/>
                <w:bCs/>
                <w:sz w:val="22"/>
                <w:szCs w:val="22"/>
                <w:lang w:eastAsia="en-GB"/>
              </w:rPr>
              <w:t> </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right"/>
              <w:rPr>
                <w:rFonts w:cs="Arial"/>
                <w:b/>
                <w:bCs/>
                <w:sz w:val="22"/>
                <w:szCs w:val="22"/>
                <w:lang w:eastAsia="en-GB"/>
              </w:rPr>
            </w:pPr>
            <w:r w:rsidRPr="005F1EA2">
              <w:rPr>
                <w:rFonts w:cs="Arial"/>
                <w:b/>
                <w:bCs/>
                <w:sz w:val="22"/>
                <w:szCs w:val="22"/>
                <w:lang w:eastAsia="en-GB"/>
              </w:rPr>
              <w:t> </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sz w:val="22"/>
                <w:szCs w:val="22"/>
                <w:lang w:eastAsia="en-GB"/>
              </w:rPr>
            </w:pPr>
            <w:r w:rsidRPr="005F1EA2">
              <w:rPr>
                <w:rFonts w:cs="Arial"/>
                <w:sz w:val="22"/>
                <w:szCs w:val="22"/>
                <w:lang w:eastAsia="en-GB"/>
              </w:rPr>
              <w:t>&lt;44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74007</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81433</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7426</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371</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45-64</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84778</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76759</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-8019</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-401</w:t>
            </w:r>
          </w:p>
        </w:tc>
      </w:tr>
      <w:tr w:rsidR="005F1EA2" w:rsidRPr="005F1EA2" w:rsidTr="005F1EA2">
        <w:trPr>
          <w:trHeight w:val="285"/>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65+</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64851</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87942</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sz w:val="22"/>
                <w:szCs w:val="22"/>
                <w:lang w:eastAsia="en-GB"/>
              </w:rPr>
            </w:pPr>
            <w:r w:rsidRPr="005F1EA2">
              <w:rPr>
                <w:rFonts w:cs="Arial"/>
                <w:sz w:val="22"/>
                <w:szCs w:val="22"/>
                <w:lang w:eastAsia="en-GB"/>
              </w:rPr>
              <w:t>23092</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1155</w:t>
            </w:r>
          </w:p>
        </w:tc>
      </w:tr>
      <w:tr w:rsidR="005F1EA2" w:rsidRPr="005F1EA2" w:rsidTr="005F1EA2">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Total</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223636</w:t>
            </w:r>
          </w:p>
        </w:tc>
        <w:tc>
          <w:tcPr>
            <w:tcW w:w="95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246134</w:t>
            </w:r>
          </w:p>
        </w:tc>
        <w:tc>
          <w:tcPr>
            <w:tcW w:w="1697"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22498</w:t>
            </w:r>
          </w:p>
        </w:tc>
        <w:tc>
          <w:tcPr>
            <w:tcW w:w="962"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1125</w:t>
            </w:r>
          </w:p>
        </w:tc>
      </w:tr>
    </w:tbl>
    <w:p w:rsidR="005F1EA2" w:rsidRDefault="005F1EA2" w:rsidP="005D7D0B">
      <w:pPr>
        <w:pStyle w:val="Maintext"/>
        <w:numPr>
          <w:ilvl w:val="0"/>
          <w:numId w:val="0"/>
        </w:numPr>
        <w:ind w:firstLine="709"/>
      </w:pPr>
    </w:p>
    <w:p w:rsidR="00491459" w:rsidRDefault="00491459" w:rsidP="00491459">
      <w:pPr>
        <w:pStyle w:val="Maintext"/>
        <w:numPr>
          <w:ilvl w:val="1"/>
          <w:numId w:val="24"/>
        </w:numPr>
      </w:pPr>
      <w:r>
        <w:t>In summary, Table C2 indicates that:</w:t>
      </w:r>
    </w:p>
    <w:p w:rsidR="00491459" w:rsidRDefault="00491459" w:rsidP="00491459">
      <w:pPr>
        <w:pStyle w:val="Maintext"/>
        <w:numPr>
          <w:ilvl w:val="2"/>
          <w:numId w:val="24"/>
        </w:numPr>
      </w:pPr>
      <w:r>
        <w:t>The total number of households is expected to increase by around 22,500 across County Durham;</w:t>
      </w:r>
    </w:p>
    <w:p w:rsidR="00491459" w:rsidRDefault="00491459" w:rsidP="00491459">
      <w:pPr>
        <w:pStyle w:val="Maintext"/>
        <w:numPr>
          <w:ilvl w:val="2"/>
          <w:numId w:val="24"/>
        </w:numPr>
      </w:pPr>
      <w:r>
        <w:t>The overall increase is largely attributed to an increase in the number of households with a HRP aged 65 and over which will increase by around 23,100. Additionally, the number of households with a HRP aged under 44 will increase by around 7,400, with a reduction in households with a HRP aged 45 to 64 or around 8,000.</w:t>
      </w:r>
    </w:p>
    <w:p w:rsidR="00491459" w:rsidRDefault="00491459" w:rsidP="00491459">
      <w:pPr>
        <w:pStyle w:val="Maintext"/>
        <w:numPr>
          <w:ilvl w:val="1"/>
          <w:numId w:val="24"/>
        </w:numPr>
      </w:pPr>
      <w:r>
        <w:t xml:space="preserve">Table C3 considers the potential impact of household change on tenure requirements. This assumes that the tenure profile based on the 2012 census by HRP remains constant over the period 2011 to 2030. Analysis suggests of the increase of around 1,125 households each year, there will be an annual increase in demand from 847 households for open market accommodation and 278 affordable/intermediate tenure dwellings. </w:t>
      </w:r>
    </w:p>
    <w:p w:rsidR="005F1EA2" w:rsidRDefault="005F1EA2">
      <w:pPr>
        <w:spacing w:before="0" w:after="0"/>
        <w:rPr>
          <w:b/>
        </w:rPr>
      </w:pPr>
      <w:r>
        <w:rPr>
          <w:b/>
        </w:rPr>
        <w:br w:type="page"/>
      </w:r>
    </w:p>
    <w:p w:rsidR="005F1EA2" w:rsidRDefault="005F1EA2" w:rsidP="005F1EA2">
      <w:pPr>
        <w:pStyle w:val="Maintext"/>
        <w:numPr>
          <w:ilvl w:val="0"/>
          <w:numId w:val="0"/>
        </w:numPr>
        <w:ind w:firstLine="709"/>
      </w:pPr>
      <w:r w:rsidRPr="003230F9">
        <w:rPr>
          <w:b/>
        </w:rPr>
        <w:t>Table C</w:t>
      </w:r>
      <w:r w:rsidR="00F12261">
        <w:rPr>
          <w:b/>
        </w:rPr>
        <w:t>3</w:t>
      </w:r>
      <w:r>
        <w:tab/>
        <w:t>Change in number of households by tenure and HRP 2011-2030</w:t>
      </w:r>
    </w:p>
    <w:tbl>
      <w:tblPr>
        <w:tblW w:w="6148" w:type="dxa"/>
        <w:tblInd w:w="675" w:type="dxa"/>
        <w:tblLook w:val="04A0" w:firstRow="1" w:lastRow="0" w:firstColumn="1" w:lastColumn="0" w:noHBand="0" w:noVBand="1"/>
      </w:tblPr>
      <w:tblGrid>
        <w:gridCol w:w="1843"/>
        <w:gridCol w:w="1671"/>
        <w:gridCol w:w="1709"/>
        <w:gridCol w:w="925"/>
      </w:tblGrid>
      <w:tr w:rsidR="005F1EA2" w:rsidRPr="005F1EA2" w:rsidTr="005F1EA2">
        <w:trPr>
          <w:trHeight w:val="300"/>
        </w:trPr>
        <w:tc>
          <w:tcPr>
            <w:tcW w:w="6148" w:type="dxa"/>
            <w:gridSpan w:val="4"/>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5F1EA2" w:rsidRPr="005F1EA2" w:rsidRDefault="005F1EA2" w:rsidP="005F1EA2">
            <w:pPr>
              <w:spacing w:before="0" w:after="0"/>
              <w:rPr>
                <w:rFonts w:cs="Arial"/>
                <w:b/>
                <w:bCs/>
                <w:color w:val="FFFFFF"/>
                <w:sz w:val="22"/>
                <w:szCs w:val="22"/>
                <w:lang w:eastAsia="en-GB"/>
              </w:rPr>
            </w:pPr>
            <w:r w:rsidRPr="005F1EA2">
              <w:rPr>
                <w:rFonts w:cs="Arial"/>
                <w:b/>
                <w:bCs/>
                <w:color w:val="FFFFFF"/>
                <w:sz w:val="22"/>
                <w:szCs w:val="22"/>
                <w:lang w:eastAsia="en-GB"/>
              </w:rPr>
              <w:t>Change in no. households by tenure and HRP 2011-2030</w:t>
            </w:r>
          </w:p>
        </w:tc>
      </w:tr>
      <w:tr w:rsidR="005F1EA2" w:rsidRPr="005F1EA2" w:rsidTr="005F1EA2">
        <w:trPr>
          <w:trHeight w:val="585"/>
        </w:trPr>
        <w:tc>
          <w:tcPr>
            <w:tcW w:w="1843" w:type="dxa"/>
            <w:tcBorders>
              <w:top w:val="nil"/>
              <w:left w:val="single" w:sz="4" w:space="0" w:color="auto"/>
              <w:bottom w:val="nil"/>
              <w:right w:val="single" w:sz="4" w:space="0" w:color="auto"/>
            </w:tcBorders>
            <w:shd w:val="clear" w:color="000000" w:fill="008080"/>
            <w:noWrap/>
            <w:vAlign w:val="bottom"/>
            <w:hideMark/>
          </w:tcPr>
          <w:p w:rsidR="005F1EA2" w:rsidRPr="005F1EA2" w:rsidRDefault="005F1EA2" w:rsidP="005F1EA2">
            <w:pPr>
              <w:spacing w:before="0" w:after="0"/>
              <w:rPr>
                <w:rFonts w:cs="Arial"/>
                <w:b/>
                <w:bCs/>
                <w:color w:val="FFFFFF"/>
                <w:sz w:val="22"/>
                <w:szCs w:val="22"/>
                <w:lang w:eastAsia="en-GB"/>
              </w:rPr>
            </w:pPr>
            <w:r w:rsidRPr="005F1EA2">
              <w:rPr>
                <w:rFonts w:cs="Arial"/>
                <w:b/>
                <w:bCs/>
                <w:color w:val="FFFFFF"/>
                <w:sz w:val="22"/>
                <w:szCs w:val="22"/>
                <w:lang w:eastAsia="en-GB"/>
              </w:rPr>
              <w:t>HRP</w:t>
            </w:r>
          </w:p>
        </w:tc>
        <w:tc>
          <w:tcPr>
            <w:tcW w:w="1671" w:type="dxa"/>
            <w:tcBorders>
              <w:top w:val="single" w:sz="4" w:space="0" w:color="auto"/>
              <w:left w:val="nil"/>
              <w:bottom w:val="single" w:sz="4" w:space="0" w:color="auto"/>
              <w:right w:val="nil"/>
            </w:tcBorders>
            <w:shd w:val="clear" w:color="000000" w:fill="008080"/>
            <w:noWrap/>
            <w:vAlign w:val="bottom"/>
            <w:hideMark/>
          </w:tcPr>
          <w:p w:rsidR="005F1EA2" w:rsidRPr="005F1EA2" w:rsidRDefault="005F1EA2" w:rsidP="005F1EA2">
            <w:pPr>
              <w:spacing w:before="0" w:after="0"/>
              <w:rPr>
                <w:rFonts w:cs="Arial"/>
                <w:b/>
                <w:bCs/>
                <w:color w:val="FFFFFF"/>
                <w:sz w:val="22"/>
                <w:szCs w:val="22"/>
                <w:lang w:eastAsia="en-GB"/>
              </w:rPr>
            </w:pPr>
            <w:r w:rsidRPr="005F1EA2">
              <w:rPr>
                <w:rFonts w:cs="Arial"/>
                <w:b/>
                <w:bCs/>
                <w:color w:val="FFFFFF"/>
                <w:sz w:val="22"/>
                <w:szCs w:val="22"/>
                <w:lang w:eastAsia="en-GB"/>
              </w:rPr>
              <w:t>Tenure</w:t>
            </w:r>
          </w:p>
        </w:tc>
        <w:tc>
          <w:tcPr>
            <w:tcW w:w="1709" w:type="dxa"/>
            <w:tcBorders>
              <w:top w:val="single" w:sz="4" w:space="0" w:color="auto"/>
              <w:left w:val="nil"/>
              <w:bottom w:val="single" w:sz="4" w:space="0" w:color="auto"/>
              <w:right w:val="nil"/>
            </w:tcBorders>
            <w:shd w:val="clear" w:color="000000" w:fill="008080"/>
            <w:noWrap/>
            <w:vAlign w:val="bottom"/>
            <w:hideMark/>
          </w:tcPr>
          <w:p w:rsidR="005F1EA2" w:rsidRPr="005F1EA2" w:rsidRDefault="005F1EA2" w:rsidP="005F1EA2">
            <w:pPr>
              <w:spacing w:before="0" w:after="0"/>
              <w:rPr>
                <w:rFonts w:cs="Arial"/>
                <w:color w:val="FFFFFF"/>
                <w:sz w:val="22"/>
                <w:szCs w:val="22"/>
                <w:lang w:eastAsia="en-GB"/>
              </w:rPr>
            </w:pPr>
            <w:r w:rsidRPr="005F1EA2">
              <w:rPr>
                <w:rFonts w:cs="Arial"/>
                <w:color w:val="FFFFFF"/>
                <w:sz w:val="22"/>
                <w:szCs w:val="22"/>
                <w:lang w:eastAsia="en-GB"/>
              </w:rPr>
              <w:t> </w:t>
            </w:r>
          </w:p>
        </w:tc>
        <w:tc>
          <w:tcPr>
            <w:tcW w:w="925" w:type="dxa"/>
            <w:tcBorders>
              <w:top w:val="single" w:sz="4" w:space="0" w:color="auto"/>
              <w:left w:val="nil"/>
              <w:bottom w:val="single" w:sz="4" w:space="0" w:color="auto"/>
              <w:right w:val="single" w:sz="4" w:space="0" w:color="auto"/>
            </w:tcBorders>
            <w:shd w:val="clear" w:color="000000" w:fill="008080"/>
            <w:noWrap/>
            <w:vAlign w:val="bottom"/>
            <w:hideMark/>
          </w:tcPr>
          <w:p w:rsidR="005F1EA2" w:rsidRPr="005F1EA2" w:rsidRDefault="005F1EA2" w:rsidP="005F1EA2">
            <w:pPr>
              <w:spacing w:before="0" w:after="0"/>
              <w:rPr>
                <w:rFonts w:cs="Arial"/>
                <w:color w:val="FFFFFF"/>
                <w:sz w:val="22"/>
                <w:szCs w:val="22"/>
                <w:lang w:eastAsia="en-GB"/>
              </w:rPr>
            </w:pPr>
            <w:r w:rsidRPr="005F1EA2">
              <w:rPr>
                <w:rFonts w:cs="Arial"/>
                <w:color w:val="FFFFFF"/>
                <w:sz w:val="22"/>
                <w:szCs w:val="22"/>
                <w:lang w:eastAsia="en-GB"/>
              </w:rPr>
              <w:t> </w:t>
            </w:r>
          </w:p>
        </w:tc>
      </w:tr>
      <w:tr w:rsidR="005F1EA2" w:rsidRPr="005F1EA2" w:rsidTr="005F1EA2">
        <w:trPr>
          <w:trHeight w:val="300"/>
        </w:trPr>
        <w:tc>
          <w:tcPr>
            <w:tcW w:w="1843" w:type="dxa"/>
            <w:tcBorders>
              <w:top w:val="nil"/>
              <w:left w:val="single" w:sz="4" w:space="0" w:color="auto"/>
              <w:bottom w:val="single" w:sz="4" w:space="0" w:color="auto"/>
              <w:right w:val="single" w:sz="4" w:space="0" w:color="auto"/>
            </w:tcBorders>
            <w:shd w:val="clear" w:color="000000" w:fill="008080"/>
            <w:noWrap/>
            <w:vAlign w:val="bottom"/>
            <w:hideMark/>
          </w:tcPr>
          <w:p w:rsidR="005F1EA2" w:rsidRPr="005F1EA2" w:rsidRDefault="005F1EA2" w:rsidP="005F1EA2">
            <w:pPr>
              <w:spacing w:before="0" w:after="0"/>
              <w:rPr>
                <w:rFonts w:cs="Arial"/>
                <w:b/>
                <w:bCs/>
                <w:color w:val="FFFFFF"/>
                <w:sz w:val="22"/>
                <w:szCs w:val="22"/>
                <w:lang w:eastAsia="en-GB"/>
              </w:rPr>
            </w:pPr>
            <w:r w:rsidRPr="005F1EA2">
              <w:rPr>
                <w:rFonts w:cs="Arial"/>
                <w:b/>
                <w:bCs/>
                <w:color w:val="FFFFFF"/>
                <w:sz w:val="22"/>
                <w:szCs w:val="22"/>
                <w:lang w:eastAsia="en-GB"/>
              </w:rPr>
              <w:t> </w:t>
            </w:r>
          </w:p>
        </w:tc>
        <w:tc>
          <w:tcPr>
            <w:tcW w:w="1671" w:type="dxa"/>
            <w:tcBorders>
              <w:top w:val="nil"/>
              <w:left w:val="nil"/>
              <w:bottom w:val="single" w:sz="4" w:space="0" w:color="auto"/>
              <w:right w:val="single" w:sz="4" w:space="0" w:color="auto"/>
            </w:tcBorders>
            <w:shd w:val="clear" w:color="000000" w:fill="008080"/>
            <w:noWrap/>
            <w:vAlign w:val="bottom"/>
            <w:hideMark/>
          </w:tcPr>
          <w:p w:rsidR="005F1EA2" w:rsidRPr="005F1EA2" w:rsidRDefault="005F1EA2" w:rsidP="005F1EA2">
            <w:pPr>
              <w:spacing w:before="0" w:after="0"/>
              <w:jc w:val="center"/>
              <w:rPr>
                <w:rFonts w:cs="Arial"/>
                <w:b/>
                <w:bCs/>
                <w:color w:val="FFFFFF"/>
                <w:sz w:val="22"/>
                <w:szCs w:val="22"/>
                <w:lang w:eastAsia="en-GB"/>
              </w:rPr>
            </w:pPr>
            <w:r w:rsidRPr="005F1EA2">
              <w:rPr>
                <w:rFonts w:cs="Arial"/>
                <w:b/>
                <w:bCs/>
                <w:color w:val="FFFFFF"/>
                <w:sz w:val="22"/>
                <w:szCs w:val="22"/>
                <w:lang w:eastAsia="en-GB"/>
              </w:rPr>
              <w:t>Open Market</w:t>
            </w:r>
          </w:p>
        </w:tc>
        <w:tc>
          <w:tcPr>
            <w:tcW w:w="1709" w:type="dxa"/>
            <w:tcBorders>
              <w:top w:val="nil"/>
              <w:left w:val="nil"/>
              <w:bottom w:val="single" w:sz="4" w:space="0" w:color="auto"/>
              <w:right w:val="single" w:sz="4" w:space="0" w:color="auto"/>
            </w:tcBorders>
            <w:shd w:val="clear" w:color="000000" w:fill="008080"/>
            <w:noWrap/>
            <w:vAlign w:val="bottom"/>
            <w:hideMark/>
          </w:tcPr>
          <w:p w:rsidR="005F1EA2" w:rsidRPr="005F1EA2" w:rsidRDefault="005F1EA2" w:rsidP="005F1EA2">
            <w:pPr>
              <w:spacing w:before="0" w:after="0"/>
              <w:jc w:val="center"/>
              <w:rPr>
                <w:rFonts w:cs="Arial"/>
                <w:b/>
                <w:bCs/>
                <w:color w:val="FFFFFF"/>
                <w:sz w:val="22"/>
                <w:szCs w:val="22"/>
                <w:lang w:eastAsia="en-GB"/>
              </w:rPr>
            </w:pPr>
            <w:r w:rsidRPr="005F1EA2">
              <w:rPr>
                <w:rFonts w:cs="Arial"/>
                <w:b/>
                <w:bCs/>
                <w:color w:val="FFFFFF"/>
                <w:sz w:val="22"/>
                <w:szCs w:val="22"/>
                <w:lang w:eastAsia="en-GB"/>
              </w:rPr>
              <w:t>Affordable</w:t>
            </w:r>
          </w:p>
        </w:tc>
        <w:tc>
          <w:tcPr>
            <w:tcW w:w="925" w:type="dxa"/>
            <w:tcBorders>
              <w:top w:val="nil"/>
              <w:left w:val="nil"/>
              <w:bottom w:val="single" w:sz="4" w:space="0" w:color="auto"/>
              <w:right w:val="single" w:sz="4" w:space="0" w:color="auto"/>
            </w:tcBorders>
            <w:shd w:val="clear" w:color="000000" w:fill="008080"/>
            <w:noWrap/>
            <w:vAlign w:val="bottom"/>
            <w:hideMark/>
          </w:tcPr>
          <w:p w:rsidR="005F1EA2" w:rsidRPr="005F1EA2" w:rsidRDefault="005F1EA2" w:rsidP="005F1EA2">
            <w:pPr>
              <w:spacing w:before="0" w:after="0"/>
              <w:jc w:val="center"/>
              <w:rPr>
                <w:rFonts w:cs="Arial"/>
                <w:b/>
                <w:bCs/>
                <w:color w:val="FFFFFF"/>
                <w:sz w:val="22"/>
                <w:szCs w:val="22"/>
                <w:lang w:eastAsia="en-GB"/>
              </w:rPr>
            </w:pPr>
            <w:r w:rsidRPr="005F1EA2">
              <w:rPr>
                <w:rFonts w:cs="Arial"/>
                <w:b/>
                <w:bCs/>
                <w:color w:val="FFFFFF"/>
                <w:sz w:val="22"/>
                <w:szCs w:val="22"/>
                <w:lang w:eastAsia="en-GB"/>
              </w:rPr>
              <w:t>Total</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Under 25</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3199</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733</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3932</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25-34</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2715</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428</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3143</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35-44</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303</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48</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351</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45-54</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-4995</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-896</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-5891</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55-64</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-1785</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-343</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-2128</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65-74</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4171</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1162</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5332</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75-84</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7331</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2202</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9533</w:t>
            </w:r>
          </w:p>
        </w:tc>
      </w:tr>
      <w:tr w:rsidR="005F1EA2" w:rsidRPr="005F1EA2" w:rsidTr="005F1EA2">
        <w:trPr>
          <w:trHeight w:val="28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85+</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6007</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2220</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8226</w:t>
            </w:r>
          </w:p>
        </w:tc>
      </w:tr>
      <w:tr w:rsidR="005F1EA2" w:rsidRPr="005F1EA2" w:rsidTr="005F1EA2">
        <w:trPr>
          <w:trHeight w:val="300"/>
        </w:trPr>
        <w:tc>
          <w:tcPr>
            <w:tcW w:w="1843" w:type="dxa"/>
            <w:tcBorders>
              <w:top w:val="nil"/>
              <w:left w:val="single" w:sz="4" w:space="0" w:color="auto"/>
              <w:bottom w:val="nil"/>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Households</w:t>
            </w:r>
          </w:p>
        </w:tc>
        <w:tc>
          <w:tcPr>
            <w:tcW w:w="1671" w:type="dxa"/>
            <w:tcBorders>
              <w:top w:val="nil"/>
              <w:left w:val="nil"/>
              <w:bottom w:val="nil"/>
              <w:right w:val="nil"/>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p>
        </w:tc>
        <w:tc>
          <w:tcPr>
            <w:tcW w:w="1709" w:type="dxa"/>
            <w:tcBorders>
              <w:top w:val="nil"/>
              <w:left w:val="nil"/>
              <w:bottom w:val="nil"/>
              <w:right w:val="nil"/>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p>
        </w:tc>
        <w:tc>
          <w:tcPr>
            <w:tcW w:w="925" w:type="dxa"/>
            <w:tcBorders>
              <w:top w:val="nil"/>
              <w:left w:val="nil"/>
              <w:bottom w:val="nil"/>
              <w:right w:val="single" w:sz="4" w:space="0" w:color="auto"/>
            </w:tcBorders>
            <w:shd w:val="clear" w:color="auto" w:fill="auto"/>
            <w:noWrap/>
            <w:vAlign w:val="bottom"/>
            <w:hideMark/>
          </w:tcPr>
          <w:p w:rsidR="005F1EA2" w:rsidRPr="005F1EA2" w:rsidRDefault="005F1EA2" w:rsidP="005F1EA2">
            <w:pPr>
              <w:spacing w:before="0" w:after="0"/>
              <w:rPr>
                <w:rFonts w:cs="Arial"/>
                <w:color w:val="000000"/>
                <w:sz w:val="22"/>
                <w:szCs w:val="22"/>
                <w:lang w:eastAsia="en-GB"/>
              </w:rPr>
            </w:pPr>
            <w:r w:rsidRPr="005F1EA2">
              <w:rPr>
                <w:rFonts w:cs="Arial"/>
                <w:color w:val="000000"/>
                <w:sz w:val="22"/>
                <w:szCs w:val="22"/>
                <w:lang w:eastAsia="en-GB"/>
              </w:rPr>
              <w:t> </w:t>
            </w:r>
          </w:p>
        </w:tc>
      </w:tr>
      <w:tr w:rsidR="005F1EA2" w:rsidRPr="005F1EA2" w:rsidTr="005F1EA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Total</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16945</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5553</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22498</w:t>
            </w:r>
          </w:p>
        </w:tc>
      </w:tr>
      <w:tr w:rsidR="005F1EA2" w:rsidRPr="005F1EA2" w:rsidTr="005F1EA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Annual</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847</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278</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1125</w:t>
            </w:r>
          </w:p>
        </w:tc>
      </w:tr>
      <w:tr w:rsidR="005F1EA2" w:rsidRPr="005F1EA2" w:rsidTr="005F1EA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75.3</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24.7</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100.0</w:t>
            </w:r>
          </w:p>
        </w:tc>
      </w:tr>
      <w:tr w:rsidR="005F1EA2" w:rsidRPr="005F1EA2" w:rsidTr="005F1EA2">
        <w:trPr>
          <w:trHeight w:val="300"/>
        </w:trPr>
        <w:tc>
          <w:tcPr>
            <w:tcW w:w="1843" w:type="dxa"/>
            <w:tcBorders>
              <w:top w:val="nil"/>
              <w:left w:val="single" w:sz="4" w:space="0" w:color="auto"/>
              <w:bottom w:val="nil"/>
              <w:right w:val="nil"/>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Dwellings</w:t>
            </w:r>
          </w:p>
        </w:tc>
        <w:tc>
          <w:tcPr>
            <w:tcW w:w="1671" w:type="dxa"/>
            <w:tcBorders>
              <w:top w:val="nil"/>
              <w:left w:val="nil"/>
              <w:bottom w:val="nil"/>
              <w:right w:val="nil"/>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p>
        </w:tc>
        <w:tc>
          <w:tcPr>
            <w:tcW w:w="1709" w:type="dxa"/>
            <w:tcBorders>
              <w:top w:val="nil"/>
              <w:left w:val="nil"/>
              <w:bottom w:val="nil"/>
              <w:right w:val="nil"/>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p>
        </w:tc>
        <w:tc>
          <w:tcPr>
            <w:tcW w:w="925" w:type="dxa"/>
            <w:tcBorders>
              <w:top w:val="nil"/>
              <w:left w:val="nil"/>
              <w:bottom w:val="nil"/>
              <w:right w:val="single" w:sz="4" w:space="0" w:color="auto"/>
            </w:tcBorders>
            <w:shd w:val="clear" w:color="auto" w:fill="auto"/>
            <w:noWrap/>
            <w:vAlign w:val="bottom"/>
            <w:hideMark/>
          </w:tcPr>
          <w:p w:rsidR="005F1EA2" w:rsidRPr="005F1EA2" w:rsidRDefault="005F1EA2" w:rsidP="005F1EA2">
            <w:pPr>
              <w:spacing w:before="0" w:after="0"/>
              <w:jc w:val="center"/>
              <w:rPr>
                <w:rFonts w:cs="Arial"/>
                <w:color w:val="000000"/>
                <w:sz w:val="22"/>
                <w:szCs w:val="22"/>
                <w:lang w:eastAsia="en-GB"/>
              </w:rPr>
            </w:pPr>
            <w:r w:rsidRPr="005F1EA2">
              <w:rPr>
                <w:rFonts w:cs="Arial"/>
                <w:color w:val="000000"/>
                <w:sz w:val="22"/>
                <w:szCs w:val="22"/>
                <w:lang w:eastAsia="en-GB"/>
              </w:rPr>
              <w:t> </w:t>
            </w:r>
          </w:p>
        </w:tc>
      </w:tr>
      <w:tr w:rsidR="005F1EA2" w:rsidRPr="005F1EA2" w:rsidTr="005F1EA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Total</w:t>
            </w:r>
          </w:p>
        </w:tc>
        <w:tc>
          <w:tcPr>
            <w:tcW w:w="1671"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17678</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5793</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23472</w:t>
            </w:r>
          </w:p>
        </w:tc>
      </w:tr>
      <w:tr w:rsidR="005F1EA2" w:rsidRPr="005F1EA2" w:rsidTr="005F1EA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Annual</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884</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290</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1174</w:t>
            </w:r>
          </w:p>
        </w:tc>
      </w:tr>
      <w:tr w:rsidR="005F1EA2" w:rsidRPr="005F1EA2" w:rsidTr="005F1EA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rPr>
                <w:rFonts w:cs="Arial"/>
                <w:b/>
                <w:bCs/>
                <w:color w:val="000000"/>
                <w:sz w:val="22"/>
                <w:szCs w:val="22"/>
                <w:lang w:eastAsia="en-GB"/>
              </w:rPr>
            </w:pPr>
            <w:r w:rsidRPr="005F1EA2">
              <w:rPr>
                <w:rFonts w:cs="Arial"/>
                <w:b/>
                <w:bCs/>
                <w:color w:val="000000"/>
                <w:sz w:val="22"/>
                <w:szCs w:val="22"/>
                <w:lang w:eastAsia="en-GB"/>
              </w:rPr>
              <w:t>%</w:t>
            </w:r>
          </w:p>
        </w:tc>
        <w:tc>
          <w:tcPr>
            <w:tcW w:w="1671"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75.3</w:t>
            </w:r>
          </w:p>
        </w:tc>
        <w:tc>
          <w:tcPr>
            <w:tcW w:w="1709"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24.7</w:t>
            </w:r>
          </w:p>
        </w:tc>
        <w:tc>
          <w:tcPr>
            <w:tcW w:w="925" w:type="dxa"/>
            <w:tcBorders>
              <w:top w:val="nil"/>
              <w:left w:val="nil"/>
              <w:bottom w:val="single" w:sz="4" w:space="0" w:color="auto"/>
              <w:right w:val="single" w:sz="4" w:space="0" w:color="auto"/>
            </w:tcBorders>
            <w:shd w:val="clear" w:color="auto" w:fill="auto"/>
            <w:noWrap/>
            <w:vAlign w:val="bottom"/>
            <w:hideMark/>
          </w:tcPr>
          <w:p w:rsidR="005F1EA2" w:rsidRPr="005F1EA2" w:rsidRDefault="005F1EA2" w:rsidP="005F1EA2">
            <w:pPr>
              <w:spacing w:before="0" w:after="0"/>
              <w:jc w:val="center"/>
              <w:rPr>
                <w:rFonts w:cs="Arial"/>
                <w:b/>
                <w:bCs/>
                <w:color w:val="000000"/>
                <w:sz w:val="22"/>
                <w:szCs w:val="22"/>
                <w:lang w:eastAsia="en-GB"/>
              </w:rPr>
            </w:pPr>
            <w:r w:rsidRPr="005F1EA2">
              <w:rPr>
                <w:rFonts w:cs="Arial"/>
                <w:b/>
                <w:bCs/>
                <w:color w:val="000000"/>
                <w:sz w:val="22"/>
                <w:szCs w:val="22"/>
                <w:lang w:eastAsia="en-GB"/>
              </w:rPr>
              <w:t>100.0</w:t>
            </w:r>
          </w:p>
        </w:tc>
      </w:tr>
    </w:tbl>
    <w:p w:rsidR="005F1EA2" w:rsidRDefault="005F1EA2" w:rsidP="005D7D0B">
      <w:pPr>
        <w:pStyle w:val="Maintext"/>
        <w:numPr>
          <w:ilvl w:val="0"/>
          <w:numId w:val="0"/>
        </w:numPr>
        <w:ind w:firstLine="709"/>
      </w:pPr>
    </w:p>
    <w:p w:rsidR="00491459" w:rsidRDefault="00491459" w:rsidP="00491459">
      <w:pPr>
        <w:pStyle w:val="Maintext"/>
        <w:numPr>
          <w:ilvl w:val="1"/>
          <w:numId w:val="24"/>
        </w:numPr>
      </w:pPr>
      <w:r>
        <w:t>Table C4 translates household requirements into dwelling requirements and assumes a ratio of 1.0458 dwellings to households based on the 2011 census.  Overall, analysis suggests around 75.3% of household growth should be accommodated in open market dwelling stock and 24.7% in affordable/intermediate tenure dwelling stock.</w:t>
      </w:r>
    </w:p>
    <w:p w:rsidR="00491459" w:rsidRDefault="00491459" w:rsidP="005D7D0B">
      <w:pPr>
        <w:pStyle w:val="Maintext"/>
        <w:numPr>
          <w:ilvl w:val="0"/>
          <w:numId w:val="0"/>
        </w:numPr>
        <w:ind w:firstLine="709"/>
      </w:pPr>
    </w:p>
    <w:p w:rsidR="00F12261" w:rsidRPr="00F12261" w:rsidRDefault="00F12261" w:rsidP="00F12261">
      <w:pPr>
        <w:pStyle w:val="Maintext"/>
        <w:numPr>
          <w:ilvl w:val="0"/>
          <w:numId w:val="0"/>
        </w:numPr>
        <w:ind w:left="2160" w:hanging="1451"/>
      </w:pPr>
      <w:r w:rsidRPr="003230F9">
        <w:rPr>
          <w:b/>
        </w:rPr>
        <w:t>Table C</w:t>
      </w:r>
      <w:r>
        <w:rPr>
          <w:b/>
        </w:rPr>
        <w:t>4</w:t>
      </w:r>
      <w:r>
        <w:tab/>
        <w:t>Summary  of change on households and dwellings by tenure and HRP 2011-2030</w:t>
      </w:r>
    </w:p>
    <w:tbl>
      <w:tblPr>
        <w:tblW w:w="6520" w:type="dxa"/>
        <w:tblInd w:w="720" w:type="dxa"/>
        <w:tblLook w:val="04A0" w:firstRow="1" w:lastRow="0" w:firstColumn="1" w:lastColumn="0" w:noHBand="0" w:noVBand="1"/>
      </w:tblPr>
      <w:tblGrid>
        <w:gridCol w:w="1780"/>
        <w:gridCol w:w="1660"/>
        <w:gridCol w:w="2000"/>
        <w:gridCol w:w="1080"/>
      </w:tblGrid>
      <w:tr w:rsidR="00F12261" w:rsidRPr="00F12261" w:rsidTr="00F12261">
        <w:trPr>
          <w:trHeight w:val="300"/>
        </w:trPr>
        <w:tc>
          <w:tcPr>
            <w:tcW w:w="6520" w:type="dxa"/>
            <w:gridSpan w:val="4"/>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F12261" w:rsidRPr="00F12261" w:rsidRDefault="00F12261" w:rsidP="00F12261">
            <w:pPr>
              <w:spacing w:before="0" w:after="0"/>
              <w:rPr>
                <w:rFonts w:cs="Arial"/>
                <w:b/>
                <w:bCs/>
                <w:color w:val="FFFFFF"/>
                <w:sz w:val="22"/>
                <w:szCs w:val="22"/>
                <w:lang w:eastAsia="en-GB"/>
              </w:rPr>
            </w:pPr>
            <w:r w:rsidRPr="00F12261">
              <w:rPr>
                <w:rFonts w:cs="Arial"/>
                <w:b/>
                <w:bCs/>
                <w:color w:val="FFFFFF"/>
                <w:sz w:val="22"/>
                <w:szCs w:val="22"/>
                <w:lang w:eastAsia="en-GB"/>
              </w:rPr>
              <w:t>Change in no. households and dwellings by HRP 2011-2030</w:t>
            </w:r>
          </w:p>
        </w:tc>
      </w:tr>
      <w:tr w:rsidR="00F12261" w:rsidRPr="00F12261" w:rsidTr="00F12261">
        <w:trPr>
          <w:trHeight w:val="300"/>
        </w:trPr>
        <w:tc>
          <w:tcPr>
            <w:tcW w:w="1780" w:type="dxa"/>
            <w:tcBorders>
              <w:top w:val="nil"/>
              <w:left w:val="single" w:sz="4" w:space="0" w:color="auto"/>
              <w:bottom w:val="nil"/>
              <w:right w:val="single" w:sz="4" w:space="0" w:color="auto"/>
            </w:tcBorders>
            <w:shd w:val="clear" w:color="000000" w:fill="008080"/>
            <w:noWrap/>
            <w:vAlign w:val="bottom"/>
            <w:hideMark/>
          </w:tcPr>
          <w:p w:rsidR="00F12261" w:rsidRPr="00F12261" w:rsidRDefault="00F12261" w:rsidP="00F12261">
            <w:pPr>
              <w:spacing w:before="0" w:after="0"/>
              <w:rPr>
                <w:rFonts w:cs="Arial"/>
                <w:b/>
                <w:bCs/>
                <w:color w:val="FFFFFF"/>
                <w:sz w:val="22"/>
                <w:szCs w:val="22"/>
                <w:lang w:eastAsia="en-GB"/>
              </w:rPr>
            </w:pPr>
            <w:r w:rsidRPr="00F12261">
              <w:rPr>
                <w:rFonts w:cs="Arial"/>
                <w:b/>
                <w:bCs/>
                <w:color w:val="FFFFFF"/>
                <w:sz w:val="22"/>
                <w:szCs w:val="22"/>
                <w:lang w:eastAsia="en-GB"/>
              </w:rPr>
              <w:t> </w:t>
            </w:r>
          </w:p>
        </w:tc>
        <w:tc>
          <w:tcPr>
            <w:tcW w:w="1660" w:type="dxa"/>
            <w:tcBorders>
              <w:top w:val="single" w:sz="4" w:space="0" w:color="auto"/>
              <w:left w:val="nil"/>
              <w:bottom w:val="single" w:sz="4" w:space="0" w:color="auto"/>
              <w:right w:val="nil"/>
            </w:tcBorders>
            <w:shd w:val="clear" w:color="000000" w:fill="008080"/>
            <w:noWrap/>
            <w:vAlign w:val="bottom"/>
            <w:hideMark/>
          </w:tcPr>
          <w:p w:rsidR="00F12261" w:rsidRPr="00F12261" w:rsidRDefault="00F12261" w:rsidP="00F12261">
            <w:pPr>
              <w:spacing w:before="0" w:after="0"/>
              <w:rPr>
                <w:rFonts w:cs="Arial"/>
                <w:b/>
                <w:bCs/>
                <w:color w:val="FFFFFF"/>
                <w:sz w:val="22"/>
                <w:szCs w:val="22"/>
                <w:lang w:eastAsia="en-GB"/>
              </w:rPr>
            </w:pPr>
            <w:r w:rsidRPr="00F12261">
              <w:rPr>
                <w:rFonts w:cs="Arial"/>
                <w:b/>
                <w:bCs/>
                <w:color w:val="FFFFFF"/>
                <w:sz w:val="22"/>
                <w:szCs w:val="22"/>
                <w:lang w:eastAsia="en-GB"/>
              </w:rPr>
              <w:t>Tenure</w:t>
            </w:r>
          </w:p>
        </w:tc>
        <w:tc>
          <w:tcPr>
            <w:tcW w:w="2000" w:type="dxa"/>
            <w:tcBorders>
              <w:top w:val="single" w:sz="4" w:space="0" w:color="auto"/>
              <w:left w:val="nil"/>
              <w:bottom w:val="single" w:sz="4" w:space="0" w:color="auto"/>
              <w:right w:val="nil"/>
            </w:tcBorders>
            <w:shd w:val="clear" w:color="000000" w:fill="008080"/>
            <w:noWrap/>
            <w:vAlign w:val="bottom"/>
            <w:hideMark/>
          </w:tcPr>
          <w:p w:rsidR="00F12261" w:rsidRPr="00F12261" w:rsidRDefault="00F12261" w:rsidP="00F12261">
            <w:pPr>
              <w:spacing w:before="0" w:after="0"/>
              <w:rPr>
                <w:rFonts w:cs="Arial"/>
                <w:color w:val="FFFFFF"/>
                <w:sz w:val="22"/>
                <w:szCs w:val="22"/>
                <w:lang w:eastAsia="en-GB"/>
              </w:rPr>
            </w:pPr>
            <w:r w:rsidRPr="00F12261">
              <w:rPr>
                <w:rFonts w:cs="Arial"/>
                <w:color w:val="FFFFFF"/>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F12261" w:rsidRPr="00F12261" w:rsidRDefault="00F12261" w:rsidP="00F12261">
            <w:pPr>
              <w:spacing w:before="0" w:after="0"/>
              <w:rPr>
                <w:rFonts w:cs="Arial"/>
                <w:color w:val="FFFFFF"/>
                <w:sz w:val="22"/>
                <w:szCs w:val="22"/>
                <w:lang w:eastAsia="en-GB"/>
              </w:rPr>
            </w:pPr>
            <w:r w:rsidRPr="00F12261">
              <w:rPr>
                <w:rFonts w:cs="Arial"/>
                <w:color w:val="FFFFFF"/>
                <w:sz w:val="22"/>
                <w:szCs w:val="22"/>
                <w:lang w:eastAsia="en-GB"/>
              </w:rPr>
              <w:t> </w:t>
            </w:r>
          </w:p>
        </w:tc>
      </w:tr>
      <w:tr w:rsidR="00F12261" w:rsidRPr="00F12261" w:rsidTr="00F12261">
        <w:trPr>
          <w:trHeight w:val="300"/>
        </w:trPr>
        <w:tc>
          <w:tcPr>
            <w:tcW w:w="1780" w:type="dxa"/>
            <w:tcBorders>
              <w:top w:val="nil"/>
              <w:left w:val="single" w:sz="4" w:space="0" w:color="auto"/>
              <w:bottom w:val="single" w:sz="4" w:space="0" w:color="auto"/>
              <w:right w:val="single" w:sz="4" w:space="0" w:color="auto"/>
            </w:tcBorders>
            <w:shd w:val="clear" w:color="000000" w:fill="008080"/>
            <w:noWrap/>
            <w:vAlign w:val="bottom"/>
            <w:hideMark/>
          </w:tcPr>
          <w:p w:rsidR="00F12261" w:rsidRPr="00F12261" w:rsidRDefault="00F12261" w:rsidP="00F12261">
            <w:pPr>
              <w:spacing w:before="0" w:after="0"/>
              <w:rPr>
                <w:rFonts w:cs="Arial"/>
                <w:b/>
                <w:bCs/>
                <w:color w:val="FFFFFF"/>
                <w:sz w:val="22"/>
                <w:szCs w:val="22"/>
                <w:lang w:eastAsia="en-GB"/>
              </w:rPr>
            </w:pPr>
            <w:r w:rsidRPr="00F12261">
              <w:rPr>
                <w:rFonts w:cs="Arial"/>
                <w:b/>
                <w:bCs/>
                <w:color w:val="FFFFFF"/>
                <w:sz w:val="22"/>
                <w:szCs w:val="22"/>
                <w:lang w:eastAsia="en-GB"/>
              </w:rPr>
              <w:t> </w:t>
            </w:r>
          </w:p>
        </w:tc>
        <w:tc>
          <w:tcPr>
            <w:tcW w:w="1660" w:type="dxa"/>
            <w:tcBorders>
              <w:top w:val="nil"/>
              <w:left w:val="nil"/>
              <w:bottom w:val="single" w:sz="4" w:space="0" w:color="auto"/>
              <w:right w:val="single" w:sz="4" w:space="0" w:color="auto"/>
            </w:tcBorders>
            <w:shd w:val="clear" w:color="000000" w:fill="008080"/>
            <w:noWrap/>
            <w:vAlign w:val="bottom"/>
            <w:hideMark/>
          </w:tcPr>
          <w:p w:rsidR="00F12261" w:rsidRPr="00F12261" w:rsidRDefault="00F12261" w:rsidP="00F12261">
            <w:pPr>
              <w:spacing w:before="0" w:after="0"/>
              <w:jc w:val="center"/>
              <w:rPr>
                <w:rFonts w:cs="Arial"/>
                <w:b/>
                <w:bCs/>
                <w:color w:val="FFFFFF"/>
                <w:sz w:val="22"/>
                <w:szCs w:val="22"/>
                <w:lang w:eastAsia="en-GB"/>
              </w:rPr>
            </w:pPr>
            <w:r w:rsidRPr="00F12261">
              <w:rPr>
                <w:rFonts w:cs="Arial"/>
                <w:b/>
                <w:bCs/>
                <w:color w:val="FFFFFF"/>
                <w:sz w:val="22"/>
                <w:szCs w:val="22"/>
                <w:lang w:eastAsia="en-GB"/>
              </w:rPr>
              <w:t>Open Market</w:t>
            </w:r>
          </w:p>
        </w:tc>
        <w:tc>
          <w:tcPr>
            <w:tcW w:w="2000" w:type="dxa"/>
            <w:tcBorders>
              <w:top w:val="nil"/>
              <w:left w:val="nil"/>
              <w:bottom w:val="single" w:sz="4" w:space="0" w:color="auto"/>
              <w:right w:val="single" w:sz="4" w:space="0" w:color="auto"/>
            </w:tcBorders>
            <w:shd w:val="clear" w:color="000000" w:fill="008080"/>
            <w:noWrap/>
            <w:vAlign w:val="bottom"/>
            <w:hideMark/>
          </w:tcPr>
          <w:p w:rsidR="00F12261" w:rsidRPr="00F12261" w:rsidRDefault="00F12261" w:rsidP="00F12261">
            <w:pPr>
              <w:spacing w:before="0" w:after="0"/>
              <w:jc w:val="center"/>
              <w:rPr>
                <w:rFonts w:cs="Arial"/>
                <w:b/>
                <w:bCs/>
                <w:color w:val="FFFFFF"/>
                <w:sz w:val="22"/>
                <w:szCs w:val="22"/>
                <w:lang w:eastAsia="en-GB"/>
              </w:rPr>
            </w:pPr>
            <w:r w:rsidRPr="00F12261">
              <w:rPr>
                <w:rFonts w:cs="Arial"/>
                <w:b/>
                <w:bCs/>
                <w:color w:val="FFFFFF"/>
                <w:sz w:val="22"/>
                <w:szCs w:val="22"/>
                <w:lang w:eastAsia="en-GB"/>
              </w:rPr>
              <w:t>Affordable</w:t>
            </w:r>
          </w:p>
        </w:tc>
        <w:tc>
          <w:tcPr>
            <w:tcW w:w="1080" w:type="dxa"/>
            <w:tcBorders>
              <w:top w:val="nil"/>
              <w:left w:val="nil"/>
              <w:bottom w:val="single" w:sz="4" w:space="0" w:color="auto"/>
              <w:right w:val="single" w:sz="4" w:space="0" w:color="auto"/>
            </w:tcBorders>
            <w:shd w:val="clear" w:color="000000" w:fill="008080"/>
            <w:noWrap/>
            <w:vAlign w:val="bottom"/>
            <w:hideMark/>
          </w:tcPr>
          <w:p w:rsidR="00F12261" w:rsidRPr="00F12261" w:rsidRDefault="00F12261" w:rsidP="00F12261">
            <w:pPr>
              <w:spacing w:before="0" w:after="0"/>
              <w:jc w:val="center"/>
              <w:rPr>
                <w:rFonts w:cs="Arial"/>
                <w:b/>
                <w:bCs/>
                <w:color w:val="FFFFFF"/>
                <w:sz w:val="22"/>
                <w:szCs w:val="22"/>
                <w:lang w:eastAsia="en-GB"/>
              </w:rPr>
            </w:pPr>
            <w:r w:rsidRPr="00F12261">
              <w:rPr>
                <w:rFonts w:cs="Arial"/>
                <w:b/>
                <w:bCs/>
                <w:color w:val="FFFFFF"/>
                <w:sz w:val="22"/>
                <w:szCs w:val="22"/>
                <w:lang w:eastAsia="en-GB"/>
              </w:rPr>
              <w:t>Total</w:t>
            </w:r>
          </w:p>
        </w:tc>
      </w:tr>
      <w:tr w:rsidR="00F12261" w:rsidRPr="00F12261" w:rsidTr="00F12261">
        <w:trPr>
          <w:trHeight w:val="300"/>
        </w:trPr>
        <w:tc>
          <w:tcPr>
            <w:tcW w:w="1780" w:type="dxa"/>
            <w:tcBorders>
              <w:top w:val="nil"/>
              <w:left w:val="single" w:sz="4" w:space="0" w:color="auto"/>
              <w:bottom w:val="nil"/>
              <w:right w:val="single" w:sz="4" w:space="0" w:color="auto"/>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Households</w:t>
            </w:r>
          </w:p>
        </w:tc>
        <w:tc>
          <w:tcPr>
            <w:tcW w:w="1660" w:type="dxa"/>
            <w:tcBorders>
              <w:top w:val="nil"/>
              <w:left w:val="nil"/>
              <w:bottom w:val="nil"/>
              <w:right w:val="nil"/>
            </w:tcBorders>
            <w:shd w:val="clear" w:color="auto" w:fill="auto"/>
            <w:noWrap/>
            <w:vAlign w:val="bottom"/>
            <w:hideMark/>
          </w:tcPr>
          <w:p w:rsidR="00F12261" w:rsidRPr="00F12261" w:rsidRDefault="00F12261" w:rsidP="00F12261">
            <w:pPr>
              <w:spacing w:before="0" w:after="0"/>
              <w:rPr>
                <w:rFonts w:cs="Arial"/>
                <w:color w:val="000000"/>
                <w:sz w:val="22"/>
                <w:szCs w:val="22"/>
                <w:lang w:eastAsia="en-GB"/>
              </w:rPr>
            </w:pPr>
          </w:p>
        </w:tc>
        <w:tc>
          <w:tcPr>
            <w:tcW w:w="2000" w:type="dxa"/>
            <w:tcBorders>
              <w:top w:val="nil"/>
              <w:left w:val="nil"/>
              <w:bottom w:val="nil"/>
              <w:right w:val="nil"/>
            </w:tcBorders>
            <w:shd w:val="clear" w:color="auto" w:fill="auto"/>
            <w:noWrap/>
            <w:vAlign w:val="bottom"/>
            <w:hideMark/>
          </w:tcPr>
          <w:p w:rsidR="00F12261" w:rsidRPr="00F12261" w:rsidRDefault="00F12261" w:rsidP="00F12261">
            <w:pPr>
              <w:spacing w:before="0" w:after="0"/>
              <w:rPr>
                <w:rFonts w:cs="Arial"/>
                <w:color w:val="000000"/>
                <w:sz w:val="22"/>
                <w:szCs w:val="22"/>
                <w:lang w:eastAsia="en-GB"/>
              </w:rPr>
            </w:pPr>
          </w:p>
        </w:tc>
        <w:tc>
          <w:tcPr>
            <w:tcW w:w="1080" w:type="dxa"/>
            <w:tcBorders>
              <w:top w:val="nil"/>
              <w:left w:val="nil"/>
              <w:bottom w:val="nil"/>
              <w:right w:val="single" w:sz="4" w:space="0" w:color="auto"/>
            </w:tcBorders>
            <w:shd w:val="clear" w:color="auto" w:fill="auto"/>
            <w:noWrap/>
            <w:vAlign w:val="bottom"/>
            <w:hideMark/>
          </w:tcPr>
          <w:p w:rsidR="00F12261" w:rsidRPr="00F12261" w:rsidRDefault="00F12261" w:rsidP="00F12261">
            <w:pPr>
              <w:spacing w:before="0" w:after="0"/>
              <w:rPr>
                <w:rFonts w:cs="Arial"/>
                <w:color w:val="000000"/>
                <w:sz w:val="22"/>
                <w:szCs w:val="22"/>
                <w:lang w:eastAsia="en-GB"/>
              </w:rPr>
            </w:pPr>
            <w:r w:rsidRPr="00F12261">
              <w:rPr>
                <w:rFonts w:cs="Arial"/>
                <w:color w:val="000000"/>
                <w:sz w:val="22"/>
                <w:szCs w:val="22"/>
                <w:lang w:eastAsia="en-GB"/>
              </w:rPr>
              <w:t> </w:t>
            </w:r>
          </w:p>
        </w:tc>
      </w:tr>
      <w:tr w:rsidR="00F12261" w:rsidRPr="00F12261" w:rsidTr="00F12261">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Total</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16945</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5553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22498</w:t>
            </w:r>
          </w:p>
        </w:tc>
      </w:tr>
      <w:tr w:rsidR="00F12261" w:rsidRPr="00F12261" w:rsidTr="00F12261">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Annual</w:t>
            </w:r>
          </w:p>
        </w:tc>
        <w:tc>
          <w:tcPr>
            <w:tcW w:w="166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847</w:t>
            </w:r>
          </w:p>
        </w:tc>
        <w:tc>
          <w:tcPr>
            <w:tcW w:w="200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278</w:t>
            </w:r>
          </w:p>
        </w:tc>
        <w:tc>
          <w:tcPr>
            <w:tcW w:w="108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1125</w:t>
            </w:r>
          </w:p>
        </w:tc>
      </w:tr>
      <w:tr w:rsidR="00F12261" w:rsidRPr="00F12261" w:rsidTr="00F12261">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w:t>
            </w:r>
          </w:p>
        </w:tc>
        <w:tc>
          <w:tcPr>
            <w:tcW w:w="166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
                <w:bCs/>
                <w:color w:val="000000"/>
                <w:sz w:val="22"/>
                <w:szCs w:val="22"/>
                <w:lang w:eastAsia="en-GB"/>
              </w:rPr>
            </w:pPr>
            <w:r w:rsidRPr="00F12261">
              <w:rPr>
                <w:rFonts w:cs="Arial"/>
                <w:b/>
                <w:bCs/>
                <w:color w:val="000000"/>
                <w:sz w:val="22"/>
                <w:szCs w:val="22"/>
                <w:lang w:eastAsia="en-GB"/>
              </w:rPr>
              <w:t>75.3</w:t>
            </w:r>
          </w:p>
        </w:tc>
        <w:tc>
          <w:tcPr>
            <w:tcW w:w="200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
                <w:bCs/>
                <w:color w:val="000000"/>
                <w:sz w:val="22"/>
                <w:szCs w:val="22"/>
                <w:lang w:eastAsia="en-GB"/>
              </w:rPr>
            </w:pPr>
            <w:r w:rsidRPr="00F12261">
              <w:rPr>
                <w:rFonts w:cs="Arial"/>
                <w:b/>
                <w:bCs/>
                <w:color w:val="000000"/>
                <w:sz w:val="22"/>
                <w:szCs w:val="22"/>
                <w:lang w:eastAsia="en-GB"/>
              </w:rPr>
              <w:t>24.7</w:t>
            </w:r>
          </w:p>
        </w:tc>
        <w:tc>
          <w:tcPr>
            <w:tcW w:w="108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
                <w:bCs/>
                <w:color w:val="000000"/>
                <w:sz w:val="22"/>
                <w:szCs w:val="22"/>
                <w:lang w:eastAsia="en-GB"/>
              </w:rPr>
            </w:pPr>
            <w:r w:rsidRPr="00F12261">
              <w:rPr>
                <w:rFonts w:cs="Arial"/>
                <w:b/>
                <w:bCs/>
                <w:color w:val="000000"/>
                <w:sz w:val="22"/>
                <w:szCs w:val="22"/>
                <w:lang w:eastAsia="en-GB"/>
              </w:rPr>
              <w:t>100.0</w:t>
            </w:r>
          </w:p>
        </w:tc>
      </w:tr>
      <w:tr w:rsidR="00F12261" w:rsidRPr="00F12261" w:rsidTr="00F12261">
        <w:trPr>
          <w:trHeight w:val="300"/>
        </w:trPr>
        <w:tc>
          <w:tcPr>
            <w:tcW w:w="1780" w:type="dxa"/>
            <w:tcBorders>
              <w:top w:val="nil"/>
              <w:left w:val="single" w:sz="4" w:space="0" w:color="auto"/>
              <w:bottom w:val="nil"/>
              <w:right w:val="nil"/>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Dwellings</w:t>
            </w:r>
          </w:p>
        </w:tc>
        <w:tc>
          <w:tcPr>
            <w:tcW w:w="1660" w:type="dxa"/>
            <w:tcBorders>
              <w:top w:val="nil"/>
              <w:left w:val="nil"/>
              <w:bottom w:val="nil"/>
              <w:right w:val="nil"/>
            </w:tcBorders>
            <w:shd w:val="clear" w:color="auto" w:fill="auto"/>
            <w:noWrap/>
            <w:vAlign w:val="bottom"/>
            <w:hideMark/>
          </w:tcPr>
          <w:p w:rsidR="00F12261" w:rsidRPr="00F12261" w:rsidRDefault="00F12261" w:rsidP="00F12261">
            <w:pPr>
              <w:spacing w:before="0" w:after="0"/>
              <w:jc w:val="center"/>
              <w:rPr>
                <w:rFonts w:cs="Arial"/>
                <w:color w:val="000000"/>
                <w:sz w:val="22"/>
                <w:szCs w:val="22"/>
                <w:lang w:eastAsia="en-GB"/>
              </w:rPr>
            </w:pPr>
          </w:p>
        </w:tc>
        <w:tc>
          <w:tcPr>
            <w:tcW w:w="2000" w:type="dxa"/>
            <w:tcBorders>
              <w:top w:val="nil"/>
              <w:left w:val="nil"/>
              <w:bottom w:val="nil"/>
              <w:right w:val="nil"/>
            </w:tcBorders>
            <w:shd w:val="clear" w:color="auto" w:fill="auto"/>
            <w:noWrap/>
            <w:vAlign w:val="bottom"/>
            <w:hideMark/>
          </w:tcPr>
          <w:p w:rsidR="00F12261" w:rsidRPr="00F12261" w:rsidRDefault="00F12261" w:rsidP="00F12261">
            <w:pPr>
              <w:spacing w:before="0" w:after="0"/>
              <w:jc w:val="center"/>
              <w:rPr>
                <w:rFonts w:cs="Arial"/>
                <w:color w:val="000000"/>
                <w:sz w:val="22"/>
                <w:szCs w:val="22"/>
                <w:lang w:eastAsia="en-GB"/>
              </w:rPr>
            </w:pPr>
          </w:p>
        </w:tc>
        <w:tc>
          <w:tcPr>
            <w:tcW w:w="1080" w:type="dxa"/>
            <w:tcBorders>
              <w:top w:val="nil"/>
              <w:left w:val="nil"/>
              <w:bottom w:val="nil"/>
              <w:right w:val="single" w:sz="4" w:space="0" w:color="auto"/>
            </w:tcBorders>
            <w:shd w:val="clear" w:color="auto" w:fill="auto"/>
            <w:noWrap/>
            <w:vAlign w:val="bottom"/>
            <w:hideMark/>
          </w:tcPr>
          <w:p w:rsidR="00F12261" w:rsidRPr="00F12261" w:rsidRDefault="00F12261" w:rsidP="00F12261">
            <w:pPr>
              <w:spacing w:before="0" w:after="0"/>
              <w:jc w:val="center"/>
              <w:rPr>
                <w:rFonts w:cs="Arial"/>
                <w:color w:val="000000"/>
                <w:sz w:val="22"/>
                <w:szCs w:val="22"/>
                <w:lang w:eastAsia="en-GB"/>
              </w:rPr>
            </w:pPr>
            <w:r w:rsidRPr="00F12261">
              <w:rPr>
                <w:rFonts w:cs="Arial"/>
                <w:color w:val="000000"/>
                <w:sz w:val="22"/>
                <w:szCs w:val="22"/>
                <w:lang w:eastAsia="en-GB"/>
              </w:rPr>
              <w:t> </w:t>
            </w:r>
          </w:p>
        </w:tc>
      </w:tr>
      <w:tr w:rsidR="00F12261" w:rsidRPr="00F12261" w:rsidTr="00F12261">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Total</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17678</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5793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23472</w:t>
            </w:r>
          </w:p>
        </w:tc>
      </w:tr>
      <w:tr w:rsidR="00F12261" w:rsidRPr="00F12261" w:rsidTr="00F12261">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Annual</w:t>
            </w:r>
          </w:p>
        </w:tc>
        <w:tc>
          <w:tcPr>
            <w:tcW w:w="166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884</w:t>
            </w:r>
          </w:p>
        </w:tc>
        <w:tc>
          <w:tcPr>
            <w:tcW w:w="200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290</w:t>
            </w:r>
          </w:p>
        </w:tc>
        <w:tc>
          <w:tcPr>
            <w:tcW w:w="108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Cs/>
                <w:color w:val="000000"/>
                <w:sz w:val="22"/>
                <w:szCs w:val="22"/>
                <w:lang w:eastAsia="en-GB"/>
              </w:rPr>
            </w:pPr>
            <w:r w:rsidRPr="00F12261">
              <w:rPr>
                <w:rFonts w:cs="Arial"/>
                <w:bCs/>
                <w:color w:val="000000"/>
                <w:sz w:val="22"/>
                <w:szCs w:val="22"/>
                <w:lang w:eastAsia="en-GB"/>
              </w:rPr>
              <w:t>1174</w:t>
            </w:r>
          </w:p>
        </w:tc>
      </w:tr>
      <w:tr w:rsidR="00F12261" w:rsidRPr="00F12261" w:rsidTr="00F12261">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rPr>
                <w:rFonts w:cs="Arial"/>
                <w:b/>
                <w:bCs/>
                <w:color w:val="000000"/>
                <w:sz w:val="22"/>
                <w:szCs w:val="22"/>
                <w:lang w:eastAsia="en-GB"/>
              </w:rPr>
            </w:pPr>
            <w:r w:rsidRPr="00F12261">
              <w:rPr>
                <w:rFonts w:cs="Arial"/>
                <w:b/>
                <w:bCs/>
                <w:color w:val="000000"/>
                <w:sz w:val="22"/>
                <w:szCs w:val="22"/>
                <w:lang w:eastAsia="en-GB"/>
              </w:rPr>
              <w:t>%</w:t>
            </w:r>
          </w:p>
        </w:tc>
        <w:tc>
          <w:tcPr>
            <w:tcW w:w="166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
                <w:bCs/>
                <w:color w:val="000000"/>
                <w:sz w:val="22"/>
                <w:szCs w:val="22"/>
                <w:lang w:eastAsia="en-GB"/>
              </w:rPr>
            </w:pPr>
            <w:r w:rsidRPr="00F12261">
              <w:rPr>
                <w:rFonts w:cs="Arial"/>
                <w:b/>
                <w:bCs/>
                <w:color w:val="000000"/>
                <w:sz w:val="22"/>
                <w:szCs w:val="22"/>
                <w:lang w:eastAsia="en-GB"/>
              </w:rPr>
              <w:t>75.3</w:t>
            </w:r>
          </w:p>
        </w:tc>
        <w:tc>
          <w:tcPr>
            <w:tcW w:w="200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
                <w:bCs/>
                <w:color w:val="000000"/>
                <w:sz w:val="22"/>
                <w:szCs w:val="22"/>
                <w:lang w:eastAsia="en-GB"/>
              </w:rPr>
            </w:pPr>
            <w:r w:rsidRPr="00F12261">
              <w:rPr>
                <w:rFonts w:cs="Arial"/>
                <w:b/>
                <w:bCs/>
                <w:color w:val="000000"/>
                <w:sz w:val="22"/>
                <w:szCs w:val="22"/>
                <w:lang w:eastAsia="en-GB"/>
              </w:rPr>
              <w:t>24.7</w:t>
            </w:r>
          </w:p>
        </w:tc>
        <w:tc>
          <w:tcPr>
            <w:tcW w:w="1080" w:type="dxa"/>
            <w:tcBorders>
              <w:top w:val="nil"/>
              <w:left w:val="nil"/>
              <w:bottom w:val="single" w:sz="4" w:space="0" w:color="auto"/>
              <w:right w:val="single" w:sz="4" w:space="0" w:color="auto"/>
            </w:tcBorders>
            <w:shd w:val="clear" w:color="auto" w:fill="auto"/>
            <w:noWrap/>
            <w:vAlign w:val="bottom"/>
            <w:hideMark/>
          </w:tcPr>
          <w:p w:rsidR="00F12261" w:rsidRPr="00F12261" w:rsidRDefault="00F12261" w:rsidP="00F12261">
            <w:pPr>
              <w:spacing w:before="0" w:after="0"/>
              <w:jc w:val="center"/>
              <w:rPr>
                <w:rFonts w:cs="Arial"/>
                <w:b/>
                <w:bCs/>
                <w:color w:val="000000"/>
                <w:sz w:val="22"/>
                <w:szCs w:val="22"/>
                <w:lang w:eastAsia="en-GB"/>
              </w:rPr>
            </w:pPr>
            <w:r w:rsidRPr="00F12261">
              <w:rPr>
                <w:rFonts w:cs="Arial"/>
                <w:b/>
                <w:bCs/>
                <w:color w:val="000000"/>
                <w:sz w:val="22"/>
                <w:szCs w:val="22"/>
                <w:lang w:eastAsia="en-GB"/>
              </w:rPr>
              <w:t>100.0</w:t>
            </w:r>
          </w:p>
        </w:tc>
      </w:tr>
    </w:tbl>
    <w:p w:rsidR="00F12261" w:rsidRDefault="00F12261" w:rsidP="00F12261">
      <w:pPr>
        <w:pStyle w:val="Maintext"/>
        <w:numPr>
          <w:ilvl w:val="0"/>
          <w:numId w:val="0"/>
        </w:numPr>
        <w:ind w:left="709" w:hanging="709"/>
      </w:pPr>
    </w:p>
    <w:p w:rsidR="005F1EA2" w:rsidRDefault="005F1EA2" w:rsidP="005D7D0B">
      <w:pPr>
        <w:pStyle w:val="Maintext"/>
        <w:numPr>
          <w:ilvl w:val="0"/>
          <w:numId w:val="0"/>
        </w:numPr>
        <w:ind w:firstLine="709"/>
      </w:pPr>
    </w:p>
    <w:p w:rsidR="00984A5F" w:rsidRDefault="00984A5F" w:rsidP="00EE6B85">
      <w:pPr>
        <w:pStyle w:val="Maintext"/>
        <w:numPr>
          <w:ilvl w:val="0"/>
          <w:numId w:val="0"/>
        </w:numPr>
        <w:ind w:left="709"/>
      </w:pPr>
    </w:p>
    <w:p w:rsidR="00984A5F" w:rsidRDefault="00984A5F" w:rsidP="00EE6B85">
      <w:pPr>
        <w:pStyle w:val="Maintext"/>
        <w:numPr>
          <w:ilvl w:val="0"/>
          <w:numId w:val="0"/>
        </w:numPr>
        <w:ind w:left="709"/>
      </w:pPr>
    </w:p>
    <w:p w:rsidR="00984A5F" w:rsidRDefault="00984A5F" w:rsidP="00EE6B85">
      <w:pPr>
        <w:pStyle w:val="Maintext"/>
        <w:numPr>
          <w:ilvl w:val="0"/>
          <w:numId w:val="0"/>
        </w:numPr>
        <w:ind w:left="709"/>
      </w:pPr>
    </w:p>
    <w:p w:rsidR="00EE6B85" w:rsidRDefault="00EE6B85" w:rsidP="007E46FA">
      <w:pPr>
        <w:pStyle w:val="Maintext"/>
        <w:numPr>
          <w:ilvl w:val="1"/>
          <w:numId w:val="24"/>
        </w:numPr>
      </w:pPr>
      <w:r>
        <w:t>It is important to reiterate that this analysis focuses on household numbers and these do not necessarily relate to dwelling targets.</w:t>
      </w:r>
      <w:r w:rsidR="00E047E9">
        <w:t xml:space="preserve"> </w:t>
      </w:r>
    </w:p>
    <w:p w:rsidR="00EE6B85" w:rsidRDefault="00EE6B85" w:rsidP="007E46FA">
      <w:pPr>
        <w:pStyle w:val="Maintext"/>
        <w:numPr>
          <w:ilvl w:val="1"/>
          <w:numId w:val="24"/>
        </w:numPr>
      </w:pPr>
      <w:r>
        <w:t>Another important trend is the growth in the number of older</w:t>
      </w:r>
      <w:r w:rsidR="00E047E9">
        <w:t xml:space="preserve"> people living in </w:t>
      </w:r>
      <w:r w:rsidR="00EE7591">
        <w:t>County Durham</w:t>
      </w:r>
      <w:r w:rsidR="00E047E9">
        <w:t>.</w:t>
      </w:r>
      <w:r w:rsidR="00E371DD">
        <w:t xml:space="preserve">  By 2030</w:t>
      </w:r>
      <w:r w:rsidR="00EE7591">
        <w:t xml:space="preserve">, </w:t>
      </w:r>
      <w:r w:rsidR="0033088B">
        <w:t xml:space="preserve">Durham </w:t>
      </w:r>
      <w:r w:rsidR="00AE4DA1">
        <w:t>Coun</w:t>
      </w:r>
      <w:r w:rsidR="00491459">
        <w:t>ty Council 2011</w:t>
      </w:r>
      <w:r w:rsidR="00AE4DA1">
        <w:t>-</w:t>
      </w:r>
      <w:r>
        <w:t>based population projec</w:t>
      </w:r>
      <w:r w:rsidR="00EE7591">
        <w:t xml:space="preserve">tions indicate there will be </w:t>
      </w:r>
      <w:r w:rsidR="00491459">
        <w:t>138,402</w:t>
      </w:r>
      <w:r w:rsidR="0033088B">
        <w:t xml:space="preserve"> </w:t>
      </w:r>
      <w:r>
        <w:t xml:space="preserve">residents </w:t>
      </w:r>
      <w:r w:rsidR="00491459">
        <w:t>aged 65</w:t>
      </w:r>
      <w:r w:rsidR="00EE7591">
        <w:t xml:space="preserve"> or over compared with </w:t>
      </w:r>
      <w:r w:rsidR="00D54492">
        <w:t>93,014</w:t>
      </w:r>
      <w:r w:rsidR="0033088B">
        <w:t xml:space="preserve"> </w:t>
      </w:r>
      <w:r w:rsidR="00D54492">
        <w:t>in 2011</w:t>
      </w:r>
      <w:r>
        <w:t xml:space="preserve">. This demographic change will have significant policy implications including the range of properties required and the increased level of support and assistance which will be required.  In terms of new housing provision, the life time homes standard will need considering as part of the Local Development Framework suite of documents.  Asking for a minimum percentage of new homes to be developed using these standards will avoid unnecessary and costly adaptations in the future, and allow older people to enjoy their home, which is flexible in meeting their requirements as they get older. New markets should be explored given that around </w:t>
      </w:r>
      <w:r w:rsidR="00754000">
        <w:t>21.5% are considering buying on the open market, 21.2</w:t>
      </w:r>
      <w:r>
        <w:t xml:space="preserve">% </w:t>
      </w:r>
      <w:r w:rsidR="00754000">
        <w:t xml:space="preserve">are </w:t>
      </w:r>
      <w:r>
        <w:t>interested in renting sheltered</w:t>
      </w:r>
      <w:r w:rsidR="00754000">
        <w:t xml:space="preserve"> accommodation, 16.4</w:t>
      </w:r>
      <w:r>
        <w:t>%</w:t>
      </w:r>
      <w:r w:rsidR="00754000">
        <w:t xml:space="preserve"> in</w:t>
      </w:r>
      <w:r>
        <w:t xml:space="preserve"> renting extra care accommodation and </w:t>
      </w:r>
      <w:r w:rsidR="00754000">
        <w:t xml:space="preserve">8.8% living in a co-housing scheme. </w:t>
      </w:r>
      <w:r>
        <w:t xml:space="preserve">There is </w:t>
      </w:r>
      <w:r w:rsidR="00754000">
        <w:t xml:space="preserve">also </w:t>
      </w:r>
      <w:r>
        <w:t>going to be an increased requirement for support and assistance in the home to be met through a range of agencies and initiatives such as ‘handyperson’ schemes.</w:t>
      </w:r>
    </w:p>
    <w:p w:rsidR="00D54492" w:rsidRDefault="00D54492" w:rsidP="00EE6B85"/>
    <w:p w:rsidR="00EE6B85" w:rsidRPr="007D39DF" w:rsidRDefault="00EE6B85" w:rsidP="00EE6B85">
      <w:pPr>
        <w:pStyle w:val="Maintext"/>
        <w:numPr>
          <w:ilvl w:val="0"/>
          <w:numId w:val="0"/>
        </w:numPr>
        <w:ind w:left="709"/>
        <w:rPr>
          <w:b/>
        </w:rPr>
      </w:pPr>
      <w:r w:rsidRPr="007D39DF">
        <w:rPr>
          <w:b/>
        </w:rPr>
        <w:t>Concluding comments</w:t>
      </w:r>
    </w:p>
    <w:p w:rsidR="00EE6B85" w:rsidRDefault="00EE6B85" w:rsidP="007E46FA">
      <w:pPr>
        <w:pStyle w:val="Maintext"/>
        <w:numPr>
          <w:ilvl w:val="1"/>
          <w:numId w:val="24"/>
        </w:numPr>
      </w:pPr>
      <w:r>
        <w:t xml:space="preserve">Various data have been modelled to consider the potential change in the number of households and population of </w:t>
      </w:r>
      <w:r w:rsidR="00754000">
        <w:t>County Durham</w:t>
      </w:r>
      <w:r>
        <w:t xml:space="preserve">. Although population and the number of households </w:t>
      </w:r>
      <w:r w:rsidR="00582920">
        <w:t>are</w:t>
      </w:r>
      <w:r>
        <w:t xml:space="preserve"> expected to increase, this is primarily fuelled by a considerable growth in the numbers of older people.</w:t>
      </w:r>
    </w:p>
    <w:p w:rsidR="00EE6B85" w:rsidRDefault="00EE6B85" w:rsidP="00EE6B85">
      <w:pPr>
        <w:pStyle w:val="Heading3"/>
      </w:pPr>
    </w:p>
    <w:p w:rsidR="0033088B" w:rsidRPr="0033088B" w:rsidRDefault="0033088B" w:rsidP="0033088B"/>
    <w:p w:rsidR="00EE6B85" w:rsidRDefault="00EE6B85" w:rsidP="00EE6B85">
      <w:pPr>
        <w:pStyle w:val="Heading3"/>
      </w:pPr>
      <w:bookmarkStart w:id="308" w:name="_Toc318323458"/>
      <w:r>
        <w:t>Stage 2:  Future economic performance</w:t>
      </w:r>
      <w:bookmarkEnd w:id="308"/>
    </w:p>
    <w:p w:rsidR="00EE6B85" w:rsidRDefault="00EE6B85" w:rsidP="00EE6B85"/>
    <w:p w:rsidR="00B3259E" w:rsidRPr="00B3259E" w:rsidRDefault="00754000" w:rsidP="00B3259E">
      <w:pPr>
        <w:pStyle w:val="Maintext"/>
        <w:numPr>
          <w:ilvl w:val="1"/>
          <w:numId w:val="24"/>
        </w:numPr>
        <w:rPr>
          <w:b/>
        </w:rPr>
      </w:pPr>
      <w:r w:rsidRPr="00754000">
        <w:t xml:space="preserve">The future economic trajectory of County Durham will be guided by </w:t>
      </w:r>
      <w:r w:rsidR="008F76D8">
        <w:t>the Council’s strategic vision and leadership driving to strengthen the economy.</w:t>
      </w:r>
      <w:r w:rsidR="00D54492">
        <w:t xml:space="preserve"> Linked to this, the Council has a Preferred Options forecast to increase the number of households across the County by 30,000 by 2030 and recent economic and demographic forecasting work suggests that this figure co</w:t>
      </w:r>
      <w:r w:rsidR="00B3259E">
        <w:t>uld be up to 32,000 households.</w:t>
      </w:r>
    </w:p>
    <w:p w:rsidR="006426C1" w:rsidRPr="006426C1" w:rsidRDefault="00B3259E" w:rsidP="00B3259E">
      <w:pPr>
        <w:pStyle w:val="Maintext"/>
        <w:numPr>
          <w:ilvl w:val="1"/>
          <w:numId w:val="24"/>
        </w:numPr>
        <w:rPr>
          <w:b/>
        </w:rPr>
      </w:pPr>
      <w:r>
        <w:t>An overall increase of 30,000 households to 2030 would require an additional 7,500 households above the 2011-based projection of an additional 22,500 households</w:t>
      </w:r>
      <w:r w:rsidR="006426C1">
        <w:t xml:space="preserve"> (Table C5)</w:t>
      </w:r>
      <w:r>
        <w:t xml:space="preserve">. Factoring this into the household projection model, and assuming that all of the additional household growth would be in households with a HRP aged under 45,  result in an overall </w:t>
      </w:r>
      <w:r w:rsidR="006426C1">
        <w:t xml:space="preserve">increase of 22,000 households living in open market and 8,000 living in affordable accommodation. This additional requirement translates to 31,300 additional dwellings (22975 (73.4%) open market and 8323 (26.6%) affordable/intermediate tenure. </w:t>
      </w:r>
    </w:p>
    <w:p w:rsidR="002C4CF9" w:rsidRDefault="002C4CF9" w:rsidP="002C4CF9"/>
    <w:p w:rsidR="00D54492" w:rsidRDefault="006426C1" w:rsidP="006426C1">
      <w:pPr>
        <w:ind w:left="2160" w:hanging="1451"/>
      </w:pPr>
      <w:r w:rsidRPr="006426C1">
        <w:rPr>
          <w:b/>
        </w:rPr>
        <w:t>Table C5</w:t>
      </w:r>
      <w:r>
        <w:tab/>
        <w:t>HRP by Tenure assuming a 30,000 household growth scenario by 2030</w:t>
      </w:r>
    </w:p>
    <w:tbl>
      <w:tblPr>
        <w:tblW w:w="10079" w:type="dxa"/>
        <w:tblInd w:w="94" w:type="dxa"/>
        <w:tblLayout w:type="fixed"/>
        <w:tblLook w:val="04A0" w:firstRow="1" w:lastRow="0" w:firstColumn="1" w:lastColumn="0" w:noHBand="0" w:noVBand="1"/>
      </w:tblPr>
      <w:tblGrid>
        <w:gridCol w:w="2093"/>
        <w:gridCol w:w="1607"/>
        <w:gridCol w:w="1417"/>
        <w:gridCol w:w="1540"/>
        <w:gridCol w:w="1154"/>
        <w:gridCol w:w="1316"/>
        <w:gridCol w:w="952"/>
      </w:tblGrid>
      <w:tr w:rsidR="006426C1" w:rsidRPr="006426C1" w:rsidTr="006426C1">
        <w:trPr>
          <w:trHeight w:val="300"/>
        </w:trPr>
        <w:tc>
          <w:tcPr>
            <w:tcW w:w="5117" w:type="dxa"/>
            <w:gridSpan w:val="3"/>
            <w:tcBorders>
              <w:top w:val="single" w:sz="4" w:space="0" w:color="auto"/>
              <w:left w:val="single" w:sz="4" w:space="0" w:color="auto"/>
              <w:bottom w:val="single" w:sz="4" w:space="0" w:color="auto"/>
              <w:right w:val="nil"/>
            </w:tcBorders>
            <w:shd w:val="clear" w:color="000000" w:fill="008080"/>
            <w:noWrap/>
            <w:vAlign w:val="bottom"/>
            <w:hideMark/>
          </w:tcPr>
          <w:p w:rsidR="006426C1" w:rsidRPr="006426C1" w:rsidRDefault="006426C1" w:rsidP="006426C1">
            <w:pPr>
              <w:spacing w:before="0" w:after="0"/>
              <w:rPr>
                <w:rFonts w:cs="Arial"/>
                <w:b/>
                <w:bCs/>
                <w:color w:val="FFFFFF"/>
                <w:sz w:val="22"/>
                <w:szCs w:val="22"/>
                <w:lang w:eastAsia="en-GB"/>
              </w:rPr>
            </w:pPr>
            <w:r w:rsidRPr="006426C1">
              <w:rPr>
                <w:rFonts w:cs="Arial"/>
                <w:b/>
                <w:bCs/>
                <w:color w:val="FFFFFF"/>
                <w:sz w:val="22"/>
                <w:szCs w:val="22"/>
                <w:lang w:eastAsia="en-GB"/>
              </w:rPr>
              <w:t>Change in no. households by HRP 2011-2030</w:t>
            </w:r>
          </w:p>
        </w:tc>
        <w:tc>
          <w:tcPr>
            <w:tcW w:w="1540" w:type="dxa"/>
            <w:tcBorders>
              <w:top w:val="single" w:sz="4" w:space="0" w:color="auto"/>
              <w:left w:val="nil"/>
              <w:bottom w:val="single" w:sz="4" w:space="0" w:color="auto"/>
              <w:right w:val="nil"/>
            </w:tcBorders>
            <w:shd w:val="clear" w:color="000000" w:fill="008080"/>
            <w:noWrap/>
            <w:vAlign w:val="bottom"/>
            <w:hideMark/>
          </w:tcPr>
          <w:p w:rsidR="006426C1" w:rsidRPr="006426C1" w:rsidRDefault="006426C1" w:rsidP="006426C1">
            <w:pPr>
              <w:spacing w:before="0" w:after="0"/>
              <w:rPr>
                <w:rFonts w:cs="Arial"/>
                <w:sz w:val="20"/>
                <w:szCs w:val="20"/>
                <w:lang w:eastAsia="en-GB"/>
              </w:rPr>
            </w:pPr>
            <w:r w:rsidRPr="006426C1">
              <w:rPr>
                <w:rFonts w:cs="Arial"/>
                <w:sz w:val="20"/>
                <w:szCs w:val="20"/>
                <w:lang w:eastAsia="en-GB"/>
              </w:rPr>
              <w:t> </w:t>
            </w:r>
          </w:p>
        </w:tc>
        <w:tc>
          <w:tcPr>
            <w:tcW w:w="1154" w:type="dxa"/>
            <w:tcBorders>
              <w:top w:val="single" w:sz="4" w:space="0" w:color="auto"/>
              <w:left w:val="nil"/>
              <w:bottom w:val="single" w:sz="4" w:space="0" w:color="auto"/>
              <w:right w:val="nil"/>
            </w:tcBorders>
            <w:shd w:val="clear" w:color="000000" w:fill="008080"/>
            <w:noWrap/>
            <w:vAlign w:val="bottom"/>
            <w:hideMark/>
          </w:tcPr>
          <w:p w:rsidR="006426C1" w:rsidRPr="006426C1" w:rsidRDefault="006426C1" w:rsidP="006426C1">
            <w:pPr>
              <w:spacing w:before="0" w:after="0"/>
              <w:rPr>
                <w:rFonts w:cs="Arial"/>
                <w:sz w:val="20"/>
                <w:szCs w:val="20"/>
                <w:lang w:eastAsia="en-GB"/>
              </w:rPr>
            </w:pPr>
            <w:r w:rsidRPr="006426C1">
              <w:rPr>
                <w:rFonts w:cs="Arial"/>
                <w:sz w:val="20"/>
                <w:szCs w:val="20"/>
                <w:lang w:eastAsia="en-GB"/>
              </w:rPr>
              <w:t> </w:t>
            </w:r>
          </w:p>
        </w:tc>
        <w:tc>
          <w:tcPr>
            <w:tcW w:w="1316" w:type="dxa"/>
            <w:tcBorders>
              <w:top w:val="single" w:sz="4" w:space="0" w:color="auto"/>
              <w:left w:val="nil"/>
              <w:bottom w:val="single" w:sz="4" w:space="0" w:color="auto"/>
              <w:right w:val="nil"/>
            </w:tcBorders>
            <w:shd w:val="clear" w:color="000000" w:fill="008080"/>
            <w:noWrap/>
            <w:vAlign w:val="bottom"/>
            <w:hideMark/>
          </w:tcPr>
          <w:p w:rsidR="006426C1" w:rsidRPr="006426C1" w:rsidRDefault="006426C1" w:rsidP="006426C1">
            <w:pPr>
              <w:spacing w:before="0" w:after="0"/>
              <w:rPr>
                <w:rFonts w:cs="Arial"/>
                <w:sz w:val="20"/>
                <w:szCs w:val="20"/>
                <w:lang w:eastAsia="en-GB"/>
              </w:rPr>
            </w:pPr>
            <w:r w:rsidRPr="006426C1">
              <w:rPr>
                <w:rFonts w:cs="Arial"/>
                <w:sz w:val="20"/>
                <w:szCs w:val="20"/>
                <w:lang w:eastAsia="en-GB"/>
              </w:rPr>
              <w:t> </w:t>
            </w:r>
          </w:p>
        </w:tc>
        <w:tc>
          <w:tcPr>
            <w:tcW w:w="952" w:type="dxa"/>
            <w:tcBorders>
              <w:top w:val="single" w:sz="4" w:space="0" w:color="auto"/>
              <w:left w:val="nil"/>
              <w:bottom w:val="single" w:sz="4" w:space="0" w:color="auto"/>
              <w:right w:val="single" w:sz="4" w:space="0" w:color="auto"/>
            </w:tcBorders>
            <w:shd w:val="clear" w:color="000000" w:fill="008080"/>
            <w:noWrap/>
            <w:vAlign w:val="bottom"/>
            <w:hideMark/>
          </w:tcPr>
          <w:p w:rsidR="006426C1" w:rsidRPr="006426C1" w:rsidRDefault="006426C1" w:rsidP="006426C1">
            <w:pPr>
              <w:spacing w:before="0" w:after="0"/>
              <w:rPr>
                <w:rFonts w:cs="Arial"/>
                <w:sz w:val="20"/>
                <w:szCs w:val="20"/>
                <w:lang w:eastAsia="en-GB"/>
              </w:rPr>
            </w:pPr>
            <w:r w:rsidRPr="006426C1">
              <w:rPr>
                <w:rFonts w:cs="Arial"/>
                <w:sz w:val="20"/>
                <w:szCs w:val="20"/>
                <w:lang w:eastAsia="en-GB"/>
              </w:rPr>
              <w:t> </w:t>
            </w:r>
          </w:p>
        </w:tc>
      </w:tr>
      <w:tr w:rsidR="006426C1" w:rsidRPr="006426C1" w:rsidTr="006426C1">
        <w:trPr>
          <w:trHeight w:val="345"/>
        </w:trPr>
        <w:tc>
          <w:tcPr>
            <w:tcW w:w="2093" w:type="dxa"/>
            <w:tcBorders>
              <w:top w:val="nil"/>
              <w:left w:val="single" w:sz="4" w:space="0" w:color="auto"/>
              <w:bottom w:val="single" w:sz="4" w:space="0" w:color="auto"/>
              <w:right w:val="single" w:sz="4" w:space="0" w:color="auto"/>
            </w:tcBorders>
            <w:shd w:val="clear" w:color="000000" w:fill="008080"/>
            <w:noWrap/>
            <w:vAlign w:val="bottom"/>
            <w:hideMark/>
          </w:tcPr>
          <w:p w:rsidR="006426C1" w:rsidRPr="006426C1" w:rsidRDefault="006426C1" w:rsidP="006426C1">
            <w:pPr>
              <w:spacing w:before="0" w:after="0"/>
              <w:rPr>
                <w:rFonts w:cs="Arial"/>
                <w:b/>
                <w:bCs/>
                <w:color w:val="FFFFFF"/>
                <w:sz w:val="22"/>
                <w:szCs w:val="22"/>
                <w:lang w:eastAsia="en-GB"/>
              </w:rPr>
            </w:pPr>
            <w:r w:rsidRPr="006426C1">
              <w:rPr>
                <w:rFonts w:cs="Arial"/>
                <w:b/>
                <w:bCs/>
                <w:color w:val="FFFFFF"/>
                <w:sz w:val="22"/>
                <w:szCs w:val="22"/>
                <w:lang w:eastAsia="en-GB"/>
              </w:rPr>
              <w:t>HRP</w:t>
            </w:r>
          </w:p>
        </w:tc>
        <w:tc>
          <w:tcPr>
            <w:tcW w:w="1607" w:type="dxa"/>
            <w:tcBorders>
              <w:top w:val="nil"/>
              <w:left w:val="nil"/>
              <w:bottom w:val="single" w:sz="4" w:space="0" w:color="auto"/>
              <w:right w:val="nil"/>
            </w:tcBorders>
            <w:shd w:val="clear" w:color="000000" w:fill="008080"/>
            <w:noWrap/>
            <w:vAlign w:val="bottom"/>
            <w:hideMark/>
          </w:tcPr>
          <w:p w:rsidR="006426C1" w:rsidRPr="006426C1" w:rsidRDefault="006426C1" w:rsidP="006426C1">
            <w:pPr>
              <w:spacing w:before="0" w:after="0"/>
              <w:rPr>
                <w:rFonts w:cs="Arial"/>
                <w:b/>
                <w:bCs/>
                <w:color w:val="FFFFFF"/>
                <w:sz w:val="22"/>
                <w:szCs w:val="22"/>
                <w:lang w:eastAsia="en-GB"/>
              </w:rPr>
            </w:pPr>
            <w:r w:rsidRPr="006426C1">
              <w:rPr>
                <w:rFonts w:cs="Arial"/>
                <w:b/>
                <w:bCs/>
                <w:color w:val="FFFFFF"/>
                <w:sz w:val="22"/>
                <w:szCs w:val="22"/>
                <w:lang w:eastAsia="en-GB"/>
              </w:rPr>
              <w:t>Households</w:t>
            </w:r>
          </w:p>
        </w:tc>
        <w:tc>
          <w:tcPr>
            <w:tcW w:w="1417" w:type="dxa"/>
            <w:tcBorders>
              <w:top w:val="nil"/>
              <w:left w:val="nil"/>
              <w:bottom w:val="single" w:sz="4" w:space="0" w:color="auto"/>
              <w:right w:val="nil"/>
            </w:tcBorders>
            <w:shd w:val="clear" w:color="000000" w:fill="008080"/>
            <w:noWrap/>
            <w:vAlign w:val="bottom"/>
            <w:hideMark/>
          </w:tcPr>
          <w:p w:rsidR="006426C1" w:rsidRPr="006426C1" w:rsidRDefault="006426C1" w:rsidP="006426C1">
            <w:pPr>
              <w:spacing w:before="0" w:after="0"/>
              <w:rPr>
                <w:rFonts w:cs="Arial"/>
                <w:color w:val="FFFFFF"/>
                <w:sz w:val="22"/>
                <w:szCs w:val="22"/>
                <w:lang w:eastAsia="en-GB"/>
              </w:rPr>
            </w:pPr>
            <w:r w:rsidRPr="006426C1">
              <w:rPr>
                <w:rFonts w:cs="Arial"/>
                <w:color w:val="FFFFFF"/>
                <w:sz w:val="22"/>
                <w:szCs w:val="22"/>
                <w:lang w:eastAsia="en-GB"/>
              </w:rPr>
              <w:t> </w:t>
            </w:r>
          </w:p>
        </w:tc>
        <w:tc>
          <w:tcPr>
            <w:tcW w:w="1540" w:type="dxa"/>
            <w:tcBorders>
              <w:top w:val="nil"/>
              <w:left w:val="nil"/>
              <w:bottom w:val="single" w:sz="4" w:space="0" w:color="auto"/>
              <w:right w:val="single" w:sz="4" w:space="0" w:color="auto"/>
            </w:tcBorders>
            <w:shd w:val="clear" w:color="000000" w:fill="008080"/>
            <w:noWrap/>
            <w:vAlign w:val="bottom"/>
            <w:hideMark/>
          </w:tcPr>
          <w:p w:rsidR="006426C1" w:rsidRPr="006426C1" w:rsidRDefault="006426C1" w:rsidP="006426C1">
            <w:pPr>
              <w:spacing w:before="0" w:after="0"/>
              <w:rPr>
                <w:rFonts w:cs="Arial"/>
                <w:color w:val="FFFFFF"/>
                <w:sz w:val="22"/>
                <w:szCs w:val="22"/>
                <w:lang w:eastAsia="en-GB"/>
              </w:rPr>
            </w:pPr>
            <w:r w:rsidRPr="006426C1">
              <w:rPr>
                <w:rFonts w:cs="Arial"/>
                <w:color w:val="FFFFFF"/>
                <w:sz w:val="22"/>
                <w:szCs w:val="22"/>
                <w:lang w:eastAsia="en-GB"/>
              </w:rPr>
              <w:t> </w:t>
            </w:r>
          </w:p>
        </w:tc>
        <w:tc>
          <w:tcPr>
            <w:tcW w:w="1154" w:type="dxa"/>
            <w:tcBorders>
              <w:top w:val="nil"/>
              <w:left w:val="nil"/>
              <w:bottom w:val="single" w:sz="4" w:space="0" w:color="auto"/>
              <w:right w:val="nil"/>
            </w:tcBorders>
            <w:shd w:val="clear" w:color="000000" w:fill="008080"/>
            <w:noWrap/>
            <w:vAlign w:val="bottom"/>
            <w:hideMark/>
          </w:tcPr>
          <w:p w:rsidR="006426C1" w:rsidRPr="006426C1" w:rsidRDefault="006426C1" w:rsidP="006426C1">
            <w:pPr>
              <w:spacing w:before="0" w:after="0"/>
              <w:rPr>
                <w:rFonts w:cs="Arial"/>
                <w:b/>
                <w:bCs/>
                <w:color w:val="FFFFFF"/>
                <w:sz w:val="22"/>
                <w:szCs w:val="22"/>
                <w:lang w:eastAsia="en-GB"/>
              </w:rPr>
            </w:pPr>
            <w:r w:rsidRPr="006426C1">
              <w:rPr>
                <w:rFonts w:cs="Arial"/>
                <w:b/>
                <w:bCs/>
                <w:color w:val="FFFFFF"/>
                <w:sz w:val="22"/>
                <w:szCs w:val="22"/>
                <w:lang w:eastAsia="en-GB"/>
              </w:rPr>
              <w:t>Tenure</w:t>
            </w:r>
          </w:p>
        </w:tc>
        <w:tc>
          <w:tcPr>
            <w:tcW w:w="1316" w:type="dxa"/>
            <w:tcBorders>
              <w:top w:val="nil"/>
              <w:left w:val="nil"/>
              <w:bottom w:val="single" w:sz="4" w:space="0" w:color="auto"/>
              <w:right w:val="nil"/>
            </w:tcBorders>
            <w:shd w:val="clear" w:color="000000" w:fill="008080"/>
            <w:noWrap/>
            <w:vAlign w:val="bottom"/>
            <w:hideMark/>
          </w:tcPr>
          <w:p w:rsidR="006426C1" w:rsidRPr="006426C1" w:rsidRDefault="006426C1" w:rsidP="006426C1">
            <w:pPr>
              <w:spacing w:before="0" w:after="0"/>
              <w:rPr>
                <w:rFonts w:cs="Arial"/>
                <w:color w:val="FFFFFF"/>
                <w:sz w:val="22"/>
                <w:szCs w:val="22"/>
                <w:lang w:eastAsia="en-GB"/>
              </w:rPr>
            </w:pPr>
            <w:r w:rsidRPr="006426C1">
              <w:rPr>
                <w:rFonts w:cs="Arial"/>
                <w:color w:val="FFFFFF"/>
                <w:sz w:val="22"/>
                <w:szCs w:val="22"/>
                <w:lang w:eastAsia="en-GB"/>
              </w:rPr>
              <w:t> </w:t>
            </w:r>
          </w:p>
        </w:tc>
        <w:tc>
          <w:tcPr>
            <w:tcW w:w="952" w:type="dxa"/>
            <w:tcBorders>
              <w:top w:val="nil"/>
              <w:left w:val="nil"/>
              <w:bottom w:val="single" w:sz="4" w:space="0" w:color="auto"/>
              <w:right w:val="single" w:sz="4" w:space="0" w:color="auto"/>
            </w:tcBorders>
            <w:shd w:val="clear" w:color="000000" w:fill="008080"/>
            <w:noWrap/>
            <w:vAlign w:val="bottom"/>
            <w:hideMark/>
          </w:tcPr>
          <w:p w:rsidR="006426C1" w:rsidRPr="006426C1" w:rsidRDefault="006426C1" w:rsidP="006426C1">
            <w:pPr>
              <w:spacing w:before="0" w:after="0"/>
              <w:rPr>
                <w:rFonts w:cs="Arial"/>
                <w:color w:val="FFFFFF"/>
                <w:sz w:val="22"/>
                <w:szCs w:val="22"/>
                <w:lang w:eastAsia="en-GB"/>
              </w:rPr>
            </w:pPr>
            <w:r w:rsidRPr="006426C1">
              <w:rPr>
                <w:rFonts w:cs="Arial"/>
                <w:color w:val="FFFFFF"/>
                <w:sz w:val="22"/>
                <w:szCs w:val="22"/>
                <w:lang w:eastAsia="en-GB"/>
              </w:rPr>
              <w:t> </w:t>
            </w:r>
          </w:p>
        </w:tc>
      </w:tr>
      <w:tr w:rsidR="006426C1" w:rsidRPr="006426C1" w:rsidTr="006426C1">
        <w:trPr>
          <w:trHeight w:val="1200"/>
        </w:trPr>
        <w:tc>
          <w:tcPr>
            <w:tcW w:w="2093" w:type="dxa"/>
            <w:tcBorders>
              <w:top w:val="nil"/>
              <w:left w:val="single" w:sz="4" w:space="0" w:color="auto"/>
              <w:bottom w:val="single" w:sz="4" w:space="0" w:color="auto"/>
              <w:right w:val="single" w:sz="4" w:space="0" w:color="auto"/>
            </w:tcBorders>
            <w:shd w:val="clear" w:color="000000" w:fill="008080"/>
            <w:noWrap/>
            <w:vAlign w:val="bottom"/>
            <w:hideMark/>
          </w:tcPr>
          <w:p w:rsidR="006426C1" w:rsidRPr="006426C1" w:rsidRDefault="006426C1" w:rsidP="006426C1">
            <w:pPr>
              <w:spacing w:before="0" w:after="0"/>
              <w:rPr>
                <w:rFonts w:cs="Arial"/>
                <w:b/>
                <w:bCs/>
                <w:color w:val="FFFFFF"/>
                <w:sz w:val="22"/>
                <w:szCs w:val="22"/>
                <w:lang w:eastAsia="en-GB"/>
              </w:rPr>
            </w:pPr>
            <w:r w:rsidRPr="006426C1">
              <w:rPr>
                <w:rFonts w:cs="Arial"/>
                <w:b/>
                <w:bCs/>
                <w:color w:val="FFFFFF"/>
                <w:sz w:val="22"/>
                <w:szCs w:val="22"/>
                <w:lang w:eastAsia="en-GB"/>
              </w:rPr>
              <w:t> </w:t>
            </w:r>
          </w:p>
        </w:tc>
        <w:tc>
          <w:tcPr>
            <w:tcW w:w="1607" w:type="dxa"/>
            <w:tcBorders>
              <w:top w:val="nil"/>
              <w:left w:val="nil"/>
              <w:bottom w:val="single" w:sz="4" w:space="0" w:color="auto"/>
              <w:right w:val="single" w:sz="4" w:space="0" w:color="auto"/>
            </w:tcBorders>
            <w:shd w:val="clear" w:color="000000" w:fill="008080"/>
            <w:vAlign w:val="bottom"/>
            <w:hideMark/>
          </w:tcPr>
          <w:p w:rsidR="006426C1" w:rsidRPr="006426C1" w:rsidRDefault="006426C1" w:rsidP="006426C1">
            <w:pPr>
              <w:spacing w:before="0" w:after="0"/>
              <w:jc w:val="center"/>
              <w:rPr>
                <w:rFonts w:cs="Arial"/>
                <w:b/>
                <w:bCs/>
                <w:color w:val="FFFFFF"/>
                <w:sz w:val="22"/>
                <w:szCs w:val="22"/>
                <w:lang w:eastAsia="en-GB"/>
              </w:rPr>
            </w:pPr>
            <w:r w:rsidRPr="006426C1">
              <w:rPr>
                <w:rFonts w:cs="Arial"/>
                <w:b/>
                <w:bCs/>
                <w:color w:val="FFFFFF"/>
                <w:sz w:val="22"/>
                <w:szCs w:val="22"/>
                <w:lang w:eastAsia="en-GB"/>
              </w:rPr>
              <w:t>Initial projection</w:t>
            </w:r>
          </w:p>
        </w:tc>
        <w:tc>
          <w:tcPr>
            <w:tcW w:w="1417" w:type="dxa"/>
            <w:tcBorders>
              <w:top w:val="nil"/>
              <w:left w:val="nil"/>
              <w:bottom w:val="single" w:sz="4" w:space="0" w:color="auto"/>
              <w:right w:val="single" w:sz="4" w:space="0" w:color="auto"/>
            </w:tcBorders>
            <w:shd w:val="clear" w:color="000000" w:fill="008080"/>
            <w:vAlign w:val="bottom"/>
            <w:hideMark/>
          </w:tcPr>
          <w:p w:rsidR="006426C1" w:rsidRPr="006426C1" w:rsidRDefault="006426C1" w:rsidP="006426C1">
            <w:pPr>
              <w:spacing w:before="0" w:after="0"/>
              <w:jc w:val="center"/>
              <w:rPr>
                <w:rFonts w:cs="Arial"/>
                <w:b/>
                <w:bCs/>
                <w:color w:val="FFFFFF"/>
                <w:sz w:val="22"/>
                <w:szCs w:val="22"/>
                <w:lang w:eastAsia="en-GB"/>
              </w:rPr>
            </w:pPr>
            <w:r w:rsidRPr="006426C1">
              <w:rPr>
                <w:rFonts w:cs="Arial"/>
                <w:b/>
                <w:bCs/>
                <w:color w:val="FFFFFF"/>
                <w:sz w:val="22"/>
                <w:szCs w:val="22"/>
                <w:lang w:eastAsia="en-GB"/>
              </w:rPr>
              <w:t>Additional household growth</w:t>
            </w:r>
          </w:p>
        </w:tc>
        <w:tc>
          <w:tcPr>
            <w:tcW w:w="1540" w:type="dxa"/>
            <w:tcBorders>
              <w:top w:val="nil"/>
              <w:left w:val="nil"/>
              <w:bottom w:val="single" w:sz="4" w:space="0" w:color="auto"/>
              <w:right w:val="single" w:sz="4" w:space="0" w:color="auto"/>
            </w:tcBorders>
            <w:shd w:val="clear" w:color="000000" w:fill="008080"/>
            <w:vAlign w:val="bottom"/>
            <w:hideMark/>
          </w:tcPr>
          <w:p w:rsidR="006426C1" w:rsidRPr="006426C1" w:rsidRDefault="006426C1" w:rsidP="006426C1">
            <w:pPr>
              <w:spacing w:before="0" w:after="0"/>
              <w:jc w:val="center"/>
              <w:rPr>
                <w:rFonts w:cs="Arial"/>
                <w:b/>
                <w:bCs/>
                <w:color w:val="FFFFFF"/>
                <w:sz w:val="22"/>
                <w:szCs w:val="22"/>
                <w:lang w:eastAsia="en-GB"/>
              </w:rPr>
            </w:pPr>
            <w:r w:rsidRPr="006426C1">
              <w:rPr>
                <w:rFonts w:cs="Arial"/>
                <w:b/>
                <w:bCs/>
                <w:color w:val="FFFFFF"/>
                <w:sz w:val="22"/>
                <w:szCs w:val="22"/>
                <w:lang w:eastAsia="en-GB"/>
              </w:rPr>
              <w:t>Revised 2030 household base</w:t>
            </w:r>
          </w:p>
        </w:tc>
        <w:tc>
          <w:tcPr>
            <w:tcW w:w="1154" w:type="dxa"/>
            <w:tcBorders>
              <w:top w:val="nil"/>
              <w:left w:val="nil"/>
              <w:bottom w:val="single" w:sz="4" w:space="0" w:color="auto"/>
              <w:right w:val="single" w:sz="4" w:space="0" w:color="auto"/>
            </w:tcBorders>
            <w:shd w:val="clear" w:color="000000" w:fill="008080"/>
            <w:vAlign w:val="bottom"/>
            <w:hideMark/>
          </w:tcPr>
          <w:p w:rsidR="006426C1" w:rsidRPr="006426C1" w:rsidRDefault="006426C1" w:rsidP="006426C1">
            <w:pPr>
              <w:spacing w:before="0" w:after="0"/>
              <w:jc w:val="center"/>
              <w:rPr>
                <w:rFonts w:cs="Arial"/>
                <w:b/>
                <w:bCs/>
                <w:color w:val="FFFFFF"/>
                <w:sz w:val="22"/>
                <w:szCs w:val="22"/>
                <w:lang w:eastAsia="en-GB"/>
              </w:rPr>
            </w:pPr>
            <w:r w:rsidRPr="006426C1">
              <w:rPr>
                <w:rFonts w:cs="Arial"/>
                <w:b/>
                <w:bCs/>
                <w:color w:val="FFFFFF"/>
                <w:sz w:val="22"/>
                <w:szCs w:val="22"/>
                <w:lang w:eastAsia="en-GB"/>
              </w:rPr>
              <w:t>Open Market</w:t>
            </w:r>
          </w:p>
        </w:tc>
        <w:tc>
          <w:tcPr>
            <w:tcW w:w="1316" w:type="dxa"/>
            <w:tcBorders>
              <w:top w:val="nil"/>
              <w:left w:val="nil"/>
              <w:bottom w:val="single" w:sz="4" w:space="0" w:color="auto"/>
              <w:right w:val="single" w:sz="4" w:space="0" w:color="auto"/>
            </w:tcBorders>
            <w:shd w:val="clear" w:color="000000" w:fill="008080"/>
            <w:vAlign w:val="bottom"/>
            <w:hideMark/>
          </w:tcPr>
          <w:p w:rsidR="006426C1" w:rsidRPr="006426C1" w:rsidRDefault="006426C1" w:rsidP="006426C1">
            <w:pPr>
              <w:spacing w:before="0" w:after="0"/>
              <w:jc w:val="center"/>
              <w:rPr>
                <w:rFonts w:cs="Arial"/>
                <w:b/>
                <w:bCs/>
                <w:color w:val="FFFFFF"/>
                <w:sz w:val="22"/>
                <w:szCs w:val="22"/>
                <w:lang w:eastAsia="en-GB"/>
              </w:rPr>
            </w:pPr>
            <w:r w:rsidRPr="006426C1">
              <w:rPr>
                <w:rFonts w:cs="Arial"/>
                <w:b/>
                <w:bCs/>
                <w:color w:val="FFFFFF"/>
                <w:sz w:val="22"/>
                <w:szCs w:val="22"/>
                <w:lang w:eastAsia="en-GB"/>
              </w:rPr>
              <w:t>Affordable</w:t>
            </w:r>
          </w:p>
        </w:tc>
        <w:tc>
          <w:tcPr>
            <w:tcW w:w="952" w:type="dxa"/>
            <w:tcBorders>
              <w:top w:val="nil"/>
              <w:left w:val="nil"/>
              <w:bottom w:val="single" w:sz="4" w:space="0" w:color="auto"/>
              <w:right w:val="single" w:sz="4" w:space="0" w:color="auto"/>
            </w:tcBorders>
            <w:shd w:val="clear" w:color="000000" w:fill="008080"/>
            <w:vAlign w:val="bottom"/>
            <w:hideMark/>
          </w:tcPr>
          <w:p w:rsidR="006426C1" w:rsidRPr="006426C1" w:rsidRDefault="006426C1" w:rsidP="006426C1">
            <w:pPr>
              <w:spacing w:before="0" w:after="0"/>
              <w:jc w:val="center"/>
              <w:rPr>
                <w:rFonts w:cs="Arial"/>
                <w:b/>
                <w:bCs/>
                <w:color w:val="FFFFFF"/>
                <w:sz w:val="22"/>
                <w:szCs w:val="22"/>
                <w:lang w:eastAsia="en-GB"/>
              </w:rPr>
            </w:pPr>
            <w:r w:rsidRPr="006426C1">
              <w:rPr>
                <w:rFonts w:cs="Arial"/>
                <w:b/>
                <w:bCs/>
                <w:color w:val="FFFFFF"/>
                <w:sz w:val="22"/>
                <w:szCs w:val="22"/>
                <w:lang w:eastAsia="en-GB"/>
              </w:rPr>
              <w:t>Total</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Under 25</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12493</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3972</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16465</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6431</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1473</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7905</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25-34</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30883</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3175</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34058</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5458</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860</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6318</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35-44</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38057</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355</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38412</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609</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97</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706</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45-54</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37639</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37639</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-4995</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-896</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-5891</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55-64</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39120</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39120</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-1785</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-343</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-2128</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65-74</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39487</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39487</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4171</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1162</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5332</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75-84</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32547</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32547</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7331</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2202</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9533</w:t>
            </w:r>
          </w:p>
        </w:tc>
      </w:tr>
      <w:tr w:rsidR="006426C1" w:rsidRPr="006426C1" w:rsidTr="006426C1">
        <w:trPr>
          <w:trHeight w:val="285"/>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sz w:val="22"/>
                <w:szCs w:val="22"/>
                <w:lang w:eastAsia="en-GB"/>
              </w:rPr>
            </w:pPr>
            <w:r w:rsidRPr="006426C1">
              <w:rPr>
                <w:rFonts w:cs="Arial"/>
                <w:sz w:val="22"/>
                <w:szCs w:val="22"/>
                <w:lang w:eastAsia="en-GB"/>
              </w:rPr>
              <w:t>85+</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15908</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15908</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6007</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2220</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8226</w:t>
            </w:r>
          </w:p>
        </w:tc>
      </w:tr>
      <w:tr w:rsidR="006426C1" w:rsidRPr="006426C1" w:rsidTr="006426C1">
        <w:trPr>
          <w:trHeight w:val="300"/>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rPr>
                <w:rFonts w:cs="Arial"/>
                <w:b/>
                <w:bCs/>
                <w:color w:val="000000"/>
                <w:sz w:val="22"/>
                <w:szCs w:val="22"/>
                <w:lang w:eastAsia="en-GB"/>
              </w:rPr>
            </w:pPr>
            <w:r w:rsidRPr="006426C1">
              <w:rPr>
                <w:rFonts w:cs="Arial"/>
                <w:b/>
                <w:bCs/>
                <w:color w:val="000000"/>
                <w:sz w:val="22"/>
                <w:szCs w:val="22"/>
                <w:lang w:eastAsia="en-GB"/>
              </w:rPr>
              <w:t>Total Households</w:t>
            </w:r>
          </w:p>
        </w:tc>
        <w:tc>
          <w:tcPr>
            <w:tcW w:w="160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246134</w:t>
            </w:r>
          </w:p>
        </w:tc>
        <w:tc>
          <w:tcPr>
            <w:tcW w:w="1417"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7502</w:t>
            </w:r>
          </w:p>
        </w:tc>
        <w:tc>
          <w:tcPr>
            <w:tcW w:w="1540"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253636</w:t>
            </w:r>
          </w:p>
        </w:tc>
        <w:tc>
          <w:tcPr>
            <w:tcW w:w="1154"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22022</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7978</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30000</w:t>
            </w:r>
          </w:p>
        </w:tc>
      </w:tr>
      <w:tr w:rsidR="006426C1" w:rsidRPr="006426C1" w:rsidTr="006426C1">
        <w:trPr>
          <w:trHeight w:val="300"/>
        </w:trPr>
        <w:tc>
          <w:tcPr>
            <w:tcW w:w="2093" w:type="dxa"/>
            <w:tcBorders>
              <w:top w:val="nil"/>
              <w:left w:val="single" w:sz="4" w:space="0" w:color="auto"/>
              <w:bottom w:val="single" w:sz="4" w:space="0" w:color="auto"/>
              <w:right w:val="nil"/>
            </w:tcBorders>
            <w:shd w:val="clear" w:color="auto" w:fill="auto"/>
            <w:noWrap/>
            <w:vAlign w:val="bottom"/>
            <w:hideMark/>
          </w:tcPr>
          <w:p w:rsidR="006426C1" w:rsidRPr="006426C1" w:rsidRDefault="006426C1" w:rsidP="006426C1">
            <w:pPr>
              <w:spacing w:before="0" w:after="0"/>
              <w:rPr>
                <w:rFonts w:cs="Arial"/>
                <w:b/>
                <w:bCs/>
                <w:sz w:val="22"/>
                <w:szCs w:val="22"/>
                <w:lang w:eastAsia="en-GB"/>
              </w:rPr>
            </w:pPr>
            <w:r w:rsidRPr="006426C1">
              <w:rPr>
                <w:rFonts w:cs="Arial"/>
                <w:b/>
                <w:bCs/>
                <w:sz w:val="22"/>
                <w:szCs w:val="22"/>
                <w:lang w:eastAsia="en-GB"/>
              </w:rPr>
              <w:t>Tenure %</w:t>
            </w:r>
          </w:p>
        </w:tc>
        <w:tc>
          <w:tcPr>
            <w:tcW w:w="1607" w:type="dxa"/>
            <w:tcBorders>
              <w:top w:val="nil"/>
              <w:left w:val="nil"/>
              <w:bottom w:val="single" w:sz="4" w:space="0" w:color="auto"/>
              <w:right w:val="nil"/>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417" w:type="dxa"/>
            <w:tcBorders>
              <w:top w:val="nil"/>
              <w:left w:val="nil"/>
              <w:bottom w:val="single" w:sz="4" w:space="0" w:color="auto"/>
              <w:right w:val="nil"/>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540" w:type="dxa"/>
            <w:tcBorders>
              <w:top w:val="nil"/>
              <w:left w:val="nil"/>
              <w:bottom w:val="single" w:sz="4" w:space="0" w:color="auto"/>
              <w:right w:val="nil"/>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73.4</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26.6</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sz w:val="22"/>
                <w:szCs w:val="22"/>
                <w:lang w:eastAsia="en-GB"/>
              </w:rPr>
            </w:pPr>
            <w:r w:rsidRPr="006426C1">
              <w:rPr>
                <w:rFonts w:cs="Arial"/>
                <w:sz w:val="22"/>
                <w:szCs w:val="22"/>
                <w:lang w:eastAsia="en-GB"/>
              </w:rPr>
              <w:t>100</w:t>
            </w:r>
          </w:p>
        </w:tc>
      </w:tr>
      <w:tr w:rsidR="006426C1" w:rsidRPr="006426C1" w:rsidTr="006426C1">
        <w:trPr>
          <w:trHeight w:val="300"/>
        </w:trPr>
        <w:tc>
          <w:tcPr>
            <w:tcW w:w="2093" w:type="dxa"/>
            <w:tcBorders>
              <w:top w:val="nil"/>
              <w:left w:val="single" w:sz="4" w:space="0" w:color="auto"/>
              <w:bottom w:val="single" w:sz="4" w:space="0" w:color="auto"/>
              <w:right w:val="nil"/>
            </w:tcBorders>
            <w:shd w:val="clear" w:color="auto" w:fill="auto"/>
            <w:noWrap/>
            <w:vAlign w:val="bottom"/>
            <w:hideMark/>
          </w:tcPr>
          <w:p w:rsidR="006426C1" w:rsidRPr="006426C1" w:rsidRDefault="006426C1" w:rsidP="006426C1">
            <w:pPr>
              <w:spacing w:before="0" w:after="0"/>
              <w:rPr>
                <w:rFonts w:cs="Arial"/>
                <w:b/>
                <w:bCs/>
                <w:sz w:val="22"/>
                <w:szCs w:val="22"/>
                <w:lang w:eastAsia="en-GB"/>
              </w:rPr>
            </w:pPr>
            <w:r w:rsidRPr="006426C1">
              <w:rPr>
                <w:rFonts w:cs="Arial"/>
                <w:b/>
                <w:bCs/>
                <w:sz w:val="22"/>
                <w:szCs w:val="22"/>
                <w:lang w:eastAsia="en-GB"/>
              </w:rPr>
              <w:t>Total Dwellings</w:t>
            </w:r>
          </w:p>
        </w:tc>
        <w:tc>
          <w:tcPr>
            <w:tcW w:w="1607" w:type="dxa"/>
            <w:tcBorders>
              <w:top w:val="nil"/>
              <w:left w:val="nil"/>
              <w:bottom w:val="single" w:sz="4" w:space="0" w:color="auto"/>
              <w:right w:val="nil"/>
            </w:tcBorders>
            <w:shd w:val="clear" w:color="auto" w:fill="auto"/>
            <w:noWrap/>
            <w:vAlign w:val="bottom"/>
            <w:hideMark/>
          </w:tcPr>
          <w:p w:rsidR="006426C1" w:rsidRPr="006426C1" w:rsidRDefault="006426C1" w:rsidP="006426C1">
            <w:pPr>
              <w:spacing w:before="0" w:after="0"/>
              <w:jc w:val="center"/>
              <w:rPr>
                <w:rFonts w:cs="Arial"/>
                <w:b/>
                <w:bCs/>
                <w:sz w:val="22"/>
                <w:szCs w:val="22"/>
                <w:lang w:eastAsia="en-GB"/>
              </w:rPr>
            </w:pPr>
            <w:r w:rsidRPr="006426C1">
              <w:rPr>
                <w:rFonts w:cs="Arial"/>
                <w:b/>
                <w:bCs/>
                <w:sz w:val="22"/>
                <w:szCs w:val="22"/>
                <w:lang w:eastAsia="en-GB"/>
              </w:rPr>
              <w:t> </w:t>
            </w:r>
          </w:p>
        </w:tc>
        <w:tc>
          <w:tcPr>
            <w:tcW w:w="1417" w:type="dxa"/>
            <w:tcBorders>
              <w:top w:val="nil"/>
              <w:left w:val="nil"/>
              <w:bottom w:val="single" w:sz="4" w:space="0" w:color="auto"/>
              <w:right w:val="nil"/>
            </w:tcBorders>
            <w:shd w:val="clear" w:color="auto" w:fill="auto"/>
            <w:noWrap/>
            <w:vAlign w:val="bottom"/>
            <w:hideMark/>
          </w:tcPr>
          <w:p w:rsidR="006426C1" w:rsidRPr="006426C1" w:rsidRDefault="006426C1" w:rsidP="006426C1">
            <w:pPr>
              <w:spacing w:before="0" w:after="0"/>
              <w:jc w:val="center"/>
              <w:rPr>
                <w:rFonts w:cs="Arial"/>
                <w:b/>
                <w:bCs/>
                <w:sz w:val="22"/>
                <w:szCs w:val="22"/>
                <w:lang w:eastAsia="en-GB"/>
              </w:rPr>
            </w:pPr>
            <w:r w:rsidRPr="006426C1">
              <w:rPr>
                <w:rFonts w:cs="Arial"/>
                <w:b/>
                <w:bCs/>
                <w:sz w:val="22"/>
                <w:szCs w:val="22"/>
                <w:lang w:eastAsia="en-GB"/>
              </w:rPr>
              <w:t> </w:t>
            </w:r>
          </w:p>
        </w:tc>
        <w:tc>
          <w:tcPr>
            <w:tcW w:w="1540" w:type="dxa"/>
            <w:tcBorders>
              <w:top w:val="nil"/>
              <w:left w:val="nil"/>
              <w:bottom w:val="single" w:sz="4" w:space="0" w:color="auto"/>
              <w:right w:val="nil"/>
            </w:tcBorders>
            <w:shd w:val="clear" w:color="auto" w:fill="auto"/>
            <w:noWrap/>
            <w:vAlign w:val="bottom"/>
            <w:hideMark/>
          </w:tcPr>
          <w:p w:rsidR="006426C1" w:rsidRPr="006426C1" w:rsidRDefault="006426C1" w:rsidP="006426C1">
            <w:pPr>
              <w:spacing w:before="0" w:after="0"/>
              <w:jc w:val="center"/>
              <w:rPr>
                <w:rFonts w:cs="Arial"/>
                <w:b/>
                <w:bCs/>
                <w:sz w:val="22"/>
                <w:szCs w:val="22"/>
                <w:lang w:eastAsia="en-GB"/>
              </w:rPr>
            </w:pPr>
            <w:r w:rsidRPr="006426C1">
              <w:rPr>
                <w:rFonts w:cs="Arial"/>
                <w:b/>
                <w:bCs/>
                <w:sz w:val="22"/>
                <w:szCs w:val="22"/>
                <w:lang w:eastAsia="en-GB"/>
              </w:rPr>
              <w:t>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b/>
                <w:bCs/>
                <w:sz w:val="22"/>
                <w:szCs w:val="22"/>
                <w:lang w:eastAsia="en-GB"/>
              </w:rPr>
            </w:pPr>
            <w:r w:rsidRPr="006426C1">
              <w:rPr>
                <w:rFonts w:cs="Arial"/>
                <w:b/>
                <w:bCs/>
                <w:sz w:val="22"/>
                <w:szCs w:val="22"/>
                <w:lang w:eastAsia="en-GB"/>
              </w:rPr>
              <w:t>22975</w:t>
            </w:r>
          </w:p>
        </w:tc>
        <w:tc>
          <w:tcPr>
            <w:tcW w:w="1316"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b/>
                <w:bCs/>
                <w:sz w:val="22"/>
                <w:szCs w:val="22"/>
                <w:lang w:eastAsia="en-GB"/>
              </w:rPr>
            </w:pPr>
            <w:r w:rsidRPr="006426C1">
              <w:rPr>
                <w:rFonts w:cs="Arial"/>
                <w:b/>
                <w:bCs/>
                <w:sz w:val="22"/>
                <w:szCs w:val="22"/>
                <w:lang w:eastAsia="en-GB"/>
              </w:rPr>
              <w:t>8323</w:t>
            </w:r>
          </w:p>
        </w:tc>
        <w:tc>
          <w:tcPr>
            <w:tcW w:w="952" w:type="dxa"/>
            <w:tcBorders>
              <w:top w:val="nil"/>
              <w:left w:val="nil"/>
              <w:bottom w:val="single" w:sz="4" w:space="0" w:color="auto"/>
              <w:right w:val="single" w:sz="4" w:space="0" w:color="auto"/>
            </w:tcBorders>
            <w:shd w:val="clear" w:color="auto" w:fill="auto"/>
            <w:noWrap/>
            <w:vAlign w:val="bottom"/>
            <w:hideMark/>
          </w:tcPr>
          <w:p w:rsidR="006426C1" w:rsidRPr="006426C1" w:rsidRDefault="006426C1" w:rsidP="006426C1">
            <w:pPr>
              <w:spacing w:before="0" w:after="0"/>
              <w:jc w:val="center"/>
              <w:rPr>
                <w:rFonts w:cs="Arial"/>
                <w:b/>
                <w:bCs/>
                <w:sz w:val="22"/>
                <w:szCs w:val="22"/>
                <w:lang w:eastAsia="en-GB"/>
              </w:rPr>
            </w:pPr>
            <w:r w:rsidRPr="006426C1">
              <w:rPr>
                <w:rFonts w:cs="Arial"/>
                <w:b/>
                <w:bCs/>
                <w:sz w:val="22"/>
                <w:szCs w:val="22"/>
                <w:lang w:eastAsia="en-GB"/>
              </w:rPr>
              <w:t>31298</w:t>
            </w:r>
          </w:p>
        </w:tc>
      </w:tr>
    </w:tbl>
    <w:p w:rsidR="006426C1" w:rsidRDefault="006426C1" w:rsidP="002C4CF9"/>
    <w:p w:rsidR="006426C1" w:rsidRDefault="006426C1" w:rsidP="002C4CF9"/>
    <w:p w:rsidR="006426C1" w:rsidRPr="002C4CF9" w:rsidRDefault="006426C1" w:rsidP="002C4CF9"/>
    <w:p w:rsidR="00EE6B85" w:rsidRDefault="00EE6B85" w:rsidP="00EE6B85">
      <w:pPr>
        <w:pStyle w:val="Heading3"/>
      </w:pPr>
      <w:bookmarkStart w:id="309" w:name="_Toc318323459"/>
      <w:r>
        <w:t>Stage 3: Future affordability</w:t>
      </w:r>
      <w:bookmarkEnd w:id="309"/>
    </w:p>
    <w:p w:rsidR="00EE6B85" w:rsidRDefault="00EE6B85" w:rsidP="00EE6B85">
      <w:pPr>
        <w:rPr>
          <w:i/>
        </w:rPr>
      </w:pPr>
    </w:p>
    <w:p w:rsidR="00EE6B85" w:rsidRDefault="00EE6B85" w:rsidP="007E46FA">
      <w:pPr>
        <w:pStyle w:val="Maintext"/>
        <w:numPr>
          <w:ilvl w:val="1"/>
          <w:numId w:val="24"/>
        </w:numPr>
      </w:pPr>
      <w:r>
        <w:t xml:space="preserve">The ability of households to access affordable accommodation in the future will be significantly influenced by prevailing market prices, interest rate changes and capacity in the social rented sector. </w:t>
      </w:r>
    </w:p>
    <w:p w:rsidR="00EE6B85" w:rsidRDefault="00EE6B85" w:rsidP="00EE6B85">
      <w:pPr>
        <w:rPr>
          <w:i/>
        </w:rPr>
      </w:pPr>
    </w:p>
    <w:p w:rsidR="00EE6B85" w:rsidRDefault="00EE6B85" w:rsidP="00EE6B85">
      <w:pPr>
        <w:ind w:left="709"/>
        <w:rPr>
          <w:color w:val="008080"/>
        </w:rPr>
      </w:pPr>
      <w:r>
        <w:rPr>
          <w:color w:val="008080"/>
        </w:rPr>
        <w:t>Market prices and interest rate changes</w:t>
      </w:r>
    </w:p>
    <w:p w:rsidR="00EE6B85" w:rsidRDefault="00EE6B85" w:rsidP="007E46FA">
      <w:pPr>
        <w:pStyle w:val="Maintext"/>
        <w:numPr>
          <w:ilvl w:val="1"/>
          <w:numId w:val="24"/>
        </w:numPr>
      </w:pPr>
      <w:r>
        <w:t>The CLG guidance comments that future house prices cannot be simply projected on the basis of past trends. Furthermore, predicting prices is an inherently uncertain process since changes in house prices are cyclical and periods of rapid growth can be followed by slower rates of growth and/or decline.</w:t>
      </w:r>
    </w:p>
    <w:p w:rsidR="00EE6B85" w:rsidRDefault="00EE6B85" w:rsidP="007E46FA">
      <w:pPr>
        <w:pStyle w:val="Maintext"/>
        <w:numPr>
          <w:ilvl w:val="1"/>
          <w:numId w:val="24"/>
        </w:numPr>
      </w:pPr>
      <w:r>
        <w:t xml:space="preserve">It is possible to undertake some elementary modelling work which assesses the likely impact of price and interest rate changes on relative affordability. Table </w:t>
      </w:r>
      <w:r w:rsidR="00754000">
        <w:t>C4</w:t>
      </w:r>
      <w:r>
        <w:t xml:space="preserve"> presents historic market values across </w:t>
      </w:r>
      <w:r w:rsidR="00754000">
        <w:t>County Durham</w:t>
      </w:r>
      <w:r>
        <w:t xml:space="preserve"> and how much mortgages on a median property price would have varied assuming a fixed interest mortgage based on a 10% deposit.</w:t>
      </w:r>
    </w:p>
    <w:p w:rsidR="00EE6B85" w:rsidRDefault="00EE6B85" w:rsidP="007E46FA">
      <w:pPr>
        <w:pStyle w:val="Maintext"/>
        <w:numPr>
          <w:ilvl w:val="1"/>
          <w:numId w:val="24"/>
        </w:numPr>
      </w:pPr>
      <w:r>
        <w:t>Three future scenarios are modelled:</w:t>
      </w:r>
    </w:p>
    <w:p w:rsidR="00EE6B85" w:rsidRDefault="00EE6B85" w:rsidP="007E46FA">
      <w:pPr>
        <w:pStyle w:val="Maintext"/>
        <w:numPr>
          <w:ilvl w:val="2"/>
          <w:numId w:val="24"/>
        </w:numPr>
      </w:pPr>
      <w:r>
        <w:t>Scenario A: A continuous fall in prices through to 2015;</w:t>
      </w:r>
    </w:p>
    <w:p w:rsidR="00EE6B85" w:rsidRDefault="00EE6B85" w:rsidP="007E46FA">
      <w:pPr>
        <w:pStyle w:val="Maintext"/>
        <w:numPr>
          <w:ilvl w:val="2"/>
          <w:numId w:val="24"/>
        </w:numPr>
      </w:pPr>
      <w:r>
        <w:t>Scenario B: A short fall and recovery in 2013;</w:t>
      </w:r>
    </w:p>
    <w:p w:rsidR="00EE6B85" w:rsidRDefault="00EE6B85" w:rsidP="007E46FA">
      <w:pPr>
        <w:pStyle w:val="Maintext"/>
        <w:numPr>
          <w:ilvl w:val="2"/>
          <w:numId w:val="24"/>
        </w:numPr>
      </w:pPr>
      <w:r>
        <w:t>Scenario C: A sustained recovery starting in 2012.</w:t>
      </w:r>
    </w:p>
    <w:p w:rsidR="00EE6B85" w:rsidRDefault="00EE6B85" w:rsidP="00EE6B85">
      <w:pPr>
        <w:ind w:left="2160" w:hanging="1451"/>
        <w:rPr>
          <w:b/>
        </w:rPr>
      </w:pPr>
    </w:p>
    <w:p w:rsidR="00EE6B85" w:rsidRDefault="00EE6B85" w:rsidP="00C66F41">
      <w:pPr>
        <w:ind w:left="2160" w:hanging="1451"/>
      </w:pPr>
      <w:r>
        <w:rPr>
          <w:b/>
        </w:rPr>
        <w:t>Table C</w:t>
      </w:r>
      <w:r w:rsidR="002C4CF9">
        <w:rPr>
          <w:b/>
        </w:rPr>
        <w:t>8</w:t>
      </w:r>
      <w:r>
        <w:tab/>
        <w:t>Cost of repayment mortgage based on different house price change and interest rate assumptions</w:t>
      </w:r>
    </w:p>
    <w:tbl>
      <w:tblPr>
        <w:tblW w:w="4961" w:type="dxa"/>
        <w:tblInd w:w="720" w:type="dxa"/>
        <w:tblLook w:val="04A0" w:firstRow="1" w:lastRow="0" w:firstColumn="1" w:lastColumn="0" w:noHBand="0" w:noVBand="1"/>
      </w:tblPr>
      <w:tblGrid>
        <w:gridCol w:w="860"/>
        <w:gridCol w:w="950"/>
        <w:gridCol w:w="1060"/>
        <w:gridCol w:w="1051"/>
        <w:gridCol w:w="1040"/>
      </w:tblGrid>
      <w:tr w:rsidR="00C740C1" w:rsidRPr="00C740C1" w:rsidTr="00C740C1">
        <w:trPr>
          <w:trHeight w:val="840"/>
        </w:trPr>
        <w:tc>
          <w:tcPr>
            <w:tcW w:w="860" w:type="dxa"/>
            <w:tcBorders>
              <w:top w:val="single" w:sz="8" w:space="0" w:color="auto"/>
              <w:left w:val="single" w:sz="8" w:space="0" w:color="auto"/>
              <w:bottom w:val="nil"/>
              <w:right w:val="single" w:sz="4" w:space="0" w:color="auto"/>
            </w:tcBorders>
            <w:shd w:val="clear" w:color="000000" w:fill="008080"/>
            <w:vAlign w:val="center"/>
            <w:hideMark/>
          </w:tcPr>
          <w:p w:rsidR="00C740C1" w:rsidRPr="00C740C1" w:rsidRDefault="00C740C1" w:rsidP="00C740C1">
            <w:pPr>
              <w:spacing w:before="0" w:after="0"/>
              <w:jc w:val="center"/>
              <w:rPr>
                <w:rFonts w:cs="Arial"/>
                <w:b/>
                <w:bCs/>
                <w:color w:val="FFFFFF"/>
                <w:sz w:val="20"/>
                <w:szCs w:val="20"/>
                <w:lang w:eastAsia="en-GB"/>
              </w:rPr>
            </w:pPr>
            <w:r w:rsidRPr="00C740C1">
              <w:rPr>
                <w:rFonts w:cs="Arial"/>
                <w:b/>
                <w:bCs/>
                <w:color w:val="FFFFFF"/>
                <w:sz w:val="20"/>
                <w:szCs w:val="20"/>
                <w:lang w:eastAsia="en-GB"/>
              </w:rPr>
              <w:t> </w:t>
            </w:r>
          </w:p>
        </w:tc>
        <w:tc>
          <w:tcPr>
            <w:tcW w:w="950" w:type="dxa"/>
            <w:tcBorders>
              <w:top w:val="single" w:sz="8" w:space="0" w:color="auto"/>
              <w:left w:val="nil"/>
              <w:bottom w:val="nil"/>
              <w:right w:val="single" w:sz="4" w:space="0" w:color="auto"/>
            </w:tcBorders>
            <w:shd w:val="clear" w:color="000000" w:fill="008080"/>
            <w:vAlign w:val="center"/>
            <w:hideMark/>
          </w:tcPr>
          <w:p w:rsidR="00C740C1" w:rsidRPr="00C740C1" w:rsidRDefault="00C740C1" w:rsidP="00C740C1">
            <w:pPr>
              <w:spacing w:before="0" w:after="0"/>
              <w:jc w:val="center"/>
              <w:rPr>
                <w:rFonts w:cs="Arial"/>
                <w:b/>
                <w:bCs/>
                <w:color w:val="FFFFFF"/>
                <w:sz w:val="20"/>
                <w:szCs w:val="20"/>
                <w:lang w:eastAsia="en-GB"/>
              </w:rPr>
            </w:pPr>
            <w:r w:rsidRPr="00C740C1">
              <w:rPr>
                <w:rFonts w:cs="Arial"/>
                <w:b/>
                <w:bCs/>
                <w:color w:val="FFFFFF"/>
                <w:sz w:val="20"/>
                <w:szCs w:val="20"/>
                <w:lang w:eastAsia="en-GB"/>
              </w:rPr>
              <w:t>House Price Change</w:t>
            </w:r>
          </w:p>
        </w:tc>
        <w:tc>
          <w:tcPr>
            <w:tcW w:w="1060" w:type="dxa"/>
            <w:tcBorders>
              <w:top w:val="single" w:sz="8" w:space="0" w:color="auto"/>
              <w:left w:val="nil"/>
              <w:bottom w:val="single" w:sz="4" w:space="0" w:color="auto"/>
              <w:right w:val="single" w:sz="4" w:space="0" w:color="auto"/>
            </w:tcBorders>
            <w:shd w:val="clear" w:color="000000" w:fill="008080"/>
            <w:vAlign w:val="center"/>
            <w:hideMark/>
          </w:tcPr>
          <w:p w:rsidR="00C740C1" w:rsidRPr="00C740C1" w:rsidRDefault="00C740C1" w:rsidP="00C740C1">
            <w:pPr>
              <w:spacing w:before="0" w:after="0"/>
              <w:jc w:val="center"/>
              <w:rPr>
                <w:rFonts w:cs="Arial"/>
                <w:b/>
                <w:bCs/>
                <w:color w:val="FFFFFF"/>
                <w:sz w:val="20"/>
                <w:szCs w:val="20"/>
                <w:lang w:eastAsia="en-GB"/>
              </w:rPr>
            </w:pPr>
            <w:r w:rsidRPr="00C740C1">
              <w:rPr>
                <w:rFonts w:cs="Arial"/>
                <w:b/>
                <w:bCs/>
                <w:color w:val="FFFFFF"/>
                <w:sz w:val="20"/>
                <w:szCs w:val="20"/>
                <w:lang w:eastAsia="en-GB"/>
              </w:rPr>
              <w:t>Median Price</w:t>
            </w:r>
          </w:p>
        </w:tc>
        <w:tc>
          <w:tcPr>
            <w:tcW w:w="1051" w:type="dxa"/>
            <w:tcBorders>
              <w:top w:val="single" w:sz="8" w:space="0" w:color="auto"/>
              <w:left w:val="nil"/>
              <w:bottom w:val="single" w:sz="4" w:space="0" w:color="auto"/>
              <w:right w:val="single" w:sz="4" w:space="0" w:color="auto"/>
            </w:tcBorders>
            <w:shd w:val="clear" w:color="000000" w:fill="008080"/>
            <w:vAlign w:val="center"/>
            <w:hideMark/>
          </w:tcPr>
          <w:p w:rsidR="00C740C1" w:rsidRPr="00C740C1" w:rsidRDefault="00C740C1" w:rsidP="00C740C1">
            <w:pPr>
              <w:spacing w:before="0" w:after="0"/>
              <w:jc w:val="center"/>
              <w:rPr>
                <w:rFonts w:cs="Arial"/>
                <w:b/>
                <w:bCs/>
                <w:color w:val="FFFFFF"/>
                <w:sz w:val="20"/>
                <w:szCs w:val="20"/>
                <w:lang w:eastAsia="en-GB"/>
              </w:rPr>
            </w:pPr>
            <w:r w:rsidRPr="00C740C1">
              <w:rPr>
                <w:rFonts w:cs="Arial"/>
                <w:b/>
                <w:bCs/>
                <w:color w:val="FFFFFF"/>
                <w:sz w:val="20"/>
                <w:szCs w:val="20"/>
                <w:lang w:eastAsia="en-GB"/>
              </w:rPr>
              <w:t>90% LTV</w:t>
            </w:r>
          </w:p>
        </w:tc>
        <w:tc>
          <w:tcPr>
            <w:tcW w:w="1040" w:type="dxa"/>
            <w:tcBorders>
              <w:top w:val="single" w:sz="8" w:space="0" w:color="auto"/>
              <w:left w:val="nil"/>
              <w:bottom w:val="single" w:sz="4" w:space="0" w:color="auto"/>
              <w:right w:val="single" w:sz="8" w:space="0" w:color="auto"/>
            </w:tcBorders>
            <w:shd w:val="clear" w:color="000000" w:fill="008080"/>
            <w:vAlign w:val="center"/>
            <w:hideMark/>
          </w:tcPr>
          <w:p w:rsidR="00C740C1" w:rsidRPr="00C740C1" w:rsidRDefault="00C740C1" w:rsidP="00C740C1">
            <w:pPr>
              <w:spacing w:before="0" w:after="0"/>
              <w:jc w:val="center"/>
              <w:rPr>
                <w:rFonts w:cs="Arial"/>
                <w:b/>
                <w:bCs/>
                <w:color w:val="FFFFFF"/>
                <w:sz w:val="20"/>
                <w:szCs w:val="20"/>
                <w:lang w:eastAsia="en-GB"/>
              </w:rPr>
            </w:pPr>
            <w:r w:rsidRPr="00C740C1">
              <w:rPr>
                <w:rFonts w:cs="Arial"/>
                <w:b/>
                <w:bCs/>
                <w:color w:val="FFFFFF"/>
                <w:sz w:val="20"/>
                <w:szCs w:val="20"/>
                <w:lang w:eastAsia="en-GB"/>
              </w:rPr>
              <w:t>Interest Rate  6.09% (1)</w:t>
            </w:r>
          </w:p>
        </w:tc>
      </w:tr>
      <w:tr w:rsidR="00C740C1" w:rsidRPr="00C740C1" w:rsidTr="00C740C1">
        <w:trPr>
          <w:trHeight w:val="255"/>
        </w:trPr>
        <w:tc>
          <w:tcPr>
            <w:tcW w:w="2870" w:type="dxa"/>
            <w:gridSpan w:val="3"/>
            <w:tcBorders>
              <w:top w:val="single" w:sz="4" w:space="0" w:color="auto"/>
              <w:left w:val="single" w:sz="8" w:space="0" w:color="auto"/>
              <w:bottom w:val="single" w:sz="4" w:space="0" w:color="auto"/>
              <w:right w:val="nil"/>
            </w:tcBorders>
            <w:shd w:val="clear" w:color="000000" w:fill="008080"/>
            <w:noWrap/>
            <w:vAlign w:val="bottom"/>
            <w:hideMark/>
          </w:tcPr>
          <w:p w:rsidR="00C740C1" w:rsidRPr="00C740C1" w:rsidRDefault="00C740C1" w:rsidP="00C740C1">
            <w:pPr>
              <w:spacing w:before="0" w:after="0"/>
              <w:rPr>
                <w:rFonts w:cs="Arial"/>
                <w:color w:val="FFFFFF"/>
                <w:sz w:val="20"/>
                <w:szCs w:val="20"/>
                <w:lang w:eastAsia="en-GB"/>
              </w:rPr>
            </w:pPr>
            <w:r w:rsidRPr="00C740C1">
              <w:rPr>
                <w:rFonts w:cs="Arial"/>
                <w:color w:val="FFFFFF"/>
                <w:sz w:val="20"/>
                <w:szCs w:val="20"/>
                <w:lang w:eastAsia="en-GB"/>
              </w:rPr>
              <w:t>Historic Market Values</w:t>
            </w:r>
          </w:p>
        </w:tc>
        <w:tc>
          <w:tcPr>
            <w:tcW w:w="1051" w:type="dxa"/>
            <w:tcBorders>
              <w:top w:val="nil"/>
              <w:left w:val="nil"/>
              <w:bottom w:val="single" w:sz="4" w:space="0" w:color="auto"/>
              <w:right w:val="nil"/>
            </w:tcBorders>
            <w:shd w:val="clear" w:color="000000" w:fill="008080"/>
            <w:noWrap/>
            <w:vAlign w:val="bottom"/>
            <w:hideMark/>
          </w:tcPr>
          <w:p w:rsidR="00C740C1" w:rsidRPr="00C740C1" w:rsidRDefault="00C740C1" w:rsidP="00C740C1">
            <w:pPr>
              <w:spacing w:before="0" w:after="0"/>
              <w:rPr>
                <w:rFonts w:cs="Arial"/>
                <w:color w:val="FFFFFF"/>
                <w:sz w:val="20"/>
                <w:szCs w:val="20"/>
                <w:lang w:eastAsia="en-GB"/>
              </w:rPr>
            </w:pPr>
            <w:r w:rsidRPr="00C740C1">
              <w:rPr>
                <w:rFonts w:cs="Arial"/>
                <w:color w:val="FFFFFF"/>
                <w:sz w:val="20"/>
                <w:szCs w:val="20"/>
                <w:lang w:eastAsia="en-GB"/>
              </w:rPr>
              <w:t> </w:t>
            </w:r>
          </w:p>
        </w:tc>
        <w:tc>
          <w:tcPr>
            <w:tcW w:w="1040" w:type="dxa"/>
            <w:tcBorders>
              <w:top w:val="nil"/>
              <w:left w:val="nil"/>
              <w:bottom w:val="single" w:sz="4" w:space="0" w:color="auto"/>
              <w:right w:val="single" w:sz="8" w:space="0" w:color="auto"/>
            </w:tcBorders>
            <w:shd w:val="clear" w:color="000000" w:fill="008080"/>
            <w:noWrap/>
            <w:vAlign w:val="bottom"/>
            <w:hideMark/>
          </w:tcPr>
          <w:p w:rsidR="00C740C1" w:rsidRPr="00C740C1" w:rsidRDefault="00C740C1" w:rsidP="00C740C1">
            <w:pPr>
              <w:spacing w:before="0" w:after="0"/>
              <w:rPr>
                <w:rFonts w:cs="Arial"/>
                <w:color w:val="FFFFFF"/>
                <w:sz w:val="20"/>
                <w:szCs w:val="20"/>
                <w:lang w:eastAsia="en-GB"/>
              </w:rPr>
            </w:pPr>
            <w:r w:rsidRPr="00C740C1">
              <w:rPr>
                <w:rFonts w:cs="Arial"/>
                <w:color w:val="FFFFFF"/>
                <w:sz w:val="20"/>
                <w:szCs w:val="20"/>
                <w:lang w:eastAsia="en-GB"/>
              </w:rPr>
              <w:t> </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2009</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£105,000</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£94,500</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£621</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2010</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£106,500</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£95,850</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£629</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2011</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£105,000</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£94,500</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£621</w:t>
            </w:r>
          </w:p>
        </w:tc>
      </w:tr>
      <w:tr w:rsidR="00C740C1" w:rsidRPr="00C740C1" w:rsidTr="00C740C1">
        <w:trPr>
          <w:trHeight w:val="255"/>
        </w:trPr>
        <w:tc>
          <w:tcPr>
            <w:tcW w:w="2870" w:type="dxa"/>
            <w:gridSpan w:val="3"/>
            <w:tcBorders>
              <w:top w:val="single" w:sz="4" w:space="0" w:color="auto"/>
              <w:left w:val="single" w:sz="8" w:space="0" w:color="auto"/>
              <w:bottom w:val="single" w:sz="4" w:space="0" w:color="auto"/>
              <w:right w:val="nil"/>
            </w:tcBorders>
            <w:shd w:val="clear" w:color="000000" w:fill="008080"/>
            <w:noWrap/>
            <w:vAlign w:val="bottom"/>
            <w:hideMark/>
          </w:tcPr>
          <w:p w:rsidR="00C740C1" w:rsidRPr="00C740C1" w:rsidRDefault="00C740C1" w:rsidP="00C740C1">
            <w:pPr>
              <w:spacing w:before="0" w:after="0"/>
              <w:rPr>
                <w:rFonts w:cs="Arial"/>
                <w:color w:val="FFFFFF"/>
                <w:sz w:val="20"/>
                <w:szCs w:val="20"/>
                <w:lang w:eastAsia="en-GB"/>
              </w:rPr>
            </w:pPr>
            <w:r w:rsidRPr="00C740C1">
              <w:rPr>
                <w:rFonts w:cs="Arial"/>
                <w:color w:val="FFFFFF"/>
                <w:sz w:val="20"/>
                <w:szCs w:val="20"/>
                <w:lang w:eastAsia="en-GB"/>
              </w:rPr>
              <w:t>Scenario A: Continuous Fall</w:t>
            </w:r>
          </w:p>
        </w:tc>
        <w:tc>
          <w:tcPr>
            <w:tcW w:w="1051" w:type="dxa"/>
            <w:tcBorders>
              <w:top w:val="nil"/>
              <w:left w:val="nil"/>
              <w:bottom w:val="single" w:sz="4" w:space="0" w:color="auto"/>
              <w:right w:val="nil"/>
            </w:tcBorders>
            <w:shd w:val="clear" w:color="000000" w:fill="008080"/>
            <w:noWrap/>
            <w:vAlign w:val="bottom"/>
            <w:hideMark/>
          </w:tcPr>
          <w:p w:rsidR="00C740C1" w:rsidRPr="00C740C1" w:rsidRDefault="00C740C1" w:rsidP="00C740C1">
            <w:pPr>
              <w:spacing w:before="0" w:after="0"/>
              <w:jc w:val="center"/>
              <w:rPr>
                <w:rFonts w:cs="Arial"/>
                <w:color w:val="FFFFFF"/>
                <w:sz w:val="20"/>
                <w:szCs w:val="20"/>
                <w:lang w:eastAsia="en-GB"/>
              </w:rPr>
            </w:pPr>
            <w:r w:rsidRPr="00C740C1">
              <w:rPr>
                <w:rFonts w:cs="Arial"/>
                <w:color w:val="FFFFFF"/>
                <w:sz w:val="20"/>
                <w:szCs w:val="20"/>
                <w:lang w:eastAsia="en-GB"/>
              </w:rPr>
              <w:t> </w:t>
            </w:r>
          </w:p>
        </w:tc>
        <w:tc>
          <w:tcPr>
            <w:tcW w:w="1040" w:type="dxa"/>
            <w:tcBorders>
              <w:top w:val="nil"/>
              <w:left w:val="nil"/>
              <w:bottom w:val="single" w:sz="4" w:space="0" w:color="auto"/>
              <w:right w:val="single" w:sz="8" w:space="0" w:color="auto"/>
            </w:tcBorders>
            <w:shd w:val="clear" w:color="000000" w:fill="008080"/>
            <w:noWrap/>
            <w:vAlign w:val="bottom"/>
            <w:hideMark/>
          </w:tcPr>
          <w:p w:rsidR="00C740C1" w:rsidRPr="00C740C1" w:rsidRDefault="00C740C1" w:rsidP="00C740C1">
            <w:pPr>
              <w:spacing w:before="0" w:after="0"/>
              <w:jc w:val="center"/>
              <w:rPr>
                <w:rFonts w:cs="Arial"/>
                <w:color w:val="FFFFFF"/>
                <w:sz w:val="20"/>
                <w:szCs w:val="20"/>
                <w:lang w:eastAsia="en-GB"/>
              </w:rPr>
            </w:pPr>
            <w:r w:rsidRPr="00C740C1">
              <w:rPr>
                <w:rFonts w:cs="Arial"/>
                <w:color w:val="FFFFFF"/>
                <w:sz w:val="20"/>
                <w:szCs w:val="20"/>
                <w:lang w:eastAsia="en-GB"/>
              </w:rPr>
              <w:t> </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2012</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800000"/>
                <w:sz w:val="20"/>
                <w:szCs w:val="20"/>
                <w:lang w:eastAsia="en-GB"/>
              </w:rPr>
            </w:pPr>
            <w:r w:rsidRPr="00C740C1">
              <w:rPr>
                <w:rFonts w:cs="Arial"/>
                <w:b/>
                <w:bCs/>
                <w:color w:val="800000"/>
                <w:sz w:val="20"/>
                <w:szCs w:val="20"/>
                <w:lang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£99,750</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£89,775</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£590</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2013</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800000"/>
                <w:sz w:val="20"/>
                <w:szCs w:val="20"/>
                <w:lang w:eastAsia="en-GB"/>
              </w:rPr>
            </w:pPr>
            <w:r w:rsidRPr="00C740C1">
              <w:rPr>
                <w:rFonts w:cs="Arial"/>
                <w:b/>
                <w:bCs/>
                <w:color w:val="800000"/>
                <w:sz w:val="20"/>
                <w:szCs w:val="20"/>
                <w:lang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£94,763</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£85,286</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£561</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2014</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800000"/>
                <w:sz w:val="20"/>
                <w:szCs w:val="20"/>
                <w:lang w:eastAsia="en-GB"/>
              </w:rPr>
            </w:pPr>
            <w:r w:rsidRPr="00C740C1">
              <w:rPr>
                <w:rFonts w:cs="Arial"/>
                <w:b/>
                <w:bCs/>
                <w:color w:val="800000"/>
                <w:sz w:val="20"/>
                <w:szCs w:val="20"/>
                <w:lang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£90,024</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£81,022</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£533</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2015</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800000"/>
                <w:sz w:val="20"/>
                <w:szCs w:val="20"/>
                <w:lang w:eastAsia="en-GB"/>
              </w:rPr>
            </w:pPr>
            <w:r w:rsidRPr="00C740C1">
              <w:rPr>
                <w:rFonts w:cs="Arial"/>
                <w:b/>
                <w:bCs/>
                <w:color w:val="800000"/>
                <w:sz w:val="20"/>
                <w:szCs w:val="20"/>
                <w:lang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£85,523</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£76,971</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£507</w:t>
            </w:r>
          </w:p>
        </w:tc>
      </w:tr>
      <w:tr w:rsidR="00C740C1" w:rsidRPr="00C740C1" w:rsidTr="00C740C1">
        <w:trPr>
          <w:trHeight w:val="255"/>
        </w:trPr>
        <w:tc>
          <w:tcPr>
            <w:tcW w:w="3921" w:type="dxa"/>
            <w:gridSpan w:val="4"/>
            <w:tcBorders>
              <w:top w:val="single" w:sz="4" w:space="0" w:color="auto"/>
              <w:left w:val="single" w:sz="8" w:space="0" w:color="auto"/>
              <w:bottom w:val="single" w:sz="4" w:space="0" w:color="auto"/>
              <w:right w:val="nil"/>
            </w:tcBorders>
            <w:shd w:val="clear" w:color="000000" w:fill="008080"/>
            <w:noWrap/>
            <w:vAlign w:val="bottom"/>
            <w:hideMark/>
          </w:tcPr>
          <w:p w:rsidR="00C740C1" w:rsidRPr="00C740C1" w:rsidRDefault="00C740C1" w:rsidP="00C740C1">
            <w:pPr>
              <w:spacing w:before="0" w:after="0"/>
              <w:rPr>
                <w:rFonts w:cs="Arial"/>
                <w:color w:val="FFFFFF"/>
                <w:sz w:val="20"/>
                <w:szCs w:val="20"/>
                <w:lang w:eastAsia="en-GB"/>
              </w:rPr>
            </w:pPr>
            <w:r w:rsidRPr="00C740C1">
              <w:rPr>
                <w:rFonts w:cs="Arial"/>
                <w:color w:val="FFFFFF"/>
                <w:sz w:val="20"/>
                <w:szCs w:val="20"/>
                <w:lang w:eastAsia="en-GB"/>
              </w:rPr>
              <w:t>Scenario B: Short Fall and recovery</w:t>
            </w:r>
          </w:p>
        </w:tc>
        <w:tc>
          <w:tcPr>
            <w:tcW w:w="1040" w:type="dxa"/>
            <w:tcBorders>
              <w:top w:val="nil"/>
              <w:left w:val="nil"/>
              <w:bottom w:val="single" w:sz="4" w:space="0" w:color="auto"/>
              <w:right w:val="single" w:sz="8" w:space="0" w:color="auto"/>
            </w:tcBorders>
            <w:shd w:val="clear" w:color="000000" w:fill="008080"/>
            <w:noWrap/>
            <w:vAlign w:val="bottom"/>
            <w:hideMark/>
          </w:tcPr>
          <w:p w:rsidR="00C740C1" w:rsidRPr="00C740C1" w:rsidRDefault="00C740C1" w:rsidP="00C740C1">
            <w:pPr>
              <w:spacing w:before="0" w:after="0"/>
              <w:jc w:val="center"/>
              <w:rPr>
                <w:rFonts w:cs="Arial"/>
                <w:color w:val="FFFFFF"/>
                <w:sz w:val="20"/>
                <w:szCs w:val="20"/>
                <w:lang w:eastAsia="en-GB"/>
              </w:rPr>
            </w:pPr>
            <w:r w:rsidRPr="00C740C1">
              <w:rPr>
                <w:rFonts w:cs="Arial"/>
                <w:color w:val="FFFFFF"/>
                <w:sz w:val="20"/>
                <w:szCs w:val="20"/>
                <w:lang w:eastAsia="en-GB"/>
              </w:rPr>
              <w:t> </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2012</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800000"/>
                <w:sz w:val="20"/>
                <w:szCs w:val="20"/>
                <w:lang w:eastAsia="en-GB"/>
              </w:rPr>
            </w:pPr>
            <w:r w:rsidRPr="00C740C1">
              <w:rPr>
                <w:rFonts w:cs="Arial"/>
                <w:b/>
                <w:bCs/>
                <w:color w:val="800000"/>
                <w:sz w:val="20"/>
                <w:szCs w:val="20"/>
                <w:lang w:eastAsia="en-GB"/>
              </w:rPr>
              <w:t>-5.0%</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£99,750</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£89,775</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£590</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2013</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£100,748</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£90,673</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£596</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2014</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+2%</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£102,762</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£92,486</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£607</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2015</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+3%</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£105,845</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£95,261</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£626</w:t>
            </w:r>
          </w:p>
        </w:tc>
      </w:tr>
      <w:tr w:rsidR="00C740C1" w:rsidRPr="00C740C1" w:rsidTr="00C740C1">
        <w:trPr>
          <w:trHeight w:val="255"/>
        </w:trPr>
        <w:tc>
          <w:tcPr>
            <w:tcW w:w="2870" w:type="dxa"/>
            <w:gridSpan w:val="3"/>
            <w:tcBorders>
              <w:top w:val="single" w:sz="4" w:space="0" w:color="auto"/>
              <w:left w:val="single" w:sz="8" w:space="0" w:color="auto"/>
              <w:bottom w:val="single" w:sz="4" w:space="0" w:color="auto"/>
              <w:right w:val="nil"/>
            </w:tcBorders>
            <w:shd w:val="clear" w:color="000000" w:fill="008080"/>
            <w:noWrap/>
            <w:vAlign w:val="bottom"/>
            <w:hideMark/>
          </w:tcPr>
          <w:p w:rsidR="00C740C1" w:rsidRPr="00C740C1" w:rsidRDefault="00C740C1" w:rsidP="00C740C1">
            <w:pPr>
              <w:spacing w:before="0" w:after="0"/>
              <w:rPr>
                <w:rFonts w:cs="Arial"/>
                <w:color w:val="FFFFFF"/>
                <w:sz w:val="20"/>
                <w:szCs w:val="20"/>
                <w:lang w:eastAsia="en-GB"/>
              </w:rPr>
            </w:pPr>
            <w:r w:rsidRPr="00C740C1">
              <w:rPr>
                <w:rFonts w:cs="Arial"/>
                <w:color w:val="FFFFFF"/>
                <w:sz w:val="20"/>
                <w:szCs w:val="20"/>
                <w:lang w:eastAsia="en-GB"/>
              </w:rPr>
              <w:t>Scenario C: Sustained recovery</w:t>
            </w:r>
          </w:p>
        </w:tc>
        <w:tc>
          <w:tcPr>
            <w:tcW w:w="1051" w:type="dxa"/>
            <w:tcBorders>
              <w:top w:val="nil"/>
              <w:left w:val="nil"/>
              <w:bottom w:val="single" w:sz="4" w:space="0" w:color="auto"/>
              <w:right w:val="nil"/>
            </w:tcBorders>
            <w:shd w:val="clear" w:color="000000" w:fill="008080"/>
            <w:noWrap/>
            <w:vAlign w:val="bottom"/>
            <w:hideMark/>
          </w:tcPr>
          <w:p w:rsidR="00C740C1" w:rsidRPr="00C740C1" w:rsidRDefault="00C740C1" w:rsidP="00C740C1">
            <w:pPr>
              <w:spacing w:before="0" w:after="0"/>
              <w:jc w:val="center"/>
              <w:rPr>
                <w:rFonts w:cs="Arial"/>
                <w:color w:val="FFFFFF"/>
                <w:sz w:val="20"/>
                <w:szCs w:val="20"/>
                <w:lang w:eastAsia="en-GB"/>
              </w:rPr>
            </w:pPr>
            <w:r w:rsidRPr="00C740C1">
              <w:rPr>
                <w:rFonts w:cs="Arial"/>
                <w:color w:val="FFFFFF"/>
                <w:sz w:val="20"/>
                <w:szCs w:val="20"/>
                <w:lang w:eastAsia="en-GB"/>
              </w:rPr>
              <w:t> </w:t>
            </w:r>
          </w:p>
        </w:tc>
        <w:tc>
          <w:tcPr>
            <w:tcW w:w="1040" w:type="dxa"/>
            <w:tcBorders>
              <w:top w:val="nil"/>
              <w:left w:val="nil"/>
              <w:bottom w:val="single" w:sz="4" w:space="0" w:color="auto"/>
              <w:right w:val="single" w:sz="8" w:space="0" w:color="auto"/>
            </w:tcBorders>
            <w:shd w:val="clear" w:color="000000" w:fill="008080"/>
            <w:noWrap/>
            <w:vAlign w:val="bottom"/>
            <w:hideMark/>
          </w:tcPr>
          <w:p w:rsidR="00C740C1" w:rsidRPr="00C740C1" w:rsidRDefault="00C740C1" w:rsidP="00C740C1">
            <w:pPr>
              <w:spacing w:before="0" w:after="0"/>
              <w:jc w:val="center"/>
              <w:rPr>
                <w:rFonts w:cs="Arial"/>
                <w:color w:val="FFFFFF"/>
                <w:sz w:val="20"/>
                <w:szCs w:val="20"/>
                <w:lang w:eastAsia="en-GB"/>
              </w:rPr>
            </w:pPr>
            <w:r w:rsidRPr="00C740C1">
              <w:rPr>
                <w:rFonts w:cs="Arial"/>
                <w:color w:val="FFFFFF"/>
                <w:sz w:val="20"/>
                <w:szCs w:val="20"/>
                <w:lang w:eastAsia="en-GB"/>
              </w:rPr>
              <w:t> </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2012</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+1%</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£106,050</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£95,445</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£627</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2013</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£111,353</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£100,217</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£658</w:t>
            </w:r>
          </w:p>
        </w:tc>
      </w:tr>
      <w:tr w:rsidR="00C740C1" w:rsidRPr="00C740C1" w:rsidTr="00C740C1">
        <w:trPr>
          <w:trHeight w:val="255"/>
        </w:trPr>
        <w:tc>
          <w:tcPr>
            <w:tcW w:w="860" w:type="dxa"/>
            <w:tcBorders>
              <w:top w:val="nil"/>
              <w:left w:val="single" w:sz="8" w:space="0" w:color="auto"/>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2014</w:t>
            </w:r>
          </w:p>
        </w:tc>
        <w:tc>
          <w:tcPr>
            <w:tcW w:w="95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+5%</w:t>
            </w:r>
          </w:p>
        </w:tc>
        <w:tc>
          <w:tcPr>
            <w:tcW w:w="1060"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£116,920</w:t>
            </w:r>
          </w:p>
        </w:tc>
        <w:tc>
          <w:tcPr>
            <w:tcW w:w="1051" w:type="dxa"/>
            <w:tcBorders>
              <w:top w:val="nil"/>
              <w:left w:val="nil"/>
              <w:bottom w:val="single" w:sz="4"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£105,228</w:t>
            </w:r>
          </w:p>
        </w:tc>
        <w:tc>
          <w:tcPr>
            <w:tcW w:w="1040" w:type="dxa"/>
            <w:tcBorders>
              <w:top w:val="nil"/>
              <w:left w:val="nil"/>
              <w:bottom w:val="single" w:sz="4"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£690</w:t>
            </w:r>
          </w:p>
        </w:tc>
      </w:tr>
      <w:tr w:rsidR="00C740C1" w:rsidRPr="00C740C1" w:rsidTr="00C740C1">
        <w:trPr>
          <w:trHeight w:val="270"/>
        </w:trPr>
        <w:tc>
          <w:tcPr>
            <w:tcW w:w="860" w:type="dxa"/>
            <w:tcBorders>
              <w:top w:val="nil"/>
              <w:left w:val="single" w:sz="8" w:space="0" w:color="auto"/>
              <w:bottom w:val="single" w:sz="8"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2015</w:t>
            </w:r>
          </w:p>
        </w:tc>
        <w:tc>
          <w:tcPr>
            <w:tcW w:w="950" w:type="dxa"/>
            <w:tcBorders>
              <w:top w:val="nil"/>
              <w:left w:val="nil"/>
              <w:bottom w:val="single" w:sz="8"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b/>
                <w:bCs/>
                <w:color w:val="008000"/>
                <w:sz w:val="20"/>
                <w:szCs w:val="20"/>
                <w:lang w:eastAsia="en-GB"/>
              </w:rPr>
            </w:pPr>
            <w:r w:rsidRPr="00C740C1">
              <w:rPr>
                <w:rFonts w:cs="Arial"/>
                <w:b/>
                <w:bCs/>
                <w:color w:val="008000"/>
                <w:sz w:val="20"/>
                <w:szCs w:val="20"/>
                <w:lang w:eastAsia="en-GB"/>
              </w:rPr>
              <w:t>+7.5%</w:t>
            </w:r>
          </w:p>
        </w:tc>
        <w:tc>
          <w:tcPr>
            <w:tcW w:w="1060" w:type="dxa"/>
            <w:tcBorders>
              <w:top w:val="nil"/>
              <w:left w:val="nil"/>
              <w:bottom w:val="single" w:sz="8"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£125,689</w:t>
            </w:r>
          </w:p>
        </w:tc>
        <w:tc>
          <w:tcPr>
            <w:tcW w:w="1051" w:type="dxa"/>
            <w:tcBorders>
              <w:top w:val="nil"/>
              <w:left w:val="nil"/>
              <w:bottom w:val="single" w:sz="8" w:space="0" w:color="auto"/>
              <w:right w:val="single" w:sz="4"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£113,120</w:t>
            </w:r>
          </w:p>
        </w:tc>
        <w:tc>
          <w:tcPr>
            <w:tcW w:w="1040" w:type="dxa"/>
            <w:tcBorders>
              <w:top w:val="nil"/>
              <w:left w:val="nil"/>
              <w:bottom w:val="single" w:sz="8" w:space="0" w:color="auto"/>
              <w:right w:val="single" w:sz="8" w:space="0" w:color="auto"/>
            </w:tcBorders>
            <w:shd w:val="clear" w:color="auto" w:fill="auto"/>
            <w:noWrap/>
            <w:vAlign w:val="bottom"/>
            <w:hideMark/>
          </w:tcPr>
          <w:p w:rsidR="00C740C1" w:rsidRPr="00C740C1" w:rsidRDefault="00C740C1" w:rsidP="00C740C1">
            <w:pPr>
              <w:spacing w:before="0" w:after="0"/>
              <w:jc w:val="center"/>
              <w:rPr>
                <w:rFonts w:cs="Arial"/>
                <w:sz w:val="20"/>
                <w:szCs w:val="20"/>
                <w:lang w:eastAsia="en-GB"/>
              </w:rPr>
            </w:pPr>
            <w:r w:rsidRPr="00C740C1">
              <w:rPr>
                <w:rFonts w:cs="Arial"/>
                <w:sz w:val="20"/>
                <w:szCs w:val="20"/>
                <w:lang w:eastAsia="en-GB"/>
              </w:rPr>
              <w:t>£742</w:t>
            </w:r>
          </w:p>
        </w:tc>
      </w:tr>
      <w:tr w:rsidR="00E868B5" w:rsidRPr="00E868B5" w:rsidTr="00C740C1">
        <w:trPr>
          <w:trHeight w:val="255"/>
        </w:trPr>
        <w:tc>
          <w:tcPr>
            <w:tcW w:w="2870" w:type="dxa"/>
            <w:gridSpan w:val="3"/>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r w:rsidRPr="00E868B5">
              <w:rPr>
                <w:rFonts w:cs="Arial"/>
                <w:sz w:val="20"/>
                <w:szCs w:val="20"/>
                <w:lang w:eastAsia="en-GB"/>
              </w:rPr>
              <w:t>Mortgage deals - May 2012</w:t>
            </w:r>
          </w:p>
        </w:tc>
        <w:tc>
          <w:tcPr>
            <w:tcW w:w="1051" w:type="dxa"/>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p>
        </w:tc>
        <w:tc>
          <w:tcPr>
            <w:tcW w:w="1040" w:type="dxa"/>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p>
        </w:tc>
      </w:tr>
      <w:tr w:rsidR="00E868B5" w:rsidRPr="00E868B5" w:rsidTr="00C740C1">
        <w:trPr>
          <w:trHeight w:val="255"/>
        </w:trPr>
        <w:tc>
          <w:tcPr>
            <w:tcW w:w="3921" w:type="dxa"/>
            <w:gridSpan w:val="4"/>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r w:rsidRPr="00E868B5">
              <w:rPr>
                <w:rFonts w:cs="Arial"/>
                <w:sz w:val="20"/>
                <w:szCs w:val="20"/>
                <w:lang w:eastAsia="en-GB"/>
              </w:rPr>
              <w:t>Example of first time buyer rates</w:t>
            </w:r>
          </w:p>
        </w:tc>
        <w:tc>
          <w:tcPr>
            <w:tcW w:w="1040" w:type="dxa"/>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p>
        </w:tc>
      </w:tr>
      <w:tr w:rsidR="00E868B5" w:rsidRPr="00E868B5" w:rsidTr="00C740C1">
        <w:trPr>
          <w:trHeight w:val="255"/>
        </w:trPr>
        <w:tc>
          <w:tcPr>
            <w:tcW w:w="860" w:type="dxa"/>
            <w:tcBorders>
              <w:top w:val="nil"/>
              <w:left w:val="nil"/>
              <w:bottom w:val="nil"/>
              <w:right w:val="nil"/>
            </w:tcBorders>
            <w:shd w:val="clear" w:color="auto" w:fill="auto"/>
            <w:noWrap/>
            <w:vAlign w:val="bottom"/>
            <w:hideMark/>
          </w:tcPr>
          <w:p w:rsidR="00E868B5" w:rsidRPr="00E868B5" w:rsidRDefault="00E868B5" w:rsidP="00E868B5">
            <w:pPr>
              <w:spacing w:before="0" w:after="0"/>
              <w:jc w:val="right"/>
              <w:rPr>
                <w:rFonts w:cs="Arial"/>
                <w:sz w:val="20"/>
                <w:szCs w:val="20"/>
                <w:lang w:eastAsia="en-GB"/>
              </w:rPr>
            </w:pPr>
            <w:r w:rsidRPr="00E868B5">
              <w:rPr>
                <w:rFonts w:cs="Arial"/>
                <w:sz w:val="20"/>
                <w:szCs w:val="20"/>
                <w:lang w:eastAsia="en-GB"/>
              </w:rPr>
              <w:t>6.09%</w:t>
            </w:r>
          </w:p>
        </w:tc>
        <w:tc>
          <w:tcPr>
            <w:tcW w:w="950" w:type="dxa"/>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r w:rsidRPr="00E868B5">
              <w:rPr>
                <w:rFonts w:cs="Arial"/>
                <w:sz w:val="20"/>
                <w:szCs w:val="20"/>
                <w:lang w:eastAsia="en-GB"/>
              </w:rPr>
              <w:t>Nat West</w:t>
            </w:r>
          </w:p>
        </w:tc>
        <w:tc>
          <w:tcPr>
            <w:tcW w:w="1060" w:type="dxa"/>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r w:rsidRPr="00E868B5">
              <w:rPr>
                <w:rFonts w:cs="Arial"/>
                <w:sz w:val="20"/>
                <w:szCs w:val="20"/>
                <w:lang w:eastAsia="en-GB"/>
              </w:rPr>
              <w:t>90% LTV</w:t>
            </w:r>
          </w:p>
        </w:tc>
        <w:tc>
          <w:tcPr>
            <w:tcW w:w="1051" w:type="dxa"/>
            <w:tcBorders>
              <w:top w:val="nil"/>
              <w:left w:val="nil"/>
              <w:bottom w:val="nil"/>
              <w:right w:val="nil"/>
            </w:tcBorders>
            <w:shd w:val="clear" w:color="auto" w:fill="auto"/>
            <w:noWrap/>
            <w:vAlign w:val="bottom"/>
            <w:hideMark/>
          </w:tcPr>
          <w:p w:rsidR="00E868B5" w:rsidRPr="00E868B5" w:rsidRDefault="00E868B5" w:rsidP="00E868B5">
            <w:pPr>
              <w:spacing w:before="0" w:after="0"/>
              <w:rPr>
                <w:rFonts w:cs="Arial"/>
                <w:sz w:val="20"/>
                <w:szCs w:val="20"/>
                <w:lang w:eastAsia="en-GB"/>
              </w:rPr>
            </w:pPr>
            <w:r w:rsidRPr="00E868B5">
              <w:rPr>
                <w:rFonts w:cs="Arial"/>
                <w:sz w:val="20"/>
                <w:szCs w:val="20"/>
                <w:lang w:eastAsia="en-GB"/>
              </w:rPr>
              <w:t>5yrs</w:t>
            </w:r>
          </w:p>
        </w:tc>
        <w:tc>
          <w:tcPr>
            <w:tcW w:w="1040" w:type="dxa"/>
            <w:tcBorders>
              <w:top w:val="nil"/>
              <w:left w:val="nil"/>
              <w:bottom w:val="nil"/>
              <w:right w:val="nil"/>
            </w:tcBorders>
            <w:shd w:val="clear" w:color="auto" w:fill="auto"/>
            <w:noWrap/>
            <w:vAlign w:val="bottom"/>
            <w:hideMark/>
          </w:tcPr>
          <w:p w:rsidR="00E868B5" w:rsidRDefault="00E868B5" w:rsidP="00E868B5">
            <w:pPr>
              <w:spacing w:before="0" w:after="0"/>
              <w:rPr>
                <w:rFonts w:cs="Arial"/>
                <w:sz w:val="20"/>
                <w:szCs w:val="20"/>
                <w:lang w:eastAsia="en-GB"/>
              </w:rPr>
            </w:pPr>
          </w:p>
          <w:p w:rsidR="00C740C1" w:rsidRPr="00E868B5" w:rsidRDefault="00C740C1" w:rsidP="00E868B5">
            <w:pPr>
              <w:spacing w:before="0" w:after="0"/>
              <w:rPr>
                <w:rFonts w:cs="Arial"/>
                <w:sz w:val="20"/>
                <w:szCs w:val="20"/>
                <w:lang w:eastAsia="en-GB"/>
              </w:rPr>
            </w:pPr>
          </w:p>
        </w:tc>
      </w:tr>
    </w:tbl>
    <w:p w:rsidR="00EE6B85" w:rsidRDefault="00E868B5" w:rsidP="00C740C1">
      <w:pPr>
        <w:pStyle w:val="Maintext"/>
        <w:numPr>
          <w:ilvl w:val="0"/>
          <w:numId w:val="0"/>
        </w:numPr>
        <w:ind w:left="709"/>
        <w:rPr>
          <w:sz w:val="20"/>
          <w:szCs w:val="20"/>
        </w:rPr>
      </w:pPr>
      <w:r>
        <w:rPr>
          <w:sz w:val="20"/>
          <w:szCs w:val="20"/>
        </w:rPr>
        <w:t>Source: Land Registry; Nat West o</w:t>
      </w:r>
      <w:r w:rsidR="00EE6B85">
        <w:rPr>
          <w:sz w:val="20"/>
          <w:szCs w:val="20"/>
        </w:rPr>
        <w:t xml:space="preserve">nline mortgage calculator. Mortgage deals available in </w:t>
      </w:r>
      <w:r w:rsidR="00754000">
        <w:rPr>
          <w:sz w:val="20"/>
          <w:szCs w:val="20"/>
        </w:rPr>
        <w:t xml:space="preserve">May </w:t>
      </w:r>
      <w:r w:rsidR="00EE6B85">
        <w:rPr>
          <w:sz w:val="20"/>
          <w:szCs w:val="20"/>
        </w:rPr>
        <w:t>2012 (ex</w:t>
      </w:r>
      <w:r>
        <w:rPr>
          <w:sz w:val="20"/>
          <w:szCs w:val="20"/>
        </w:rPr>
        <w:t>ample used based on Natwest 6.09</w:t>
      </w:r>
      <w:r w:rsidR="00EE6B85">
        <w:rPr>
          <w:sz w:val="20"/>
          <w:szCs w:val="20"/>
        </w:rPr>
        <w:t>% 5 year fixed rate with 10% deposit).</w:t>
      </w:r>
    </w:p>
    <w:p w:rsidR="00EE6B85" w:rsidRDefault="00EE6B85" w:rsidP="00EE6B85"/>
    <w:p w:rsidR="00EE6B85" w:rsidRDefault="002C4CF9" w:rsidP="007E46FA">
      <w:pPr>
        <w:pStyle w:val="Maintext"/>
        <w:numPr>
          <w:ilvl w:val="1"/>
          <w:numId w:val="24"/>
        </w:numPr>
      </w:pPr>
      <w:r>
        <w:t>Figure C2</w:t>
      </w:r>
      <w:r w:rsidR="00EE6B85">
        <w:t xml:space="preserve"> indicates how the house price scenarios would impact on monthly mortgage repayments (assuming fixed interest rates). For example, with Scenario A (continuous fall), proper</w:t>
      </w:r>
      <w:r w:rsidR="00C740C1">
        <w:t>ty monthly repayments (on a 6.09% mortgage) would fall from £590 to £407</w:t>
      </w:r>
      <w:r w:rsidR="00EE6B85">
        <w:t xml:space="preserve"> (and property</w:t>
      </w:r>
      <w:r w:rsidR="00C740C1">
        <w:t xml:space="preserve"> values would fall by around £14,3</w:t>
      </w:r>
      <w:r w:rsidR="00EE6B85">
        <w:t xml:space="preserve">00 or 14.3%). </w:t>
      </w:r>
    </w:p>
    <w:p w:rsidR="00EE6B85" w:rsidRDefault="00EE6B85" w:rsidP="00EE6B85">
      <w:pPr>
        <w:pStyle w:val="Maintext"/>
        <w:numPr>
          <w:ilvl w:val="0"/>
          <w:numId w:val="0"/>
        </w:numPr>
        <w:ind w:firstLine="709"/>
      </w:pPr>
      <w:r>
        <w:rPr>
          <w:b/>
        </w:rPr>
        <w:br w:type="page"/>
        <w:t>Figure C2</w:t>
      </w:r>
      <w:r>
        <w:rPr>
          <w:b/>
        </w:rPr>
        <w:tab/>
      </w:r>
      <w:r>
        <w:t>Monthly mortgage costs based on alternative scenarios</w:t>
      </w:r>
    </w:p>
    <w:p w:rsidR="00C740C1" w:rsidRDefault="00DC2617" w:rsidP="00C740C1">
      <w:pPr>
        <w:pStyle w:val="Maintext"/>
        <w:numPr>
          <w:ilvl w:val="0"/>
          <w:numId w:val="0"/>
        </w:numPr>
        <w:ind w:firstLine="709"/>
      </w:pPr>
      <w:r>
        <w:rPr>
          <w:noProof/>
          <w:lang w:eastAsia="en-GB"/>
        </w:rPr>
        <w:drawing>
          <wp:inline distT="0" distB="0" distL="0" distR="0">
            <wp:extent cx="5447489" cy="3545954"/>
            <wp:effectExtent l="12195" t="6096" r="8936" b="775"/>
            <wp:docPr id="34" name="Picture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E6B85" w:rsidRDefault="00C740C1" w:rsidP="00EE6B85">
      <w:pPr>
        <w:ind w:left="709"/>
      </w:pPr>
      <w:r>
        <w:t>Source: CLG House Price summary; Nat West online mortgage calculator</w:t>
      </w:r>
    </w:p>
    <w:p w:rsidR="00EE6B85" w:rsidRDefault="00EE6B85" w:rsidP="00EE6B85"/>
    <w:p w:rsidR="00EE6B85" w:rsidRDefault="00EE6B85" w:rsidP="007E46FA">
      <w:pPr>
        <w:pStyle w:val="Maintext"/>
        <w:numPr>
          <w:ilvl w:val="1"/>
          <w:numId w:val="24"/>
        </w:numPr>
        <w:rPr>
          <w:b/>
          <w:iCs/>
        </w:rPr>
      </w:pPr>
      <w:r>
        <w:t>This modelling is purely illustrative and shows how different scenarios would impact on the cost of repaying a mortgage. However, the ability of households to raise a mortgage is affected by a reduced range of products, tighter lending criteria and the need to have a substantial deposit.</w:t>
      </w:r>
    </w:p>
    <w:p w:rsidR="00EE6B85" w:rsidRDefault="00EE6B85" w:rsidP="00EE6B85">
      <w:pPr>
        <w:rPr>
          <w:i/>
        </w:rPr>
      </w:pPr>
    </w:p>
    <w:p w:rsidR="00EE6B85" w:rsidRDefault="00EE6B85" w:rsidP="00EE6B85">
      <w:pPr>
        <w:pStyle w:val="Heading3"/>
      </w:pPr>
      <w:bookmarkStart w:id="310" w:name="_Toc318323460"/>
      <w:r>
        <w:t>Stage 4: Summary and key messages</w:t>
      </w:r>
      <w:bookmarkEnd w:id="310"/>
    </w:p>
    <w:p w:rsidR="00EE6B85" w:rsidRDefault="00EE6B85" w:rsidP="007E46FA">
      <w:pPr>
        <w:pStyle w:val="Maintext"/>
        <w:numPr>
          <w:ilvl w:val="1"/>
          <w:numId w:val="24"/>
        </w:numPr>
      </w:pPr>
      <w:r>
        <w:t xml:space="preserve">This appendix has considered the future housing market in </w:t>
      </w:r>
      <w:r w:rsidR="00C740C1">
        <w:t>County Durham</w:t>
      </w:r>
      <w:r>
        <w:t xml:space="preserve">  and reflected on future household numbers, the economic growth agenda, and future affordability. </w:t>
      </w:r>
    </w:p>
    <w:p w:rsidR="00EE6B85" w:rsidRDefault="00EE6B85" w:rsidP="007E46FA">
      <w:pPr>
        <w:pStyle w:val="Maintext"/>
        <w:numPr>
          <w:ilvl w:val="1"/>
          <w:numId w:val="24"/>
        </w:numPr>
      </w:pPr>
      <w:r>
        <w:t>In terms of the range of dwellings to be delivered, the SHMA has gathered a body of quantitative evidence and views of stakeholders which points to:</w:t>
      </w:r>
    </w:p>
    <w:p w:rsidR="00EE6B85" w:rsidRDefault="00EE6B85" w:rsidP="007E46FA">
      <w:pPr>
        <w:pStyle w:val="Maintext"/>
        <w:numPr>
          <w:ilvl w:val="2"/>
          <w:numId w:val="24"/>
        </w:numPr>
      </w:pPr>
      <w:r>
        <w:t>A need to maintain the delivery of tradi</w:t>
      </w:r>
      <w:r w:rsidR="00C740C1">
        <w:t>tional houses and in particular diversifying the range of larger/detached properties across the county;</w:t>
      </w:r>
    </w:p>
    <w:p w:rsidR="00EE6B85" w:rsidRDefault="00EE6B85" w:rsidP="007E46FA">
      <w:pPr>
        <w:pStyle w:val="Maintext"/>
        <w:numPr>
          <w:ilvl w:val="2"/>
          <w:numId w:val="24"/>
        </w:numPr>
      </w:pPr>
      <w:r>
        <w:t xml:space="preserve">The ageing population in </w:t>
      </w:r>
      <w:r w:rsidR="00C740C1">
        <w:t>County Durham</w:t>
      </w:r>
      <w:r>
        <w:t xml:space="preserve"> as a major market driver. Bungalows are in short supply and any additional market provision would be useful, along with </w:t>
      </w:r>
      <w:r w:rsidR="00C740C1">
        <w:t xml:space="preserve">a range of older persons’ housing options including </w:t>
      </w:r>
      <w:r>
        <w:t xml:space="preserve">retirement apartments in urban and village centres close to amenities. Similarly, there is a need to diversify the range of older persons’ provision including the development of extra care schemes within the </w:t>
      </w:r>
      <w:r w:rsidR="00C740C1">
        <w:t>County</w:t>
      </w:r>
      <w:r>
        <w:t>; and</w:t>
      </w:r>
    </w:p>
    <w:p w:rsidR="008F76D8" w:rsidRPr="008F76D8" w:rsidRDefault="008F76D8" w:rsidP="007E46FA">
      <w:pPr>
        <w:pStyle w:val="Maintext"/>
        <w:numPr>
          <w:ilvl w:val="1"/>
          <w:numId w:val="24"/>
        </w:numPr>
        <w:rPr>
          <w:b/>
        </w:rPr>
      </w:pPr>
      <w:r w:rsidRPr="00754000">
        <w:t xml:space="preserve">The future economic trajectory of County Durham will be guided by </w:t>
      </w:r>
      <w:r>
        <w:t>the Council’s strategic vision and leadership driving to strengthen the economy.</w:t>
      </w:r>
    </w:p>
    <w:p w:rsidR="00EE6B85" w:rsidRDefault="00EE6B85" w:rsidP="00EE6B85">
      <w:pPr>
        <w:pStyle w:val="Heading1"/>
        <w:numPr>
          <w:ilvl w:val="0"/>
          <w:numId w:val="0"/>
        </w:numPr>
      </w:pPr>
      <w:bookmarkStart w:id="311" w:name="_Toc273708385"/>
      <w:bookmarkStart w:id="312" w:name="_Toc280272455"/>
      <w:bookmarkStart w:id="313" w:name="_Toc318323461"/>
      <w:bookmarkStart w:id="314" w:name="_Toc333507791"/>
      <w:bookmarkEnd w:id="304"/>
      <w:r>
        <w:t>Technical Appendix D: Housing need calculations</w:t>
      </w:r>
      <w:bookmarkEnd w:id="311"/>
      <w:bookmarkEnd w:id="312"/>
      <w:bookmarkEnd w:id="313"/>
      <w:bookmarkEnd w:id="314"/>
    </w:p>
    <w:p w:rsidR="00EE6B85" w:rsidRDefault="00EE6B85" w:rsidP="00EE6B85">
      <w:pPr>
        <w:pStyle w:val="Maintext"/>
        <w:numPr>
          <w:ilvl w:val="0"/>
          <w:numId w:val="0"/>
        </w:numPr>
        <w:rPr>
          <w:b/>
        </w:rPr>
      </w:pPr>
      <w:r>
        <w:rPr>
          <w:b/>
        </w:rPr>
        <w:t>Underpins core outputs 4,5,6,7</w:t>
      </w:r>
    </w:p>
    <w:p w:rsidR="00EE6B85" w:rsidRDefault="00EE6B85" w:rsidP="00EE6B85">
      <w:pPr>
        <w:pStyle w:val="Maintext"/>
        <w:numPr>
          <w:ilvl w:val="0"/>
          <w:numId w:val="0"/>
        </w:numPr>
      </w:pPr>
    </w:p>
    <w:p w:rsidR="00EE6B85" w:rsidRDefault="00EE6B85" w:rsidP="00EE6B85">
      <w:pPr>
        <w:pStyle w:val="Heading3"/>
        <w:ind w:left="0"/>
      </w:pPr>
      <w:bookmarkStart w:id="315" w:name="_Toc318323462"/>
      <w:r>
        <w:t>Summary of contents</w:t>
      </w:r>
      <w:bookmarkEnd w:id="315"/>
    </w:p>
    <w:p w:rsidR="00EE6B85" w:rsidRDefault="00EE6B85" w:rsidP="00EE6B85">
      <w:pPr>
        <w:pStyle w:val="Maintext"/>
        <w:numPr>
          <w:ilvl w:val="0"/>
          <w:numId w:val="0"/>
        </w:numPr>
      </w:pPr>
    </w:p>
    <w:tbl>
      <w:tblPr>
        <w:tblW w:w="0" w:type="auto"/>
        <w:tblLook w:val="01E0" w:firstRow="1" w:lastRow="1" w:firstColumn="1" w:lastColumn="1" w:noHBand="0" w:noVBand="0"/>
      </w:tblPr>
      <w:tblGrid>
        <w:gridCol w:w="1547"/>
        <w:gridCol w:w="5561"/>
      </w:tblGrid>
      <w:tr w:rsidR="00EE6B85" w:rsidTr="00176832">
        <w:tc>
          <w:tcPr>
            <w:tcW w:w="7108" w:type="dxa"/>
            <w:gridSpan w:val="2"/>
          </w:tcPr>
          <w:p w:rsidR="00EE6B85" w:rsidRDefault="00EE6B85" w:rsidP="00176832">
            <w:pPr>
              <w:pStyle w:val="Maintext"/>
              <w:numPr>
                <w:ilvl w:val="0"/>
                <w:numId w:val="0"/>
              </w:numPr>
              <w:spacing w:before="0" w:after="0"/>
              <w:rPr>
                <w:b/>
                <w:color w:val="008080"/>
              </w:rPr>
            </w:pPr>
            <w:r>
              <w:rPr>
                <w:b/>
                <w:color w:val="008080"/>
              </w:rPr>
              <w:t>Stage 1: Current housing need (gross backlog)</w:t>
            </w:r>
          </w:p>
        </w:tc>
      </w:tr>
      <w:tr w:rsidR="00EE6B85" w:rsidTr="00176832">
        <w:tc>
          <w:tcPr>
            <w:tcW w:w="1547" w:type="dxa"/>
          </w:tcPr>
          <w:p w:rsidR="00EE6B85" w:rsidRDefault="00EE6B85" w:rsidP="00176832">
            <w:pPr>
              <w:pStyle w:val="Maintext"/>
              <w:numPr>
                <w:ilvl w:val="0"/>
                <w:numId w:val="0"/>
              </w:numPr>
              <w:spacing w:before="0" w:after="0"/>
            </w:pPr>
            <w:r>
              <w:t>Step 1.1</w:t>
            </w:r>
          </w:p>
        </w:tc>
        <w:tc>
          <w:tcPr>
            <w:tcW w:w="5561" w:type="dxa"/>
          </w:tcPr>
          <w:p w:rsidR="00EE6B85" w:rsidRDefault="00EE6B85" w:rsidP="00176832">
            <w:pPr>
              <w:pStyle w:val="Maintext"/>
              <w:numPr>
                <w:ilvl w:val="0"/>
                <w:numId w:val="0"/>
              </w:numPr>
              <w:spacing w:before="0" w:after="0"/>
            </w:pPr>
            <w:r>
              <w:t>Homeless households and those in temporary accommodation</w:t>
            </w:r>
          </w:p>
        </w:tc>
      </w:tr>
      <w:tr w:rsidR="00EE6B85" w:rsidTr="00176832">
        <w:tc>
          <w:tcPr>
            <w:tcW w:w="1547" w:type="dxa"/>
          </w:tcPr>
          <w:p w:rsidR="00EE6B85" w:rsidRDefault="00EE6B85" w:rsidP="00176832">
            <w:pPr>
              <w:pStyle w:val="Maintext"/>
              <w:numPr>
                <w:ilvl w:val="0"/>
                <w:numId w:val="0"/>
              </w:numPr>
              <w:spacing w:before="0" w:after="0"/>
            </w:pPr>
            <w:r>
              <w:t>Step 1.2</w:t>
            </w:r>
          </w:p>
        </w:tc>
        <w:tc>
          <w:tcPr>
            <w:tcW w:w="5561" w:type="dxa"/>
          </w:tcPr>
          <w:p w:rsidR="00EE6B85" w:rsidRDefault="00EE6B85" w:rsidP="00176832">
            <w:pPr>
              <w:pStyle w:val="Maintext"/>
              <w:numPr>
                <w:ilvl w:val="0"/>
                <w:numId w:val="0"/>
              </w:numPr>
              <w:spacing w:before="0" w:after="0"/>
            </w:pPr>
            <w:r>
              <w:t>Overcrowding and concealed households</w:t>
            </w:r>
          </w:p>
        </w:tc>
      </w:tr>
      <w:tr w:rsidR="00EE6B85" w:rsidTr="00176832">
        <w:tc>
          <w:tcPr>
            <w:tcW w:w="1547" w:type="dxa"/>
          </w:tcPr>
          <w:p w:rsidR="00EE6B85" w:rsidRDefault="00EE6B85" w:rsidP="00176832">
            <w:pPr>
              <w:pStyle w:val="Maintext"/>
              <w:numPr>
                <w:ilvl w:val="0"/>
                <w:numId w:val="0"/>
              </w:numPr>
              <w:spacing w:before="0" w:after="0"/>
            </w:pPr>
            <w:r>
              <w:t>Step 1.3</w:t>
            </w:r>
          </w:p>
        </w:tc>
        <w:tc>
          <w:tcPr>
            <w:tcW w:w="5561" w:type="dxa"/>
          </w:tcPr>
          <w:p w:rsidR="00EE6B85" w:rsidRDefault="00EE6B85" w:rsidP="00176832">
            <w:pPr>
              <w:pStyle w:val="Maintext"/>
              <w:numPr>
                <w:ilvl w:val="0"/>
                <w:numId w:val="0"/>
              </w:numPr>
              <w:spacing w:before="0" w:after="0"/>
            </w:pPr>
            <w:r>
              <w:t>Other groups</w:t>
            </w:r>
          </w:p>
        </w:tc>
      </w:tr>
      <w:tr w:rsidR="00EE6B85" w:rsidTr="00176832">
        <w:tc>
          <w:tcPr>
            <w:tcW w:w="1547" w:type="dxa"/>
          </w:tcPr>
          <w:p w:rsidR="00EE6B85" w:rsidRDefault="00EE6B85" w:rsidP="00176832">
            <w:pPr>
              <w:pStyle w:val="Maintext"/>
              <w:numPr>
                <w:ilvl w:val="0"/>
                <w:numId w:val="0"/>
              </w:numPr>
              <w:spacing w:before="0" w:after="0"/>
            </w:pPr>
            <w:r>
              <w:t>Step 1.4</w:t>
            </w:r>
          </w:p>
        </w:tc>
        <w:tc>
          <w:tcPr>
            <w:tcW w:w="5561" w:type="dxa"/>
          </w:tcPr>
          <w:p w:rsidR="00EE6B85" w:rsidRDefault="00EE6B85" w:rsidP="00176832">
            <w:pPr>
              <w:pStyle w:val="Maintext"/>
              <w:numPr>
                <w:ilvl w:val="0"/>
                <w:numId w:val="0"/>
              </w:numPr>
              <w:spacing w:before="0" w:after="0"/>
            </w:pPr>
            <w:r>
              <w:t>Total current housing need (gross)</w:t>
            </w:r>
          </w:p>
        </w:tc>
      </w:tr>
      <w:tr w:rsidR="00EE6B85" w:rsidTr="00176832">
        <w:tc>
          <w:tcPr>
            <w:tcW w:w="7108" w:type="dxa"/>
            <w:gridSpan w:val="2"/>
          </w:tcPr>
          <w:p w:rsidR="00EE6B85" w:rsidRDefault="00EE6B85" w:rsidP="00176832">
            <w:pPr>
              <w:pStyle w:val="Maintext"/>
              <w:numPr>
                <w:ilvl w:val="0"/>
                <w:numId w:val="0"/>
              </w:numPr>
              <w:spacing w:before="0" w:after="0"/>
              <w:rPr>
                <w:color w:val="008080"/>
              </w:rPr>
            </w:pPr>
            <w:r>
              <w:rPr>
                <w:b/>
                <w:color w:val="008080"/>
              </w:rPr>
              <w:t>Stage 2: Future housing need (gross annual estimate)</w:t>
            </w:r>
          </w:p>
        </w:tc>
      </w:tr>
      <w:tr w:rsidR="00EE6B85" w:rsidTr="00176832">
        <w:tc>
          <w:tcPr>
            <w:tcW w:w="1547" w:type="dxa"/>
          </w:tcPr>
          <w:p w:rsidR="00EE6B85" w:rsidRDefault="00EE6B85" w:rsidP="00176832">
            <w:pPr>
              <w:pStyle w:val="Maintext"/>
              <w:numPr>
                <w:ilvl w:val="0"/>
                <w:numId w:val="0"/>
              </w:numPr>
              <w:spacing w:before="0" w:after="0"/>
            </w:pPr>
            <w:r>
              <w:t>Step 2.1</w:t>
            </w:r>
          </w:p>
        </w:tc>
        <w:tc>
          <w:tcPr>
            <w:tcW w:w="5561" w:type="dxa"/>
          </w:tcPr>
          <w:p w:rsidR="00EE6B85" w:rsidRDefault="00EE6B85" w:rsidP="00176832">
            <w:pPr>
              <w:pStyle w:val="Maintext"/>
              <w:numPr>
                <w:ilvl w:val="0"/>
                <w:numId w:val="0"/>
              </w:numPr>
              <w:spacing w:before="0" w:after="0"/>
              <w:ind w:left="709" w:hanging="709"/>
            </w:pPr>
            <w:r>
              <w:t>New household formation (gross per year)</w:t>
            </w:r>
          </w:p>
        </w:tc>
      </w:tr>
      <w:tr w:rsidR="00EE6B85" w:rsidTr="00176832">
        <w:tc>
          <w:tcPr>
            <w:tcW w:w="1547" w:type="dxa"/>
          </w:tcPr>
          <w:p w:rsidR="00EE6B85" w:rsidRDefault="00EE6B85" w:rsidP="00176832">
            <w:pPr>
              <w:pStyle w:val="Maintext"/>
              <w:numPr>
                <w:ilvl w:val="0"/>
                <w:numId w:val="0"/>
              </w:numPr>
              <w:spacing w:before="0" w:after="0"/>
            </w:pPr>
            <w:r>
              <w:t>Step 2.2</w:t>
            </w:r>
          </w:p>
        </w:tc>
        <w:tc>
          <w:tcPr>
            <w:tcW w:w="5561" w:type="dxa"/>
          </w:tcPr>
          <w:p w:rsidR="00EE6B85" w:rsidRDefault="00EE6B85" w:rsidP="00176832">
            <w:pPr>
              <w:pStyle w:val="Maintext"/>
              <w:numPr>
                <w:ilvl w:val="0"/>
                <w:numId w:val="0"/>
              </w:numPr>
              <w:spacing w:before="0" w:after="0"/>
            </w:pPr>
            <w:r>
              <w:t>Proportion of new households unable to buy or rent in the market</w:t>
            </w:r>
          </w:p>
        </w:tc>
      </w:tr>
      <w:tr w:rsidR="00EE6B85" w:rsidTr="00176832">
        <w:tc>
          <w:tcPr>
            <w:tcW w:w="1547" w:type="dxa"/>
          </w:tcPr>
          <w:p w:rsidR="00EE6B85" w:rsidRDefault="00EE6B85" w:rsidP="00176832">
            <w:pPr>
              <w:pStyle w:val="Maintext"/>
              <w:numPr>
                <w:ilvl w:val="0"/>
                <w:numId w:val="0"/>
              </w:numPr>
              <w:spacing w:before="0" w:after="0"/>
            </w:pPr>
            <w:r>
              <w:t>Step 2.3</w:t>
            </w:r>
          </w:p>
        </w:tc>
        <w:tc>
          <w:tcPr>
            <w:tcW w:w="5561" w:type="dxa"/>
          </w:tcPr>
          <w:p w:rsidR="00EE6B85" w:rsidRDefault="00EE6B85" w:rsidP="00176832">
            <w:pPr>
              <w:pStyle w:val="Maintext"/>
              <w:numPr>
                <w:ilvl w:val="0"/>
                <w:numId w:val="0"/>
              </w:numPr>
              <w:spacing w:before="0" w:after="0"/>
            </w:pPr>
            <w:r>
              <w:t>Existing households falling in to need</w:t>
            </w:r>
          </w:p>
        </w:tc>
      </w:tr>
      <w:tr w:rsidR="00EE6B85" w:rsidTr="00176832">
        <w:tc>
          <w:tcPr>
            <w:tcW w:w="1547" w:type="dxa"/>
          </w:tcPr>
          <w:p w:rsidR="00EE6B85" w:rsidRDefault="00EE6B85" w:rsidP="00176832">
            <w:pPr>
              <w:pStyle w:val="Maintext"/>
              <w:numPr>
                <w:ilvl w:val="0"/>
                <w:numId w:val="0"/>
              </w:numPr>
              <w:spacing w:before="0" w:after="0"/>
            </w:pPr>
            <w:r>
              <w:t>Step 2.4</w:t>
            </w:r>
          </w:p>
        </w:tc>
        <w:tc>
          <w:tcPr>
            <w:tcW w:w="5561" w:type="dxa"/>
          </w:tcPr>
          <w:p w:rsidR="00EE6B85" w:rsidRDefault="00EE6B85" w:rsidP="00176832">
            <w:pPr>
              <w:pStyle w:val="Maintext"/>
              <w:numPr>
                <w:ilvl w:val="0"/>
                <w:numId w:val="0"/>
              </w:numPr>
              <w:spacing w:before="0" w:after="0"/>
            </w:pPr>
            <w:r>
              <w:t>Total newly-arising housing need (gross per year)</w:t>
            </w:r>
          </w:p>
        </w:tc>
      </w:tr>
      <w:tr w:rsidR="00EE6B85" w:rsidTr="00176832">
        <w:tc>
          <w:tcPr>
            <w:tcW w:w="7108" w:type="dxa"/>
            <w:gridSpan w:val="2"/>
          </w:tcPr>
          <w:p w:rsidR="00EE6B85" w:rsidRDefault="00EE6B85" w:rsidP="00176832">
            <w:pPr>
              <w:pStyle w:val="Maintext"/>
              <w:numPr>
                <w:ilvl w:val="0"/>
                <w:numId w:val="0"/>
              </w:numPr>
              <w:spacing w:before="0" w:after="0"/>
            </w:pPr>
            <w:r>
              <w:rPr>
                <w:b/>
                <w:color w:val="008080"/>
              </w:rPr>
              <w:t>Stage 3: Affordable housing supply</w:t>
            </w:r>
          </w:p>
        </w:tc>
      </w:tr>
      <w:tr w:rsidR="00EE6B85" w:rsidTr="00176832">
        <w:tc>
          <w:tcPr>
            <w:tcW w:w="1547" w:type="dxa"/>
          </w:tcPr>
          <w:p w:rsidR="00EE6B85" w:rsidRDefault="00EE6B85" w:rsidP="00176832">
            <w:pPr>
              <w:pStyle w:val="Maintext"/>
              <w:numPr>
                <w:ilvl w:val="0"/>
                <w:numId w:val="0"/>
              </w:numPr>
              <w:spacing w:before="0" w:after="0"/>
            </w:pPr>
            <w:r>
              <w:t>Step 3.1</w:t>
            </w:r>
          </w:p>
        </w:tc>
        <w:tc>
          <w:tcPr>
            <w:tcW w:w="5561" w:type="dxa"/>
          </w:tcPr>
          <w:p w:rsidR="00EE6B85" w:rsidRDefault="00EE6B85" w:rsidP="00176832">
            <w:pPr>
              <w:pStyle w:val="Maintext"/>
              <w:numPr>
                <w:ilvl w:val="0"/>
                <w:numId w:val="0"/>
              </w:numPr>
              <w:spacing w:before="0" w:after="0"/>
            </w:pPr>
            <w:r>
              <w:t>Affordable dwellings occupied by households in need</w:t>
            </w:r>
          </w:p>
        </w:tc>
      </w:tr>
      <w:tr w:rsidR="00EE6B85" w:rsidTr="00176832">
        <w:tc>
          <w:tcPr>
            <w:tcW w:w="1547" w:type="dxa"/>
          </w:tcPr>
          <w:p w:rsidR="00EE6B85" w:rsidRDefault="00EE6B85" w:rsidP="00176832">
            <w:pPr>
              <w:pStyle w:val="Maintext"/>
              <w:numPr>
                <w:ilvl w:val="0"/>
                <w:numId w:val="0"/>
              </w:numPr>
              <w:spacing w:before="0" w:after="0"/>
            </w:pPr>
            <w:r>
              <w:t>Step 3.2</w:t>
            </w:r>
          </w:p>
        </w:tc>
        <w:tc>
          <w:tcPr>
            <w:tcW w:w="5561" w:type="dxa"/>
          </w:tcPr>
          <w:p w:rsidR="00EE6B85" w:rsidRDefault="00EE6B85" w:rsidP="00176832">
            <w:pPr>
              <w:pStyle w:val="Maintext"/>
              <w:numPr>
                <w:ilvl w:val="0"/>
                <w:numId w:val="0"/>
              </w:numPr>
              <w:spacing w:before="0" w:after="0"/>
            </w:pPr>
            <w:r>
              <w:t>Surplus stock</w:t>
            </w:r>
          </w:p>
        </w:tc>
      </w:tr>
      <w:tr w:rsidR="00EE6B85" w:rsidTr="00176832">
        <w:tc>
          <w:tcPr>
            <w:tcW w:w="1547" w:type="dxa"/>
          </w:tcPr>
          <w:p w:rsidR="00EE6B85" w:rsidRDefault="00EE6B85" w:rsidP="00176832">
            <w:pPr>
              <w:pStyle w:val="Maintext"/>
              <w:numPr>
                <w:ilvl w:val="0"/>
                <w:numId w:val="0"/>
              </w:numPr>
              <w:spacing w:before="0" w:after="0"/>
            </w:pPr>
            <w:r>
              <w:t>Step 3.3</w:t>
            </w:r>
          </w:p>
        </w:tc>
        <w:tc>
          <w:tcPr>
            <w:tcW w:w="5561" w:type="dxa"/>
          </w:tcPr>
          <w:p w:rsidR="00EE6B85" w:rsidRDefault="00EE6B85" w:rsidP="00176832">
            <w:pPr>
              <w:pStyle w:val="Maintext"/>
              <w:numPr>
                <w:ilvl w:val="0"/>
                <w:numId w:val="0"/>
              </w:numPr>
              <w:spacing w:before="0" w:after="0"/>
            </w:pPr>
            <w:r>
              <w:t>Committed supply of new affordable housing</w:t>
            </w:r>
          </w:p>
        </w:tc>
      </w:tr>
      <w:tr w:rsidR="00EE6B85" w:rsidTr="00176832">
        <w:tc>
          <w:tcPr>
            <w:tcW w:w="1547" w:type="dxa"/>
          </w:tcPr>
          <w:p w:rsidR="00EE6B85" w:rsidRDefault="00EE6B85" w:rsidP="00176832">
            <w:pPr>
              <w:pStyle w:val="Maintext"/>
              <w:numPr>
                <w:ilvl w:val="0"/>
                <w:numId w:val="0"/>
              </w:numPr>
              <w:spacing w:before="0" w:after="0"/>
            </w:pPr>
            <w:r>
              <w:t>Step 3.4</w:t>
            </w:r>
          </w:p>
        </w:tc>
        <w:tc>
          <w:tcPr>
            <w:tcW w:w="5561" w:type="dxa"/>
          </w:tcPr>
          <w:p w:rsidR="00EE6B85" w:rsidRDefault="00EE6B85" w:rsidP="00176832">
            <w:pPr>
              <w:pStyle w:val="Maintext"/>
              <w:numPr>
                <w:ilvl w:val="0"/>
                <w:numId w:val="0"/>
              </w:numPr>
              <w:spacing w:before="0" w:after="0"/>
            </w:pPr>
            <w:r>
              <w:t>Units to be taken out of management</w:t>
            </w:r>
          </w:p>
        </w:tc>
      </w:tr>
      <w:tr w:rsidR="00EE6B85" w:rsidTr="00176832">
        <w:tc>
          <w:tcPr>
            <w:tcW w:w="1547" w:type="dxa"/>
          </w:tcPr>
          <w:p w:rsidR="00EE6B85" w:rsidRDefault="00EE6B85" w:rsidP="00176832">
            <w:pPr>
              <w:pStyle w:val="Maintext"/>
              <w:numPr>
                <w:ilvl w:val="0"/>
                <w:numId w:val="0"/>
              </w:numPr>
              <w:spacing w:before="0" w:after="0"/>
            </w:pPr>
            <w:r>
              <w:t>Step 3.5</w:t>
            </w:r>
          </w:p>
        </w:tc>
        <w:tc>
          <w:tcPr>
            <w:tcW w:w="5561" w:type="dxa"/>
          </w:tcPr>
          <w:p w:rsidR="00EE6B85" w:rsidRDefault="00EE6B85" w:rsidP="00176832">
            <w:pPr>
              <w:pStyle w:val="Maintext"/>
              <w:numPr>
                <w:ilvl w:val="0"/>
                <w:numId w:val="0"/>
              </w:numPr>
              <w:spacing w:before="0" w:after="0"/>
            </w:pPr>
            <w:r>
              <w:t xml:space="preserve">Total affordable housing stock available </w:t>
            </w:r>
          </w:p>
        </w:tc>
      </w:tr>
      <w:tr w:rsidR="00EE6B85" w:rsidTr="00176832">
        <w:tc>
          <w:tcPr>
            <w:tcW w:w="1547" w:type="dxa"/>
          </w:tcPr>
          <w:p w:rsidR="00EE6B85" w:rsidRDefault="00EE6B85" w:rsidP="00176832">
            <w:pPr>
              <w:pStyle w:val="Maintext"/>
              <w:numPr>
                <w:ilvl w:val="0"/>
                <w:numId w:val="0"/>
              </w:numPr>
              <w:spacing w:before="0" w:after="0"/>
            </w:pPr>
            <w:r>
              <w:t>Step 3.6</w:t>
            </w:r>
          </w:p>
        </w:tc>
        <w:tc>
          <w:tcPr>
            <w:tcW w:w="5561" w:type="dxa"/>
          </w:tcPr>
          <w:p w:rsidR="00EE6B85" w:rsidRDefault="00EE6B85" w:rsidP="00176832">
            <w:pPr>
              <w:pStyle w:val="Maintext"/>
              <w:numPr>
                <w:ilvl w:val="0"/>
                <w:numId w:val="0"/>
              </w:numPr>
              <w:spacing w:before="0" w:after="0"/>
            </w:pPr>
            <w:r>
              <w:t>Total supply of social re-lets (net)</w:t>
            </w:r>
          </w:p>
        </w:tc>
      </w:tr>
      <w:tr w:rsidR="00EE6B85" w:rsidTr="00176832">
        <w:tc>
          <w:tcPr>
            <w:tcW w:w="1547" w:type="dxa"/>
          </w:tcPr>
          <w:p w:rsidR="00EE6B85" w:rsidRDefault="00EE6B85" w:rsidP="00176832">
            <w:pPr>
              <w:pStyle w:val="Maintext"/>
              <w:numPr>
                <w:ilvl w:val="0"/>
                <w:numId w:val="0"/>
              </w:numPr>
              <w:spacing w:before="0" w:after="0"/>
            </w:pPr>
            <w:r>
              <w:t>Step 3.7</w:t>
            </w:r>
          </w:p>
        </w:tc>
        <w:tc>
          <w:tcPr>
            <w:tcW w:w="5561" w:type="dxa"/>
          </w:tcPr>
          <w:p w:rsidR="00EE6B85" w:rsidRDefault="00EE6B85" w:rsidP="00176832">
            <w:pPr>
              <w:pStyle w:val="Maintext"/>
              <w:numPr>
                <w:ilvl w:val="0"/>
                <w:numId w:val="0"/>
              </w:numPr>
              <w:spacing w:before="0" w:after="0"/>
            </w:pPr>
            <w:r>
              <w:t>Annual supply of intermediate affordable housing available for re-let or resale at sub-market levels</w:t>
            </w:r>
          </w:p>
        </w:tc>
      </w:tr>
      <w:tr w:rsidR="00EE6B85" w:rsidTr="00176832">
        <w:tc>
          <w:tcPr>
            <w:tcW w:w="1547" w:type="dxa"/>
          </w:tcPr>
          <w:p w:rsidR="00EE6B85" w:rsidRDefault="00EE6B85" w:rsidP="00176832">
            <w:pPr>
              <w:pStyle w:val="Maintext"/>
              <w:numPr>
                <w:ilvl w:val="0"/>
                <w:numId w:val="0"/>
              </w:numPr>
              <w:spacing w:before="0" w:after="0"/>
            </w:pPr>
            <w:r>
              <w:t>Step 3.8</w:t>
            </w:r>
          </w:p>
        </w:tc>
        <w:tc>
          <w:tcPr>
            <w:tcW w:w="5561" w:type="dxa"/>
          </w:tcPr>
          <w:p w:rsidR="00EE6B85" w:rsidRDefault="00EE6B85" w:rsidP="00176832">
            <w:pPr>
              <w:pStyle w:val="Maintext"/>
              <w:numPr>
                <w:ilvl w:val="0"/>
                <w:numId w:val="0"/>
              </w:numPr>
              <w:spacing w:before="0" w:after="0"/>
            </w:pPr>
            <w:r>
              <w:t>Annual supply of affordable housing</w:t>
            </w:r>
          </w:p>
        </w:tc>
      </w:tr>
      <w:tr w:rsidR="00EE6B85" w:rsidTr="00176832">
        <w:tc>
          <w:tcPr>
            <w:tcW w:w="7108" w:type="dxa"/>
            <w:gridSpan w:val="2"/>
          </w:tcPr>
          <w:p w:rsidR="00EE6B85" w:rsidRDefault="00EE6B85" w:rsidP="00176832">
            <w:pPr>
              <w:pStyle w:val="Maintext"/>
              <w:numPr>
                <w:ilvl w:val="0"/>
                <w:numId w:val="0"/>
              </w:numPr>
              <w:spacing w:before="0" w:after="0"/>
            </w:pPr>
            <w:r>
              <w:rPr>
                <w:b/>
                <w:color w:val="008080"/>
              </w:rPr>
              <w:t>Stage 4:</w:t>
            </w:r>
            <w:r w:rsidR="006010AE">
              <w:rPr>
                <w:b/>
                <w:color w:val="008080"/>
              </w:rPr>
              <w:t xml:space="preserve"> Estimate of annual housing need</w:t>
            </w:r>
          </w:p>
        </w:tc>
      </w:tr>
      <w:tr w:rsidR="006010AE" w:rsidTr="006010AE">
        <w:tc>
          <w:tcPr>
            <w:tcW w:w="1547" w:type="dxa"/>
          </w:tcPr>
          <w:p w:rsidR="006010AE" w:rsidRDefault="006010AE" w:rsidP="006010AE">
            <w:pPr>
              <w:pStyle w:val="Maintext"/>
              <w:numPr>
                <w:ilvl w:val="0"/>
                <w:numId w:val="0"/>
              </w:numPr>
              <w:spacing w:before="0" w:after="0"/>
            </w:pPr>
            <w:r>
              <w:t>Step 4.1</w:t>
            </w:r>
          </w:p>
        </w:tc>
        <w:tc>
          <w:tcPr>
            <w:tcW w:w="5561" w:type="dxa"/>
            <w:vAlign w:val="bottom"/>
          </w:tcPr>
          <w:p w:rsidR="006010AE" w:rsidRDefault="006010AE" w:rsidP="006010AE">
            <w:pPr>
              <w:spacing w:before="0" w:after="0"/>
              <w:rPr>
                <w:rFonts w:cs="Arial"/>
                <w:sz w:val="20"/>
                <w:szCs w:val="20"/>
              </w:rPr>
            </w:pPr>
            <w:r>
              <w:rPr>
                <w:rFonts w:cs="Arial"/>
                <w:sz w:val="20"/>
                <w:szCs w:val="20"/>
              </w:rPr>
              <w:t xml:space="preserve">Total backlog need </w:t>
            </w:r>
          </w:p>
        </w:tc>
      </w:tr>
      <w:tr w:rsidR="006010AE" w:rsidTr="006010AE">
        <w:tc>
          <w:tcPr>
            <w:tcW w:w="1547" w:type="dxa"/>
          </w:tcPr>
          <w:p w:rsidR="006010AE" w:rsidRDefault="006010AE" w:rsidP="006010AE">
            <w:pPr>
              <w:pStyle w:val="Maintext"/>
              <w:numPr>
                <w:ilvl w:val="0"/>
                <w:numId w:val="0"/>
              </w:numPr>
              <w:spacing w:before="0" w:after="0"/>
            </w:pPr>
            <w:r>
              <w:t>Step 4.2</w:t>
            </w:r>
          </w:p>
        </w:tc>
        <w:tc>
          <w:tcPr>
            <w:tcW w:w="5561" w:type="dxa"/>
            <w:vAlign w:val="bottom"/>
          </w:tcPr>
          <w:p w:rsidR="006010AE" w:rsidRDefault="006010AE" w:rsidP="006010AE">
            <w:pPr>
              <w:spacing w:before="0" w:after="0"/>
              <w:rPr>
                <w:rFonts w:cs="Arial"/>
                <w:sz w:val="20"/>
                <w:szCs w:val="20"/>
              </w:rPr>
            </w:pPr>
            <w:r>
              <w:rPr>
                <w:rFonts w:cs="Arial"/>
                <w:sz w:val="20"/>
                <w:szCs w:val="20"/>
              </w:rPr>
              <w:t>Quota to reduce over 5 years (20%)</w:t>
            </w:r>
          </w:p>
        </w:tc>
      </w:tr>
      <w:tr w:rsidR="006010AE" w:rsidTr="006010AE">
        <w:tc>
          <w:tcPr>
            <w:tcW w:w="1547" w:type="dxa"/>
          </w:tcPr>
          <w:p w:rsidR="006010AE" w:rsidRDefault="006010AE" w:rsidP="006010AE">
            <w:pPr>
              <w:pStyle w:val="Maintext"/>
              <w:numPr>
                <w:ilvl w:val="0"/>
                <w:numId w:val="0"/>
              </w:numPr>
              <w:spacing w:before="0" w:after="0"/>
            </w:pPr>
            <w:r>
              <w:t>Step 4.3</w:t>
            </w:r>
          </w:p>
        </w:tc>
        <w:tc>
          <w:tcPr>
            <w:tcW w:w="5561" w:type="dxa"/>
            <w:vAlign w:val="bottom"/>
          </w:tcPr>
          <w:p w:rsidR="006010AE" w:rsidRDefault="006010AE" w:rsidP="006010AE">
            <w:pPr>
              <w:spacing w:before="0" w:after="0"/>
              <w:rPr>
                <w:rFonts w:cs="Arial"/>
                <w:sz w:val="20"/>
                <w:szCs w:val="20"/>
              </w:rPr>
            </w:pPr>
            <w:r>
              <w:rPr>
                <w:rFonts w:cs="Arial"/>
                <w:sz w:val="20"/>
                <w:szCs w:val="20"/>
              </w:rPr>
              <w:t>Annual backlog reduction</w:t>
            </w:r>
          </w:p>
        </w:tc>
      </w:tr>
      <w:tr w:rsidR="006010AE" w:rsidTr="006010AE">
        <w:tc>
          <w:tcPr>
            <w:tcW w:w="1547" w:type="dxa"/>
          </w:tcPr>
          <w:p w:rsidR="006010AE" w:rsidRDefault="006010AE" w:rsidP="006010AE">
            <w:pPr>
              <w:pStyle w:val="Maintext"/>
              <w:numPr>
                <w:ilvl w:val="0"/>
                <w:numId w:val="0"/>
              </w:numPr>
              <w:spacing w:before="0" w:after="0"/>
            </w:pPr>
            <w:r>
              <w:t>Step 4.4</w:t>
            </w:r>
          </w:p>
        </w:tc>
        <w:tc>
          <w:tcPr>
            <w:tcW w:w="5561" w:type="dxa"/>
            <w:vAlign w:val="bottom"/>
          </w:tcPr>
          <w:p w:rsidR="006010AE" w:rsidRDefault="006010AE" w:rsidP="006010AE">
            <w:pPr>
              <w:spacing w:before="0" w:after="0"/>
              <w:rPr>
                <w:rFonts w:cs="Arial"/>
                <w:sz w:val="20"/>
                <w:szCs w:val="20"/>
              </w:rPr>
            </w:pPr>
            <w:r>
              <w:rPr>
                <w:rFonts w:cs="Arial"/>
                <w:sz w:val="20"/>
                <w:szCs w:val="20"/>
              </w:rPr>
              <w:t xml:space="preserve">Newly-arising need </w:t>
            </w:r>
          </w:p>
        </w:tc>
      </w:tr>
      <w:tr w:rsidR="006010AE" w:rsidTr="006010AE">
        <w:tc>
          <w:tcPr>
            <w:tcW w:w="1547" w:type="dxa"/>
          </w:tcPr>
          <w:p w:rsidR="006010AE" w:rsidRDefault="006010AE" w:rsidP="006010AE">
            <w:pPr>
              <w:pStyle w:val="Maintext"/>
              <w:numPr>
                <w:ilvl w:val="0"/>
                <w:numId w:val="0"/>
              </w:numPr>
              <w:spacing w:before="0" w:after="0"/>
            </w:pPr>
            <w:r>
              <w:t>Step 4.5</w:t>
            </w:r>
          </w:p>
        </w:tc>
        <w:tc>
          <w:tcPr>
            <w:tcW w:w="5561" w:type="dxa"/>
            <w:vAlign w:val="bottom"/>
          </w:tcPr>
          <w:p w:rsidR="006010AE" w:rsidRDefault="006010AE" w:rsidP="006010AE">
            <w:pPr>
              <w:spacing w:before="0" w:after="0"/>
              <w:rPr>
                <w:rFonts w:cs="Arial"/>
                <w:sz w:val="20"/>
                <w:szCs w:val="20"/>
              </w:rPr>
            </w:pPr>
            <w:r>
              <w:rPr>
                <w:rFonts w:cs="Arial"/>
                <w:sz w:val="20"/>
                <w:szCs w:val="20"/>
              </w:rPr>
              <w:t xml:space="preserve">Total annual affordable need </w:t>
            </w:r>
          </w:p>
        </w:tc>
      </w:tr>
      <w:tr w:rsidR="006010AE" w:rsidTr="006010AE">
        <w:tc>
          <w:tcPr>
            <w:tcW w:w="1547" w:type="dxa"/>
          </w:tcPr>
          <w:p w:rsidR="006010AE" w:rsidRDefault="006010AE" w:rsidP="006010AE">
            <w:pPr>
              <w:pStyle w:val="Maintext"/>
              <w:numPr>
                <w:ilvl w:val="0"/>
                <w:numId w:val="0"/>
              </w:numPr>
              <w:spacing w:before="0" w:after="0"/>
            </w:pPr>
            <w:r>
              <w:t>Step 4.6</w:t>
            </w:r>
          </w:p>
        </w:tc>
        <w:tc>
          <w:tcPr>
            <w:tcW w:w="5561" w:type="dxa"/>
            <w:vAlign w:val="bottom"/>
          </w:tcPr>
          <w:p w:rsidR="006010AE" w:rsidRDefault="006010AE" w:rsidP="006010AE">
            <w:pPr>
              <w:spacing w:before="0" w:after="0"/>
              <w:rPr>
                <w:rFonts w:cs="Arial"/>
                <w:sz w:val="20"/>
                <w:szCs w:val="20"/>
              </w:rPr>
            </w:pPr>
            <w:r>
              <w:rPr>
                <w:rFonts w:cs="Arial"/>
                <w:sz w:val="20"/>
                <w:szCs w:val="20"/>
              </w:rPr>
              <w:t xml:space="preserve">Annual social rented capacity </w:t>
            </w:r>
          </w:p>
        </w:tc>
      </w:tr>
      <w:tr w:rsidR="006010AE" w:rsidTr="006010AE">
        <w:tc>
          <w:tcPr>
            <w:tcW w:w="1547" w:type="dxa"/>
          </w:tcPr>
          <w:p w:rsidR="006010AE" w:rsidRDefault="006010AE" w:rsidP="006010AE">
            <w:pPr>
              <w:spacing w:before="0" w:after="0"/>
            </w:pPr>
            <w:r>
              <w:t>Step 4.7</w:t>
            </w:r>
          </w:p>
        </w:tc>
        <w:tc>
          <w:tcPr>
            <w:tcW w:w="5561" w:type="dxa"/>
          </w:tcPr>
          <w:p w:rsidR="006010AE" w:rsidRDefault="006010AE" w:rsidP="006010AE">
            <w:pPr>
              <w:spacing w:before="0" w:after="0"/>
            </w:pPr>
            <w:r>
              <w:t>Net Annual Shortfall</w:t>
            </w:r>
          </w:p>
        </w:tc>
      </w:tr>
    </w:tbl>
    <w:p w:rsidR="00EE6B85" w:rsidRDefault="00EE6B85" w:rsidP="00EE6B85"/>
    <w:p w:rsidR="00EE6B85" w:rsidRDefault="00EE6B85" w:rsidP="00EE6B85">
      <w:pPr>
        <w:pStyle w:val="Heading2"/>
      </w:pPr>
      <w:bookmarkStart w:id="316" w:name="_Toc273698053"/>
      <w:bookmarkStart w:id="317" w:name="_Toc273708386"/>
      <w:bookmarkStart w:id="318" w:name="_Toc280272456"/>
      <w:bookmarkStart w:id="319" w:name="_Toc318323463"/>
      <w:bookmarkStart w:id="320" w:name="_Toc320271456"/>
      <w:bookmarkStart w:id="321" w:name="_Toc321323389"/>
      <w:bookmarkStart w:id="322" w:name="_Toc326077251"/>
      <w:bookmarkStart w:id="323" w:name="_Toc333507792"/>
      <w:r>
        <w:t>Introduction</w:t>
      </w:r>
      <w:bookmarkEnd w:id="316"/>
      <w:bookmarkEnd w:id="317"/>
      <w:bookmarkEnd w:id="318"/>
      <w:bookmarkEnd w:id="319"/>
      <w:bookmarkEnd w:id="320"/>
      <w:bookmarkEnd w:id="321"/>
      <w:bookmarkEnd w:id="322"/>
      <w:bookmarkEnd w:id="323"/>
    </w:p>
    <w:p w:rsidR="00EE6B85" w:rsidRDefault="00EE6B85" w:rsidP="00EE6B85"/>
    <w:p w:rsidR="00EE6B85" w:rsidRDefault="002C1B0D" w:rsidP="00C76826">
      <w:pPr>
        <w:pStyle w:val="Maintext"/>
        <w:numPr>
          <w:ilvl w:val="1"/>
          <w:numId w:val="11"/>
        </w:numPr>
      </w:pPr>
      <w:r>
        <w:t>A working definition of housing need i</w:t>
      </w:r>
      <w:r w:rsidR="00EE6B85">
        <w:t xml:space="preserve">s ‘the quantity of housing required for households who are unable to access suitable housing without </w:t>
      </w:r>
      <w:r w:rsidR="006010AE">
        <w:t>financial assistance’.  The 2012</w:t>
      </w:r>
      <w:r w:rsidR="00EE6B85">
        <w:t xml:space="preserve"> Household Survey and secondary data provide a robust range of information to quantify housing need in </w:t>
      </w:r>
      <w:r w:rsidR="006010AE">
        <w:t>County Durham</w:t>
      </w:r>
      <w:r w:rsidR="00EE6B85">
        <w:t xml:space="preserve"> and the extent to which additional affordable housing is required. </w:t>
      </w:r>
    </w:p>
    <w:p w:rsidR="00EE6B85" w:rsidRDefault="00EE6B85" w:rsidP="00C76826">
      <w:pPr>
        <w:pStyle w:val="Maintext"/>
        <w:numPr>
          <w:ilvl w:val="1"/>
          <w:numId w:val="11"/>
        </w:numPr>
      </w:pPr>
      <w:r>
        <w:t xml:space="preserve">Housing needs analysis and affordable housing modelling has been prepared in accordance with CLG guidance at </w:t>
      </w:r>
      <w:r w:rsidR="00315960">
        <w:t xml:space="preserve">County </w:t>
      </w:r>
      <w:r w:rsidR="006010AE">
        <w:t xml:space="preserve">and </w:t>
      </w:r>
      <w:r w:rsidR="00B440F0">
        <w:t>delivery area</w:t>
      </w:r>
      <w:r w:rsidR="006010AE">
        <w:t xml:space="preserve">. </w:t>
      </w:r>
      <w:r>
        <w:t>In summary, the model reviews in a step-wise process:</w:t>
      </w:r>
    </w:p>
    <w:p w:rsidR="00EE6B85" w:rsidRDefault="00EE6B85" w:rsidP="00EE6B85">
      <w:pPr>
        <w:ind w:left="720"/>
        <w:rPr>
          <w:rFonts w:cs="Arial"/>
          <w:iCs/>
        </w:rPr>
      </w:pPr>
      <w:r>
        <w:rPr>
          <w:rFonts w:cs="Arial"/>
          <w:iCs/>
        </w:rPr>
        <w:t xml:space="preserve">Stage 1: </w:t>
      </w:r>
      <w:r>
        <w:rPr>
          <w:rFonts w:cs="Arial"/>
          <w:iCs/>
        </w:rPr>
        <w:tab/>
        <w:t>Current housing need (gross backlog)</w:t>
      </w:r>
    </w:p>
    <w:p w:rsidR="00EE6B85" w:rsidRDefault="00EE6B85" w:rsidP="00EE6B85">
      <w:pPr>
        <w:ind w:firstLine="720"/>
        <w:rPr>
          <w:rFonts w:cs="Arial"/>
          <w:iCs/>
        </w:rPr>
      </w:pPr>
      <w:r>
        <w:rPr>
          <w:rFonts w:cs="Arial"/>
          <w:iCs/>
        </w:rPr>
        <w:t>Stage 2:</w:t>
      </w:r>
      <w:r>
        <w:rPr>
          <w:rFonts w:cs="Arial"/>
          <w:iCs/>
        </w:rPr>
        <w:tab/>
        <w:t>Future housing need</w:t>
      </w:r>
    </w:p>
    <w:p w:rsidR="00EE6B85" w:rsidRDefault="00EE6B85" w:rsidP="00EE6B85">
      <w:pPr>
        <w:ind w:left="720"/>
        <w:rPr>
          <w:rFonts w:cs="Arial"/>
          <w:iCs/>
        </w:rPr>
      </w:pPr>
      <w:r>
        <w:rPr>
          <w:rFonts w:cs="Arial"/>
          <w:iCs/>
        </w:rPr>
        <w:t>Stage 3:</w:t>
      </w:r>
      <w:r>
        <w:rPr>
          <w:rFonts w:cs="Arial"/>
          <w:iCs/>
        </w:rPr>
        <w:tab/>
        <w:t>Affordable housing supply</w:t>
      </w:r>
    </w:p>
    <w:p w:rsidR="00EE6B85" w:rsidRDefault="00EE6B85" w:rsidP="00EE6B85">
      <w:pPr>
        <w:ind w:left="720"/>
      </w:pPr>
      <w:r>
        <w:t>Stage 4:</w:t>
      </w:r>
      <w:r>
        <w:tab/>
        <w:t>Housing requirements of households in need</w:t>
      </w:r>
    </w:p>
    <w:p w:rsidR="00160B3F" w:rsidRDefault="00EE6B85" w:rsidP="006010AE">
      <w:pPr>
        <w:ind w:left="720"/>
      </w:pPr>
      <w:r>
        <w:t>Stage 5:</w:t>
      </w:r>
      <w:r>
        <w:tab/>
        <w:t>Bringing the evidence together</w:t>
      </w:r>
    </w:p>
    <w:p w:rsidR="006010AE" w:rsidRDefault="00EE6B85" w:rsidP="00A909F6">
      <w:pPr>
        <w:pStyle w:val="Maintext"/>
        <w:numPr>
          <w:ilvl w:val="1"/>
          <w:numId w:val="11"/>
        </w:numPr>
      </w:pPr>
      <w:r>
        <w:t>Table D1</w:t>
      </w:r>
      <w:r w:rsidR="006010AE">
        <w:t>a</w:t>
      </w:r>
      <w:r>
        <w:t xml:space="preserve"> summarises the different steps taken in assessing housing need and evidencing the extent to which there is a surplus or shortfall in affordable housing across the </w:t>
      </w:r>
      <w:r w:rsidR="006010AE">
        <w:t>County Durham.</w:t>
      </w:r>
      <w:r>
        <w:t xml:space="preserve"> Please note that in Stage 1, step 1.4 reports the total number of households in need and avoids double counting as in some cases households have more than one housing need. </w:t>
      </w:r>
      <w:r w:rsidR="006010AE">
        <w:t xml:space="preserve">Table  D1b summarises the data by </w:t>
      </w:r>
      <w:r w:rsidR="00B440F0">
        <w:t>delivery area</w:t>
      </w:r>
      <w:r w:rsidR="00A909F6">
        <w:t xml:space="preserve">. </w:t>
      </w:r>
    </w:p>
    <w:p w:rsidR="00A909F6" w:rsidRPr="00FD5073" w:rsidRDefault="00A909F6" w:rsidP="00A909F6">
      <w:pPr>
        <w:pStyle w:val="Maintext"/>
        <w:numPr>
          <w:ilvl w:val="1"/>
          <w:numId w:val="11"/>
        </w:numPr>
        <w:sectPr w:rsidR="00A909F6" w:rsidRPr="00FD5073" w:rsidSect="00176832">
          <w:footerReference w:type="even" r:id="rId30"/>
          <w:footerReference w:type="default" r:id="rId31"/>
          <w:pgSz w:w="11906" w:h="16838" w:code="9"/>
          <w:pgMar w:top="1418" w:right="1418" w:bottom="1418" w:left="1418" w:header="709" w:footer="567" w:gutter="0"/>
          <w:cols w:space="708"/>
          <w:docGrid w:linePitch="360"/>
        </w:sectPr>
      </w:pPr>
    </w:p>
    <w:p w:rsidR="00EE6B85" w:rsidRDefault="00EE6B85" w:rsidP="00EE6B85">
      <w:r>
        <w:rPr>
          <w:b/>
        </w:rPr>
        <w:t>Table D1</w:t>
      </w:r>
      <w:r w:rsidR="006010AE">
        <w:rPr>
          <w:b/>
        </w:rPr>
        <w:t>a</w:t>
      </w:r>
      <w:r>
        <w:tab/>
        <w:t>CLG Need</w:t>
      </w:r>
      <w:r w:rsidR="006010AE">
        <w:t>s Assessment Summary for County Durham</w:t>
      </w:r>
    </w:p>
    <w:p w:rsidR="00A909F6" w:rsidRDefault="00A909F6" w:rsidP="00EE6B85">
      <w:r w:rsidRPr="00A909F6">
        <w:rPr>
          <w:noProof/>
          <w:lang w:eastAsia="en-GB"/>
        </w:rPr>
        <w:drawing>
          <wp:inline distT="0" distB="0" distL="0" distR="0">
            <wp:extent cx="5185033" cy="6970143"/>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183820" cy="6968512"/>
                    </a:xfrm>
                    <a:prstGeom prst="rect">
                      <a:avLst/>
                    </a:prstGeom>
                    <a:noFill/>
                    <a:ln w="9525">
                      <a:noFill/>
                      <a:miter lim="800000"/>
                      <a:headEnd/>
                      <a:tailEnd/>
                    </a:ln>
                  </pic:spPr>
                </pic:pic>
              </a:graphicData>
            </a:graphic>
          </wp:inline>
        </w:drawing>
      </w:r>
    </w:p>
    <w:p w:rsidR="00EE6B85" w:rsidRDefault="00EE6B85" w:rsidP="00EE6B85">
      <w:pPr>
        <w:rPr>
          <w:sz w:val="20"/>
          <w:szCs w:val="20"/>
        </w:rPr>
      </w:pPr>
      <w:r w:rsidRPr="00FD5073">
        <w:rPr>
          <w:sz w:val="20"/>
          <w:szCs w:val="20"/>
        </w:rPr>
        <w:t xml:space="preserve">Source </w:t>
      </w:r>
      <w:r w:rsidR="00DD3EB7">
        <w:rPr>
          <w:sz w:val="20"/>
          <w:szCs w:val="20"/>
        </w:rPr>
        <w:t>2012 Household Survey</w:t>
      </w:r>
      <w:r w:rsidRPr="00FD5073">
        <w:rPr>
          <w:sz w:val="20"/>
          <w:szCs w:val="20"/>
        </w:rPr>
        <w:t>; RSL Core Lettings and Sales data</w:t>
      </w:r>
    </w:p>
    <w:p w:rsidR="00E32FC6" w:rsidRPr="006010AE" w:rsidRDefault="00E32FC6" w:rsidP="00EE6B85">
      <w:pPr>
        <w:rPr>
          <w:b/>
          <w:sz w:val="20"/>
          <w:szCs w:val="20"/>
        </w:rPr>
      </w:pPr>
      <w:r w:rsidRPr="00E32FC6">
        <w:rPr>
          <w:b/>
          <w:sz w:val="20"/>
          <w:szCs w:val="20"/>
        </w:rPr>
        <w:t>IMPORTANT NOTE:</w:t>
      </w:r>
      <w:r>
        <w:rPr>
          <w:sz w:val="20"/>
          <w:szCs w:val="20"/>
        </w:rPr>
        <w:t xml:space="preserve"> There is some information available on committed supply which is presented in Table D9 but the timescale and nature of dwellings to be built is not certain. Because of these uncertainties, the basic model reviews overall requirements excluding committed new supply but the potential impact of new supply on overall net requirements </w:t>
      </w:r>
      <w:r w:rsidR="002C4CF9">
        <w:rPr>
          <w:sz w:val="20"/>
          <w:szCs w:val="20"/>
        </w:rPr>
        <w:t xml:space="preserve">is discussed further in </w:t>
      </w:r>
      <w:r w:rsidR="008D1D73">
        <w:rPr>
          <w:b/>
          <w:sz w:val="20"/>
          <w:szCs w:val="20"/>
        </w:rPr>
        <w:t>Para D2</w:t>
      </w:r>
      <w:r w:rsidR="002C4CF9" w:rsidRPr="006010AE">
        <w:rPr>
          <w:b/>
          <w:sz w:val="20"/>
          <w:szCs w:val="20"/>
        </w:rPr>
        <w:t>8</w:t>
      </w:r>
      <w:r w:rsidRPr="006010AE">
        <w:rPr>
          <w:b/>
          <w:sz w:val="20"/>
          <w:szCs w:val="20"/>
        </w:rPr>
        <w:t>.</w:t>
      </w:r>
    </w:p>
    <w:p w:rsidR="00B979E5" w:rsidRDefault="00B979E5" w:rsidP="006010AE">
      <w:pPr>
        <w:rPr>
          <w:b/>
        </w:rPr>
      </w:pPr>
    </w:p>
    <w:p w:rsidR="00A909F6" w:rsidRDefault="00A909F6" w:rsidP="006010AE">
      <w:pPr>
        <w:rPr>
          <w:b/>
        </w:rPr>
      </w:pPr>
    </w:p>
    <w:p w:rsidR="00B440F0" w:rsidRDefault="006010AE" w:rsidP="006010AE">
      <w:r>
        <w:rPr>
          <w:b/>
        </w:rPr>
        <w:t>Table D1b</w:t>
      </w:r>
      <w:r>
        <w:tab/>
      </w:r>
      <w:r w:rsidR="00B440F0">
        <w:t>CLG Needs Assessment Summary by delivery area</w:t>
      </w:r>
    </w:p>
    <w:p w:rsidR="006010AE" w:rsidRDefault="00B440F0" w:rsidP="006010AE">
      <w:r>
        <w:t xml:space="preserve"> </w:t>
      </w:r>
      <w:r w:rsidR="00A909F6" w:rsidRPr="00A909F6">
        <w:rPr>
          <w:noProof/>
          <w:lang w:eastAsia="en-GB"/>
        </w:rPr>
        <w:drawing>
          <wp:inline distT="0" distB="0" distL="0" distR="0">
            <wp:extent cx="5836920" cy="533559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836920" cy="5335595"/>
                    </a:xfrm>
                    <a:prstGeom prst="rect">
                      <a:avLst/>
                    </a:prstGeom>
                    <a:noFill/>
                    <a:ln w="9525">
                      <a:noFill/>
                      <a:miter lim="800000"/>
                      <a:headEnd/>
                      <a:tailEnd/>
                    </a:ln>
                  </pic:spPr>
                </pic:pic>
              </a:graphicData>
            </a:graphic>
          </wp:inline>
        </w:drawing>
      </w:r>
    </w:p>
    <w:p w:rsidR="006010AE" w:rsidRDefault="006010AE" w:rsidP="006010AE"/>
    <w:p w:rsidR="00AF3215" w:rsidRDefault="00AF3215" w:rsidP="006010AE">
      <w:pPr>
        <w:rPr>
          <w:b/>
        </w:rPr>
        <w:sectPr w:rsidR="00AF3215" w:rsidSect="00B440F0">
          <w:pgSz w:w="11906" w:h="16838"/>
          <w:pgMar w:top="1440" w:right="1274" w:bottom="1440" w:left="1440" w:header="708" w:footer="708" w:gutter="0"/>
          <w:cols w:space="708"/>
          <w:docGrid w:linePitch="360"/>
        </w:sectPr>
      </w:pPr>
    </w:p>
    <w:p w:rsidR="00EE6B85" w:rsidRDefault="00AF3215" w:rsidP="00AF3215">
      <w:pPr>
        <w:pStyle w:val="Heading2"/>
        <w:tabs>
          <w:tab w:val="clear" w:pos="709"/>
          <w:tab w:val="left" w:pos="0"/>
        </w:tabs>
        <w:ind w:left="0"/>
      </w:pPr>
      <w:bookmarkStart w:id="324" w:name="_Toc273698054"/>
      <w:bookmarkStart w:id="325" w:name="_Toc273708387"/>
      <w:bookmarkStart w:id="326" w:name="_Toc280272457"/>
      <w:bookmarkStart w:id="327" w:name="_Toc318323464"/>
      <w:bookmarkStart w:id="328" w:name="_Toc320271457"/>
      <w:bookmarkStart w:id="329" w:name="_Toc321323390"/>
      <w:bookmarkStart w:id="330" w:name="_Toc326077252"/>
      <w:r>
        <w:tab/>
      </w:r>
      <w:bookmarkStart w:id="331" w:name="_Toc333507794"/>
      <w:r w:rsidR="00EE6B85">
        <w:t>Stage 1:  Current need</w:t>
      </w:r>
      <w:bookmarkEnd w:id="324"/>
      <w:bookmarkEnd w:id="325"/>
      <w:bookmarkEnd w:id="326"/>
      <w:bookmarkEnd w:id="327"/>
      <w:bookmarkEnd w:id="328"/>
      <w:bookmarkEnd w:id="329"/>
      <w:bookmarkEnd w:id="330"/>
      <w:bookmarkEnd w:id="331"/>
    </w:p>
    <w:p w:rsidR="00EE6B85" w:rsidRDefault="00EE6B85" w:rsidP="00EE6B85">
      <w:pPr>
        <w:rPr>
          <w:rFonts w:cs="Arial"/>
          <w:b/>
          <w:iCs/>
        </w:rPr>
      </w:pPr>
    </w:p>
    <w:p w:rsidR="00EE6B85" w:rsidRDefault="002C1B0D" w:rsidP="00C76826">
      <w:pPr>
        <w:pStyle w:val="Maintext"/>
        <w:numPr>
          <w:ilvl w:val="1"/>
          <w:numId w:val="11"/>
        </w:numPr>
        <w:rPr>
          <w:rFonts w:cs="Arial"/>
          <w:iCs/>
        </w:rPr>
      </w:pPr>
      <w:r>
        <w:rPr>
          <w:rFonts w:cs="Arial"/>
          <w:iCs/>
        </w:rPr>
        <w:t>A working definition of housing need i</w:t>
      </w:r>
      <w:r w:rsidR="00EE6B85">
        <w:rPr>
          <w:rFonts w:cs="Arial"/>
          <w:iCs/>
        </w:rPr>
        <w:t xml:space="preserve">s ‘the quantity of housing required for households who are unable to access suitable housing without financial assistance’.  The SHMA Guidance suggests types of housing that should be considered unsuitable, as summarised in Table D2. </w:t>
      </w:r>
    </w:p>
    <w:p w:rsidR="00EE6B85" w:rsidRDefault="00EE6B85" w:rsidP="00EE6B85">
      <w:pPr>
        <w:ind w:left="709" w:firstLine="11"/>
        <w:rPr>
          <w:rFonts w:cs="Arial"/>
          <w:b/>
          <w:iCs/>
        </w:rPr>
      </w:pPr>
    </w:p>
    <w:p w:rsidR="00EE6B85" w:rsidRDefault="00EE6B85" w:rsidP="00AF3215">
      <w:pPr>
        <w:ind w:firstLine="709"/>
        <w:rPr>
          <w:rFonts w:cs="Arial"/>
        </w:rPr>
      </w:pPr>
      <w:r>
        <w:rPr>
          <w:rFonts w:cs="Arial"/>
          <w:b/>
        </w:rPr>
        <w:t>Table D2</w:t>
      </w:r>
      <w:r>
        <w:rPr>
          <w:rFonts w:cs="Arial"/>
        </w:rPr>
        <w:tab/>
        <w:t xml:space="preserve">Summary of current housing need </w:t>
      </w:r>
      <w:r w:rsidR="00AF3215">
        <w:rPr>
          <w:rFonts w:cs="Arial"/>
        </w:rPr>
        <w:t>across County Durham</w:t>
      </w:r>
    </w:p>
    <w:tbl>
      <w:tblPr>
        <w:tblW w:w="7860" w:type="dxa"/>
        <w:tblInd w:w="720" w:type="dxa"/>
        <w:tblLook w:val="04A0" w:firstRow="1" w:lastRow="0" w:firstColumn="1" w:lastColumn="0" w:noHBand="0" w:noVBand="1"/>
      </w:tblPr>
      <w:tblGrid>
        <w:gridCol w:w="2079"/>
        <w:gridCol w:w="4420"/>
        <w:gridCol w:w="1361"/>
      </w:tblGrid>
      <w:tr w:rsidR="00B979E5" w:rsidRPr="00B979E5" w:rsidTr="00B979E5">
        <w:trPr>
          <w:trHeight w:val="255"/>
        </w:trPr>
        <w:tc>
          <w:tcPr>
            <w:tcW w:w="2120"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B979E5" w:rsidRPr="00B979E5" w:rsidRDefault="00B979E5" w:rsidP="00B979E5">
            <w:pPr>
              <w:spacing w:before="0" w:after="0"/>
              <w:rPr>
                <w:rFonts w:cs="Arial"/>
                <w:b/>
                <w:bCs/>
                <w:color w:val="FFFFFF"/>
                <w:sz w:val="20"/>
                <w:szCs w:val="20"/>
                <w:lang w:eastAsia="en-GB"/>
              </w:rPr>
            </w:pPr>
            <w:r w:rsidRPr="00B979E5">
              <w:rPr>
                <w:rFonts w:cs="Arial"/>
                <w:b/>
                <w:bCs/>
                <w:color w:val="FFFFFF"/>
                <w:sz w:val="20"/>
                <w:szCs w:val="20"/>
                <w:lang w:eastAsia="en-GB"/>
              </w:rPr>
              <w:t>Category</w:t>
            </w:r>
          </w:p>
        </w:tc>
        <w:tc>
          <w:tcPr>
            <w:tcW w:w="4560" w:type="dxa"/>
            <w:tcBorders>
              <w:top w:val="single" w:sz="4" w:space="0" w:color="auto"/>
              <w:left w:val="nil"/>
              <w:bottom w:val="single" w:sz="4" w:space="0" w:color="auto"/>
              <w:right w:val="single" w:sz="4" w:space="0" w:color="auto"/>
            </w:tcBorders>
            <w:shd w:val="clear" w:color="000000" w:fill="008080"/>
            <w:vAlign w:val="bottom"/>
            <w:hideMark/>
          </w:tcPr>
          <w:p w:rsidR="00B979E5" w:rsidRPr="00B979E5" w:rsidRDefault="00B979E5" w:rsidP="00B979E5">
            <w:pPr>
              <w:spacing w:before="0" w:after="0"/>
              <w:rPr>
                <w:rFonts w:cs="Arial"/>
                <w:b/>
                <w:bCs/>
                <w:color w:val="FFFFFF"/>
                <w:sz w:val="20"/>
                <w:szCs w:val="20"/>
                <w:lang w:eastAsia="en-GB"/>
              </w:rPr>
            </w:pPr>
            <w:r w:rsidRPr="00B979E5">
              <w:rPr>
                <w:rFonts w:cs="Arial"/>
                <w:b/>
                <w:bCs/>
                <w:color w:val="FFFFFF"/>
                <w:sz w:val="20"/>
                <w:szCs w:val="20"/>
                <w:lang w:eastAsia="en-GB"/>
              </w:rPr>
              <w:t>Factor</w:t>
            </w:r>
          </w:p>
        </w:tc>
        <w:tc>
          <w:tcPr>
            <w:tcW w:w="1180" w:type="dxa"/>
            <w:tcBorders>
              <w:top w:val="single" w:sz="4" w:space="0" w:color="auto"/>
              <w:left w:val="nil"/>
              <w:bottom w:val="single" w:sz="4" w:space="0" w:color="auto"/>
              <w:right w:val="single" w:sz="4" w:space="0" w:color="auto"/>
            </w:tcBorders>
            <w:shd w:val="clear" w:color="000000" w:fill="008080"/>
            <w:vAlign w:val="bottom"/>
            <w:hideMark/>
          </w:tcPr>
          <w:p w:rsidR="00B979E5" w:rsidRPr="00B979E5" w:rsidRDefault="00B979E5" w:rsidP="00B979E5">
            <w:pPr>
              <w:spacing w:before="0" w:after="0"/>
              <w:jc w:val="center"/>
              <w:rPr>
                <w:rFonts w:cs="Arial"/>
                <w:b/>
                <w:bCs/>
                <w:color w:val="FFFFFF"/>
                <w:sz w:val="20"/>
                <w:szCs w:val="20"/>
                <w:lang w:eastAsia="en-GB"/>
              </w:rPr>
            </w:pPr>
            <w:r w:rsidRPr="00B979E5">
              <w:rPr>
                <w:rFonts w:cs="Arial"/>
                <w:b/>
                <w:bCs/>
                <w:color w:val="FFFFFF"/>
                <w:sz w:val="20"/>
                <w:szCs w:val="20"/>
                <w:lang w:eastAsia="en-GB"/>
              </w:rPr>
              <w:t> </w:t>
            </w:r>
            <w:r>
              <w:rPr>
                <w:rFonts w:cs="Arial"/>
                <w:b/>
                <w:bCs/>
                <w:color w:val="FFFFFF"/>
                <w:sz w:val="20"/>
                <w:szCs w:val="20"/>
                <w:lang w:eastAsia="en-GB"/>
              </w:rPr>
              <w:t>Total Households</w:t>
            </w:r>
          </w:p>
        </w:tc>
      </w:tr>
      <w:tr w:rsidR="00B979E5" w:rsidRPr="00B979E5" w:rsidTr="00B979E5">
        <w:trPr>
          <w:trHeight w:val="510"/>
        </w:trPr>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Homeless households or with insecure tenure</w:t>
            </w: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N1 Under notice, real threat of notice or lease coming to an end</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2134</w:t>
            </w:r>
          </w:p>
        </w:tc>
      </w:tr>
      <w:tr w:rsidR="00B979E5" w:rsidRPr="00B979E5" w:rsidTr="00B979E5">
        <w:trPr>
          <w:trHeight w:val="510"/>
        </w:trPr>
        <w:tc>
          <w:tcPr>
            <w:tcW w:w="2120" w:type="dxa"/>
            <w:vMerge/>
            <w:tcBorders>
              <w:top w:val="nil"/>
              <w:left w:val="single" w:sz="4" w:space="0" w:color="auto"/>
              <w:bottom w:val="single" w:sz="4" w:space="0" w:color="000000"/>
              <w:right w:val="single" w:sz="4" w:space="0" w:color="auto"/>
            </w:tcBorders>
            <w:vAlign w:val="center"/>
            <w:hideMark/>
          </w:tcPr>
          <w:p w:rsidR="00B979E5" w:rsidRPr="00B979E5" w:rsidRDefault="00B979E5" w:rsidP="00B979E5">
            <w:pPr>
              <w:spacing w:before="0" w:after="0"/>
              <w:rPr>
                <w:rFonts w:cs="Arial"/>
                <w:sz w:val="20"/>
                <w:szCs w:val="20"/>
                <w:lang w:eastAsia="en-GB"/>
              </w:rPr>
            </w:pP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N2 Too expensive, and in receipt of housing benefit or in arrears due to expense</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1868</w:t>
            </w:r>
          </w:p>
        </w:tc>
      </w:tr>
      <w:tr w:rsidR="00B979E5" w:rsidRPr="00B979E5" w:rsidTr="00B979E5">
        <w:trPr>
          <w:trHeight w:val="510"/>
        </w:trPr>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Mismatch of housing need and dwellings</w:t>
            </w: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N3 Overcrowded according to the 'bedroom standard' model</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2709</w:t>
            </w:r>
          </w:p>
        </w:tc>
      </w:tr>
      <w:tr w:rsidR="00B979E5" w:rsidRPr="00B979E5" w:rsidTr="00B979E5">
        <w:trPr>
          <w:trHeight w:val="255"/>
        </w:trPr>
        <w:tc>
          <w:tcPr>
            <w:tcW w:w="2120" w:type="dxa"/>
            <w:vMerge/>
            <w:tcBorders>
              <w:top w:val="nil"/>
              <w:left w:val="single" w:sz="4" w:space="0" w:color="auto"/>
              <w:bottom w:val="single" w:sz="4" w:space="0" w:color="000000"/>
              <w:right w:val="single" w:sz="4" w:space="0" w:color="auto"/>
            </w:tcBorders>
            <w:vAlign w:val="center"/>
            <w:hideMark/>
          </w:tcPr>
          <w:p w:rsidR="00B979E5" w:rsidRPr="00B979E5" w:rsidRDefault="00B979E5" w:rsidP="00B979E5">
            <w:pPr>
              <w:spacing w:before="0" w:after="0"/>
              <w:rPr>
                <w:rFonts w:cs="Arial"/>
                <w:sz w:val="20"/>
                <w:szCs w:val="20"/>
                <w:lang w:eastAsia="en-GB"/>
              </w:rPr>
            </w:pP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N4 Too difficult to maintain</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3877</w:t>
            </w:r>
          </w:p>
        </w:tc>
      </w:tr>
      <w:tr w:rsidR="00B979E5" w:rsidRPr="00B979E5" w:rsidTr="00B979E5">
        <w:trPr>
          <w:trHeight w:val="765"/>
        </w:trPr>
        <w:tc>
          <w:tcPr>
            <w:tcW w:w="2120" w:type="dxa"/>
            <w:vMerge/>
            <w:tcBorders>
              <w:top w:val="nil"/>
              <w:left w:val="single" w:sz="4" w:space="0" w:color="auto"/>
              <w:bottom w:val="single" w:sz="4" w:space="0" w:color="000000"/>
              <w:right w:val="single" w:sz="4" w:space="0" w:color="auto"/>
            </w:tcBorders>
            <w:vAlign w:val="center"/>
            <w:hideMark/>
          </w:tcPr>
          <w:p w:rsidR="00B979E5" w:rsidRPr="00B979E5" w:rsidRDefault="00B979E5" w:rsidP="00B979E5">
            <w:pPr>
              <w:spacing w:before="0" w:after="0"/>
              <w:rPr>
                <w:rFonts w:cs="Arial"/>
                <w:sz w:val="20"/>
                <w:szCs w:val="20"/>
                <w:lang w:eastAsia="en-GB"/>
              </w:rPr>
            </w:pP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N5 Couples, people with children and single adults over 25 sharing a kitchen, bathroom or WC with another household</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0</w:t>
            </w:r>
          </w:p>
        </w:tc>
      </w:tr>
      <w:tr w:rsidR="00B979E5" w:rsidRPr="00B979E5" w:rsidTr="00B979E5">
        <w:trPr>
          <w:trHeight w:val="765"/>
        </w:trPr>
        <w:tc>
          <w:tcPr>
            <w:tcW w:w="2120" w:type="dxa"/>
            <w:vMerge/>
            <w:tcBorders>
              <w:top w:val="nil"/>
              <w:left w:val="single" w:sz="4" w:space="0" w:color="auto"/>
              <w:bottom w:val="single" w:sz="4" w:space="0" w:color="000000"/>
              <w:right w:val="single" w:sz="4" w:space="0" w:color="auto"/>
            </w:tcBorders>
            <w:vAlign w:val="center"/>
            <w:hideMark/>
          </w:tcPr>
          <w:p w:rsidR="00B979E5" w:rsidRPr="00B979E5" w:rsidRDefault="00B979E5" w:rsidP="00B979E5">
            <w:pPr>
              <w:spacing w:before="0" w:after="0"/>
              <w:rPr>
                <w:rFonts w:cs="Arial"/>
                <w:sz w:val="20"/>
                <w:szCs w:val="20"/>
                <w:lang w:eastAsia="en-GB"/>
              </w:rPr>
            </w:pP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N6 Household containing people with mobility impairment or other special needs living in unsuitable accommodation</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4530</w:t>
            </w:r>
          </w:p>
        </w:tc>
      </w:tr>
      <w:tr w:rsidR="00B979E5" w:rsidRPr="00B979E5" w:rsidTr="00B979E5">
        <w:trPr>
          <w:trHeight w:val="510"/>
        </w:trPr>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Dwelling amenities and condition</w:t>
            </w: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N7 Lacks a bathroom, kitchen or inside WC and household does not have resource to make fit</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130</w:t>
            </w:r>
          </w:p>
        </w:tc>
      </w:tr>
      <w:tr w:rsidR="00B979E5" w:rsidRPr="00B979E5" w:rsidTr="00B979E5">
        <w:trPr>
          <w:trHeight w:val="510"/>
        </w:trPr>
        <w:tc>
          <w:tcPr>
            <w:tcW w:w="2120" w:type="dxa"/>
            <w:vMerge/>
            <w:tcBorders>
              <w:top w:val="nil"/>
              <w:left w:val="single" w:sz="4" w:space="0" w:color="auto"/>
              <w:bottom w:val="single" w:sz="4" w:space="0" w:color="000000"/>
              <w:right w:val="single" w:sz="4" w:space="0" w:color="auto"/>
            </w:tcBorders>
            <w:vAlign w:val="center"/>
            <w:hideMark/>
          </w:tcPr>
          <w:p w:rsidR="00B979E5" w:rsidRPr="00B979E5" w:rsidRDefault="00B979E5" w:rsidP="00B979E5">
            <w:pPr>
              <w:spacing w:before="0" w:after="0"/>
              <w:rPr>
                <w:rFonts w:cs="Arial"/>
                <w:sz w:val="20"/>
                <w:szCs w:val="20"/>
                <w:lang w:eastAsia="en-GB"/>
              </w:rPr>
            </w:pP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N8 Subject to major disrepair or unfitness and household does not have resource to make fit</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1347</w:t>
            </w:r>
          </w:p>
        </w:tc>
      </w:tr>
      <w:tr w:rsidR="00B979E5" w:rsidRPr="00B979E5" w:rsidTr="00B979E5">
        <w:trPr>
          <w:trHeight w:val="765"/>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Social needs</w:t>
            </w: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N9 Harassment or threats of harassment from neighbours or others living in the vicinity which cannot be resolved except through a move</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1279</w:t>
            </w:r>
          </w:p>
        </w:tc>
      </w:tr>
      <w:tr w:rsidR="00B979E5" w:rsidRPr="00B979E5" w:rsidTr="00B979E5">
        <w:trPr>
          <w:trHeight w:val="255"/>
        </w:trPr>
        <w:tc>
          <w:tcPr>
            <w:tcW w:w="2120" w:type="dxa"/>
            <w:tcBorders>
              <w:top w:val="nil"/>
              <w:left w:val="single" w:sz="4" w:space="0" w:color="auto"/>
              <w:bottom w:val="single" w:sz="4" w:space="0" w:color="auto"/>
              <w:right w:val="nil"/>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Total Need</w:t>
            </w: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14896</w:t>
            </w:r>
          </w:p>
        </w:tc>
      </w:tr>
      <w:tr w:rsidR="00B979E5" w:rsidRPr="00B979E5" w:rsidTr="00B979E5">
        <w:trPr>
          <w:trHeight w:val="255"/>
        </w:trPr>
        <w:tc>
          <w:tcPr>
            <w:tcW w:w="2120" w:type="dxa"/>
            <w:tcBorders>
              <w:top w:val="nil"/>
              <w:left w:val="single" w:sz="4" w:space="0" w:color="auto"/>
              <w:bottom w:val="single" w:sz="4" w:space="0" w:color="auto"/>
              <w:right w:val="nil"/>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Total Households</w:t>
            </w: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223803</w:t>
            </w:r>
          </w:p>
        </w:tc>
      </w:tr>
      <w:tr w:rsidR="00B979E5" w:rsidRPr="00B979E5" w:rsidTr="00B979E5">
        <w:trPr>
          <w:trHeight w:val="255"/>
        </w:trPr>
        <w:tc>
          <w:tcPr>
            <w:tcW w:w="2120" w:type="dxa"/>
            <w:tcBorders>
              <w:top w:val="nil"/>
              <w:left w:val="single" w:sz="4" w:space="0" w:color="auto"/>
              <w:bottom w:val="single" w:sz="4" w:space="0" w:color="auto"/>
              <w:right w:val="nil"/>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 households in need</w:t>
            </w:r>
          </w:p>
        </w:tc>
        <w:tc>
          <w:tcPr>
            <w:tcW w:w="4560" w:type="dxa"/>
            <w:tcBorders>
              <w:top w:val="nil"/>
              <w:left w:val="nil"/>
              <w:bottom w:val="single" w:sz="4" w:space="0" w:color="auto"/>
              <w:right w:val="single" w:sz="4" w:space="0" w:color="auto"/>
            </w:tcBorders>
            <w:shd w:val="clear" w:color="auto" w:fill="auto"/>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6.7</w:t>
            </w:r>
          </w:p>
        </w:tc>
      </w:tr>
    </w:tbl>
    <w:p w:rsidR="00B979E5" w:rsidRDefault="00EE6B85" w:rsidP="00B979E5">
      <w:pPr>
        <w:ind w:firstLine="720"/>
        <w:rPr>
          <w:rFonts w:cs="Arial"/>
          <w:iCs/>
          <w:sz w:val="20"/>
          <w:szCs w:val="20"/>
        </w:rPr>
      </w:pPr>
      <w:r>
        <w:rPr>
          <w:rFonts w:cs="Arial"/>
          <w:b/>
          <w:iCs/>
          <w:sz w:val="20"/>
          <w:szCs w:val="20"/>
        </w:rPr>
        <w:t xml:space="preserve">Note: </w:t>
      </w:r>
      <w:r>
        <w:rPr>
          <w:rFonts w:cs="Arial"/>
          <w:iCs/>
          <w:sz w:val="20"/>
          <w:szCs w:val="20"/>
        </w:rPr>
        <w:t>A household may have more than one housing need.</w:t>
      </w:r>
      <w:r w:rsidR="00B979E5">
        <w:rPr>
          <w:rFonts w:cs="Arial"/>
          <w:iCs/>
          <w:sz w:val="20"/>
          <w:szCs w:val="20"/>
        </w:rPr>
        <w:tab/>
      </w:r>
    </w:p>
    <w:p w:rsidR="008F76D8" w:rsidRDefault="008F76D8" w:rsidP="00B979E5">
      <w:pPr>
        <w:ind w:firstLine="709"/>
        <w:rPr>
          <w:rFonts w:cs="Arial"/>
          <w:b/>
          <w:iCs/>
          <w:sz w:val="20"/>
          <w:szCs w:val="20"/>
        </w:rPr>
      </w:pPr>
      <w:r>
        <w:rPr>
          <w:rFonts w:cs="Arial"/>
          <w:iCs/>
          <w:sz w:val="20"/>
          <w:szCs w:val="20"/>
        </w:rPr>
        <w:t>Source: 2012 Household Survey</w:t>
      </w:r>
      <w:r w:rsidR="00B979E5">
        <w:rPr>
          <w:rFonts w:cs="Arial"/>
          <w:iCs/>
          <w:sz w:val="20"/>
          <w:szCs w:val="20"/>
        </w:rPr>
        <w:t>; rebased to 2011 census data</w:t>
      </w:r>
    </w:p>
    <w:p w:rsidR="00E32FC6" w:rsidRDefault="00E32FC6" w:rsidP="00EE6B85">
      <w:pPr>
        <w:pStyle w:val="Heading3"/>
        <w:ind w:left="2268" w:hanging="1559"/>
      </w:pPr>
      <w:bookmarkStart w:id="332" w:name="_Toc318323465"/>
    </w:p>
    <w:p w:rsidR="00B979E5" w:rsidRDefault="00B979E5" w:rsidP="00B979E5"/>
    <w:p w:rsidR="00B979E5" w:rsidRDefault="00B979E5" w:rsidP="00B979E5"/>
    <w:p w:rsidR="00B979E5" w:rsidRPr="00B979E5" w:rsidRDefault="00B979E5" w:rsidP="00B979E5"/>
    <w:p w:rsidR="00AF3215" w:rsidRDefault="00AF3215" w:rsidP="00AF3215"/>
    <w:p w:rsidR="00AF3215" w:rsidRDefault="00AF3215" w:rsidP="00AF3215"/>
    <w:p w:rsidR="00AF3215" w:rsidRPr="00AF3215" w:rsidRDefault="00AF3215" w:rsidP="00AF3215"/>
    <w:p w:rsidR="00EE6B85" w:rsidRDefault="00EE6B85" w:rsidP="00EE6B85">
      <w:pPr>
        <w:pStyle w:val="Heading3"/>
        <w:ind w:left="2268" w:hanging="1559"/>
      </w:pPr>
      <w:r>
        <w:t>Step 1.1</w:t>
      </w:r>
      <w:r>
        <w:tab/>
        <w:t>Homeless households and those in temporary accommodation</w:t>
      </w:r>
      <w:bookmarkEnd w:id="332"/>
    </w:p>
    <w:p w:rsidR="00EE6B85" w:rsidRDefault="00EE6B85" w:rsidP="00EE6B85"/>
    <w:p w:rsidR="00EE6B85" w:rsidRDefault="00EE6B85" w:rsidP="00C76826">
      <w:pPr>
        <w:pStyle w:val="Maintext"/>
        <w:numPr>
          <w:ilvl w:val="1"/>
          <w:numId w:val="11"/>
        </w:numPr>
        <w:rPr>
          <w:rFonts w:cs="Arial"/>
        </w:rPr>
      </w:pPr>
      <w:r>
        <w:rPr>
          <w:rFonts w:cs="Arial"/>
        </w:rPr>
        <w:t xml:space="preserve">CLG SHMA </w:t>
      </w:r>
      <w:r>
        <w:rPr>
          <w:rFonts w:cs="Arial"/>
          <w:iCs/>
        </w:rPr>
        <w:t>guidance</w:t>
      </w:r>
      <w:r>
        <w:rPr>
          <w:rFonts w:cs="Arial"/>
        </w:rPr>
        <w:t xml:space="preserve"> suggests that information on homeless households and those in priority need who are currently housed in temporary accommodation should be considered in needs modelling.  The scale of need from these types of household can be derived from several sources. </w:t>
      </w:r>
    </w:p>
    <w:p w:rsidR="00EE6B85" w:rsidRDefault="00EE6B85" w:rsidP="00C76826">
      <w:pPr>
        <w:pStyle w:val="Maintext"/>
        <w:numPr>
          <w:ilvl w:val="1"/>
          <w:numId w:val="11"/>
        </w:numPr>
      </w:pPr>
      <w:r>
        <w:t xml:space="preserve">Homelessness </w:t>
      </w:r>
      <w:r>
        <w:rPr>
          <w:iCs/>
        </w:rPr>
        <w:t>statistics</w:t>
      </w:r>
      <w:r w:rsidR="00B979E5">
        <w:t xml:space="preserve"> for 2011</w:t>
      </w:r>
      <w:r>
        <w:t>/1</w:t>
      </w:r>
      <w:r w:rsidR="00B979E5">
        <w:t>2</w:t>
      </w:r>
      <w:r>
        <w:rPr>
          <w:rStyle w:val="FootnoteReference"/>
        </w:rPr>
        <w:footnoteReference w:id="32"/>
      </w:r>
      <w:r>
        <w:t xml:space="preserve">  </w:t>
      </w:r>
      <w:r w:rsidR="00B979E5">
        <w:t>indicate that a total of 850</w:t>
      </w:r>
      <w:r>
        <w:t xml:space="preserve"> decisions were made on households declaring themselves as homeless across </w:t>
      </w:r>
      <w:r w:rsidR="00AF3215">
        <w:t xml:space="preserve">County Durham </w:t>
      </w:r>
      <w:r>
        <w:t>(Tab</w:t>
      </w:r>
      <w:r w:rsidR="00B979E5">
        <w:t>le D3). Of these households, 425</w:t>
      </w:r>
      <w:r>
        <w:t xml:space="preserve"> were classified as homeless and in priority need. Over the </w:t>
      </w:r>
      <w:r w:rsidR="00B979E5">
        <w:t>four</w:t>
      </w:r>
      <w:r>
        <w:t xml:space="preserve"> years 2008/9</w:t>
      </w:r>
      <w:r w:rsidR="00B979E5">
        <w:t xml:space="preserve"> to 2011/12,</w:t>
      </w:r>
      <w:r>
        <w:t xml:space="preserve"> an average of </w:t>
      </w:r>
      <w:r w:rsidR="00B979E5">
        <w:t xml:space="preserve">803 </w:t>
      </w:r>
      <w:r>
        <w:t xml:space="preserve">decisions have been made across </w:t>
      </w:r>
      <w:r w:rsidR="00AF3215">
        <w:t xml:space="preserve">County Durham area and </w:t>
      </w:r>
      <w:r w:rsidR="00B979E5">
        <w:t>372</w:t>
      </w:r>
      <w:r>
        <w:t xml:space="preserve"> households have been declared as homeless and in priority need. </w:t>
      </w:r>
    </w:p>
    <w:p w:rsidR="00EE6B85" w:rsidRDefault="00EE6B85" w:rsidP="00EE6B85">
      <w:pPr>
        <w:pStyle w:val="Maintext"/>
        <w:numPr>
          <w:ilvl w:val="0"/>
          <w:numId w:val="0"/>
        </w:numPr>
        <w:rPr>
          <w:b/>
        </w:rPr>
      </w:pPr>
    </w:p>
    <w:p w:rsidR="00EE6B85" w:rsidRDefault="00EE6B85" w:rsidP="00EE6B85">
      <w:pPr>
        <w:pStyle w:val="Maintext"/>
        <w:numPr>
          <w:ilvl w:val="0"/>
          <w:numId w:val="0"/>
        </w:numPr>
        <w:ind w:left="709"/>
      </w:pPr>
      <w:r w:rsidRPr="007E3D8E">
        <w:rPr>
          <w:b/>
        </w:rPr>
        <w:t xml:space="preserve">Table </w:t>
      </w:r>
      <w:r>
        <w:rPr>
          <w:b/>
        </w:rPr>
        <w:t>D3</w:t>
      </w:r>
      <w:r w:rsidRPr="007E3D8E">
        <w:rPr>
          <w:b/>
        </w:rPr>
        <w:tab/>
      </w:r>
      <w:r>
        <w:t>Homeless decisions and acceptances 2008/9 to 2010/11</w:t>
      </w:r>
    </w:p>
    <w:tbl>
      <w:tblPr>
        <w:tblW w:w="6391" w:type="dxa"/>
        <w:tblInd w:w="720" w:type="dxa"/>
        <w:tblLook w:val="04A0" w:firstRow="1" w:lastRow="0" w:firstColumn="1" w:lastColumn="0" w:noHBand="0" w:noVBand="1"/>
      </w:tblPr>
      <w:tblGrid>
        <w:gridCol w:w="1751"/>
        <w:gridCol w:w="2200"/>
        <w:gridCol w:w="2440"/>
      </w:tblGrid>
      <w:tr w:rsidR="00B979E5" w:rsidRPr="00B979E5" w:rsidTr="00B979E5">
        <w:trPr>
          <w:trHeight w:val="255"/>
        </w:trPr>
        <w:tc>
          <w:tcPr>
            <w:tcW w:w="1751"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B979E5" w:rsidRPr="00B979E5" w:rsidRDefault="00B979E5" w:rsidP="00B979E5">
            <w:pPr>
              <w:spacing w:before="0" w:after="0"/>
              <w:jc w:val="center"/>
              <w:rPr>
                <w:rFonts w:cs="Arial"/>
                <w:color w:val="FFFFFF"/>
                <w:sz w:val="20"/>
                <w:szCs w:val="20"/>
                <w:lang w:eastAsia="en-GB"/>
              </w:rPr>
            </w:pPr>
            <w:r w:rsidRPr="00B979E5">
              <w:rPr>
                <w:rFonts w:cs="Arial"/>
                <w:color w:val="FFFFFF"/>
                <w:sz w:val="20"/>
                <w:szCs w:val="20"/>
                <w:lang w:eastAsia="en-GB"/>
              </w:rPr>
              <w:t>Year</w:t>
            </w:r>
          </w:p>
        </w:tc>
        <w:tc>
          <w:tcPr>
            <w:tcW w:w="2200" w:type="dxa"/>
            <w:tcBorders>
              <w:top w:val="single" w:sz="4" w:space="0" w:color="auto"/>
              <w:left w:val="nil"/>
              <w:bottom w:val="single" w:sz="4" w:space="0" w:color="auto"/>
              <w:right w:val="single" w:sz="4" w:space="0" w:color="auto"/>
            </w:tcBorders>
            <w:shd w:val="clear" w:color="000000" w:fill="008080"/>
            <w:vAlign w:val="bottom"/>
            <w:hideMark/>
          </w:tcPr>
          <w:p w:rsidR="00B979E5" w:rsidRPr="00B979E5" w:rsidRDefault="00B979E5" w:rsidP="00B979E5">
            <w:pPr>
              <w:spacing w:before="0" w:after="0"/>
              <w:jc w:val="center"/>
              <w:rPr>
                <w:rFonts w:cs="Arial"/>
                <w:color w:val="FFFFFF"/>
                <w:sz w:val="20"/>
                <w:szCs w:val="20"/>
                <w:lang w:eastAsia="en-GB"/>
              </w:rPr>
            </w:pPr>
            <w:r w:rsidRPr="00B979E5">
              <w:rPr>
                <w:rFonts w:cs="Arial"/>
                <w:color w:val="FFFFFF"/>
                <w:sz w:val="20"/>
                <w:szCs w:val="20"/>
                <w:lang w:eastAsia="en-GB"/>
              </w:rPr>
              <w:t>Decisions made</w:t>
            </w:r>
          </w:p>
        </w:tc>
        <w:tc>
          <w:tcPr>
            <w:tcW w:w="2440" w:type="dxa"/>
            <w:tcBorders>
              <w:top w:val="single" w:sz="4" w:space="0" w:color="auto"/>
              <w:left w:val="nil"/>
              <w:bottom w:val="single" w:sz="4" w:space="0" w:color="auto"/>
              <w:right w:val="single" w:sz="4" w:space="0" w:color="auto"/>
            </w:tcBorders>
            <w:shd w:val="clear" w:color="000000" w:fill="008080"/>
            <w:vAlign w:val="bottom"/>
            <w:hideMark/>
          </w:tcPr>
          <w:p w:rsidR="00B979E5" w:rsidRPr="00B979E5" w:rsidRDefault="00B979E5" w:rsidP="00B979E5">
            <w:pPr>
              <w:spacing w:before="0" w:after="0"/>
              <w:jc w:val="center"/>
              <w:rPr>
                <w:rFonts w:cs="Arial"/>
                <w:color w:val="FFFFFF"/>
                <w:sz w:val="20"/>
                <w:szCs w:val="20"/>
                <w:lang w:eastAsia="en-GB"/>
              </w:rPr>
            </w:pPr>
            <w:r w:rsidRPr="00B979E5">
              <w:rPr>
                <w:rFonts w:cs="Arial"/>
                <w:color w:val="FFFFFF"/>
                <w:sz w:val="20"/>
                <w:szCs w:val="20"/>
                <w:lang w:eastAsia="en-GB"/>
              </w:rPr>
              <w:t>Accepted as homeless</w:t>
            </w:r>
          </w:p>
        </w:tc>
      </w:tr>
      <w:tr w:rsidR="00B979E5" w:rsidRPr="00B979E5" w:rsidTr="00B979E5">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2008/09</w:t>
            </w:r>
          </w:p>
        </w:tc>
        <w:tc>
          <w:tcPr>
            <w:tcW w:w="220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911</w:t>
            </w:r>
          </w:p>
        </w:tc>
        <w:tc>
          <w:tcPr>
            <w:tcW w:w="244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381</w:t>
            </w:r>
          </w:p>
        </w:tc>
      </w:tr>
      <w:tr w:rsidR="00B979E5" w:rsidRPr="00B979E5" w:rsidTr="00B979E5">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2009/10</w:t>
            </w:r>
          </w:p>
        </w:tc>
        <w:tc>
          <w:tcPr>
            <w:tcW w:w="220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577</w:t>
            </w:r>
          </w:p>
        </w:tc>
        <w:tc>
          <w:tcPr>
            <w:tcW w:w="244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264</w:t>
            </w:r>
          </w:p>
        </w:tc>
      </w:tr>
      <w:tr w:rsidR="00B979E5" w:rsidRPr="00B979E5" w:rsidTr="00B979E5">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2010/11</w:t>
            </w:r>
          </w:p>
        </w:tc>
        <w:tc>
          <w:tcPr>
            <w:tcW w:w="220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873</w:t>
            </w:r>
          </w:p>
        </w:tc>
        <w:tc>
          <w:tcPr>
            <w:tcW w:w="244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416</w:t>
            </w:r>
          </w:p>
        </w:tc>
      </w:tr>
      <w:tr w:rsidR="00B979E5" w:rsidRPr="00B979E5" w:rsidTr="00B979E5">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2011/12</w:t>
            </w:r>
          </w:p>
        </w:tc>
        <w:tc>
          <w:tcPr>
            <w:tcW w:w="220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850</w:t>
            </w:r>
          </w:p>
        </w:tc>
        <w:tc>
          <w:tcPr>
            <w:tcW w:w="244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425</w:t>
            </w:r>
          </w:p>
        </w:tc>
      </w:tr>
      <w:tr w:rsidR="00B979E5" w:rsidRPr="00B979E5" w:rsidTr="00B979E5">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Total</w:t>
            </w:r>
          </w:p>
        </w:tc>
        <w:tc>
          <w:tcPr>
            <w:tcW w:w="220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3211</w:t>
            </w:r>
          </w:p>
        </w:tc>
        <w:tc>
          <w:tcPr>
            <w:tcW w:w="244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1486</w:t>
            </w:r>
          </w:p>
        </w:tc>
      </w:tr>
      <w:tr w:rsidR="00B979E5" w:rsidRPr="00B979E5" w:rsidTr="00B979E5">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rPr>
                <w:rFonts w:cs="Arial"/>
                <w:sz w:val="20"/>
                <w:szCs w:val="20"/>
                <w:lang w:eastAsia="en-GB"/>
              </w:rPr>
            </w:pPr>
            <w:r w:rsidRPr="00B979E5">
              <w:rPr>
                <w:rFonts w:cs="Arial"/>
                <w:sz w:val="20"/>
                <w:szCs w:val="20"/>
                <w:lang w:eastAsia="en-GB"/>
              </w:rPr>
              <w:t>Annual Average</w:t>
            </w:r>
          </w:p>
        </w:tc>
        <w:tc>
          <w:tcPr>
            <w:tcW w:w="220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803</w:t>
            </w:r>
          </w:p>
        </w:tc>
        <w:tc>
          <w:tcPr>
            <w:tcW w:w="2440" w:type="dxa"/>
            <w:tcBorders>
              <w:top w:val="nil"/>
              <w:left w:val="nil"/>
              <w:bottom w:val="single" w:sz="4" w:space="0" w:color="auto"/>
              <w:right w:val="single" w:sz="4" w:space="0" w:color="auto"/>
            </w:tcBorders>
            <w:shd w:val="clear" w:color="auto" w:fill="auto"/>
            <w:noWrap/>
            <w:vAlign w:val="bottom"/>
            <w:hideMark/>
          </w:tcPr>
          <w:p w:rsidR="00B979E5" w:rsidRPr="00B979E5" w:rsidRDefault="00B979E5" w:rsidP="00B979E5">
            <w:pPr>
              <w:spacing w:before="0" w:after="0"/>
              <w:jc w:val="center"/>
              <w:rPr>
                <w:rFonts w:cs="Arial"/>
                <w:sz w:val="20"/>
                <w:szCs w:val="20"/>
                <w:lang w:eastAsia="en-GB"/>
              </w:rPr>
            </w:pPr>
            <w:r w:rsidRPr="00B979E5">
              <w:rPr>
                <w:rFonts w:cs="Arial"/>
                <w:sz w:val="20"/>
                <w:szCs w:val="20"/>
                <w:lang w:eastAsia="en-GB"/>
              </w:rPr>
              <w:t>372</w:t>
            </w:r>
          </w:p>
        </w:tc>
      </w:tr>
    </w:tbl>
    <w:p w:rsidR="00EE6B85" w:rsidRPr="00D9069F" w:rsidRDefault="00EE6B85" w:rsidP="00AF3215">
      <w:pPr>
        <w:ind w:firstLine="709"/>
        <w:rPr>
          <w:sz w:val="20"/>
          <w:szCs w:val="20"/>
        </w:rPr>
      </w:pPr>
      <w:r w:rsidRPr="00D9069F">
        <w:rPr>
          <w:sz w:val="20"/>
          <w:szCs w:val="20"/>
        </w:rPr>
        <w:t>Source: CLG Homelessness Statistics</w:t>
      </w:r>
    </w:p>
    <w:p w:rsidR="00AF3215" w:rsidRPr="00AF3215" w:rsidRDefault="00AF3215" w:rsidP="00AF3215">
      <w:pPr>
        <w:pStyle w:val="Maintext"/>
        <w:numPr>
          <w:ilvl w:val="0"/>
          <w:numId w:val="0"/>
        </w:numPr>
        <w:ind w:left="709"/>
        <w:rPr>
          <w:rFonts w:cs="Arial"/>
        </w:rPr>
      </w:pPr>
    </w:p>
    <w:p w:rsidR="00EE6B85" w:rsidRPr="00BE61C1" w:rsidRDefault="00EE6B85" w:rsidP="00C76826">
      <w:pPr>
        <w:pStyle w:val="Maintext"/>
        <w:numPr>
          <w:ilvl w:val="1"/>
          <w:numId w:val="11"/>
        </w:numPr>
        <w:rPr>
          <w:rFonts w:cs="Arial"/>
        </w:rPr>
      </w:pPr>
      <w:r>
        <w:t xml:space="preserve">The household survey identified a total of </w:t>
      </w:r>
      <w:r w:rsidR="00B979E5">
        <w:t>2,135</w:t>
      </w:r>
      <w:r>
        <w:t xml:space="preserve"> households who were either under threat of homelessness or were living in temporary accommodation across </w:t>
      </w:r>
      <w:r w:rsidR="00AF3215">
        <w:t>County Durham</w:t>
      </w:r>
      <w:r>
        <w:t>. This figure has been used in needs assessment modelling.</w:t>
      </w:r>
    </w:p>
    <w:p w:rsidR="00EE6B85" w:rsidRDefault="00EE6B85" w:rsidP="00EE6B85">
      <w:pPr>
        <w:pStyle w:val="Maintext"/>
        <w:numPr>
          <w:ilvl w:val="0"/>
          <w:numId w:val="0"/>
        </w:numPr>
        <w:rPr>
          <w:rFonts w:cs="Arial"/>
        </w:rPr>
      </w:pPr>
    </w:p>
    <w:p w:rsidR="00EE6B85" w:rsidRDefault="00EE6B85" w:rsidP="00EE6B85">
      <w:pPr>
        <w:pStyle w:val="Heading3"/>
      </w:pPr>
      <w:bookmarkStart w:id="333" w:name="_Toc318323466"/>
      <w:r>
        <w:t>Step 1.2</w:t>
      </w:r>
      <w:r>
        <w:tab/>
        <w:t>Overcrowding and concealed households</w:t>
      </w:r>
      <w:bookmarkEnd w:id="333"/>
    </w:p>
    <w:p w:rsidR="00EE6B85" w:rsidRDefault="00EE6B85" w:rsidP="00C76826">
      <w:pPr>
        <w:pStyle w:val="Maintext"/>
        <w:numPr>
          <w:ilvl w:val="1"/>
          <w:numId w:val="11"/>
        </w:numPr>
      </w:pPr>
      <w:r>
        <w:t xml:space="preserve">The extent to which </w:t>
      </w:r>
      <w:r>
        <w:rPr>
          <w:rFonts w:cs="Arial"/>
          <w:iCs/>
        </w:rPr>
        <w:t>households</w:t>
      </w:r>
      <w:r>
        <w:t xml:space="preserve"> are overcrowded is measured using the ‘bedroom standard’.  This allocates a standard number of bedrooms to each household in accordance with its age/sex/marital status composition.  A separate bedroom is allocated to each married couple, any other person aged 21 or over, each pair of adolescents aged 10-20 of the same sex and each pair of children under 10.  Any unpaired person aged 10-20 is paired if possible with a child under 10 of the same sex, or, if that is not possible, is given a separate bedroom, as is any unpaired child under 10.  This standard is then compared with the actual number of bedrooms (including bedsits) available for the sole use of the household. </w:t>
      </w:r>
    </w:p>
    <w:p w:rsidR="00EE6B85" w:rsidRPr="007F5FCA" w:rsidRDefault="00EE6B85" w:rsidP="00C76826">
      <w:pPr>
        <w:pStyle w:val="Maintext"/>
        <w:numPr>
          <w:ilvl w:val="1"/>
          <w:numId w:val="11"/>
        </w:numPr>
      </w:pPr>
      <w:r>
        <w:t xml:space="preserve">Analysis </w:t>
      </w:r>
      <w:r w:rsidRPr="007F5FCA">
        <w:rPr>
          <w:rFonts w:cs="Arial"/>
          <w:iCs/>
        </w:rPr>
        <w:t>identifies</w:t>
      </w:r>
      <w:r w:rsidR="00AF3215">
        <w:t xml:space="preserve"> </w:t>
      </w:r>
      <w:r w:rsidR="00B979E5">
        <w:t>2,709</w:t>
      </w:r>
      <w:r>
        <w:t xml:space="preserve"> households who are currently living in overcrowded accommodation or are concealed households and are intending on moving in the next 5 years. </w:t>
      </w:r>
    </w:p>
    <w:p w:rsidR="00EE6B85" w:rsidRDefault="00EE6B85" w:rsidP="00EE6B85">
      <w:pPr>
        <w:pStyle w:val="Heading3"/>
      </w:pPr>
    </w:p>
    <w:p w:rsidR="00EE6B85" w:rsidRDefault="00EE6B85" w:rsidP="00EE6B85">
      <w:pPr>
        <w:pStyle w:val="Heading3"/>
      </w:pPr>
      <w:bookmarkStart w:id="334" w:name="_Toc318323467"/>
      <w:r>
        <w:t>Step 1.3</w:t>
      </w:r>
      <w:r>
        <w:tab/>
        <w:t>Other groups</w:t>
      </w:r>
      <w:bookmarkEnd w:id="334"/>
    </w:p>
    <w:p w:rsidR="00EE6B85" w:rsidRDefault="00EE6B85" w:rsidP="00C76826">
      <w:pPr>
        <w:pStyle w:val="Maintext"/>
        <w:numPr>
          <w:ilvl w:val="1"/>
          <w:numId w:val="11"/>
        </w:numPr>
        <w:rPr>
          <w:rFonts w:cs="Arial"/>
          <w:iCs/>
        </w:rPr>
      </w:pPr>
      <w:r>
        <w:rPr>
          <w:rFonts w:cs="Arial"/>
          <w:iCs/>
        </w:rPr>
        <w:t xml:space="preserve">Table D2 identified a series of households who were in housing need for other reasons including the property is too expensive, difficult to maintain, household containing people with mobility impairment/special need, lacking amenities, disrepair and harassment. </w:t>
      </w:r>
    </w:p>
    <w:p w:rsidR="00EE6B85" w:rsidRPr="009D10BE" w:rsidRDefault="00EE6B85" w:rsidP="00C76826">
      <w:pPr>
        <w:pStyle w:val="Maintext"/>
        <w:numPr>
          <w:ilvl w:val="1"/>
          <w:numId w:val="11"/>
        </w:numPr>
        <w:rPr>
          <w:rFonts w:cs="Arial"/>
          <w:iCs/>
        </w:rPr>
      </w:pPr>
      <w:r w:rsidRPr="009D10BE">
        <w:rPr>
          <w:rFonts w:cs="Arial"/>
          <w:iCs/>
        </w:rPr>
        <w:t xml:space="preserve">A total of </w:t>
      </w:r>
      <w:r w:rsidR="00B979E5">
        <w:rPr>
          <w:rFonts w:cs="Arial"/>
          <w:iCs/>
        </w:rPr>
        <w:t>10,052</w:t>
      </w:r>
      <w:r w:rsidRPr="009D10BE">
        <w:rPr>
          <w:rFonts w:cs="Arial"/>
          <w:iCs/>
        </w:rPr>
        <w:t xml:space="preserve"> households across </w:t>
      </w:r>
      <w:r w:rsidR="00AF3215">
        <w:rPr>
          <w:rFonts w:cs="Arial"/>
          <w:iCs/>
        </w:rPr>
        <w:t xml:space="preserve">County Durham </w:t>
      </w:r>
      <w:r w:rsidRPr="009D10BE">
        <w:rPr>
          <w:rFonts w:cs="Arial"/>
          <w:iCs/>
        </w:rPr>
        <w:t xml:space="preserve">were identified to be experiencing one or more of these needs factors and intending to move in the next </w:t>
      </w:r>
      <w:r>
        <w:rPr>
          <w:rFonts w:cs="Arial"/>
          <w:iCs/>
        </w:rPr>
        <w:t>five</w:t>
      </w:r>
      <w:r w:rsidRPr="009D10BE">
        <w:rPr>
          <w:rFonts w:cs="Arial"/>
          <w:iCs/>
        </w:rPr>
        <w:t xml:space="preserve"> years. This figure is taken as the </w:t>
      </w:r>
      <w:r>
        <w:rPr>
          <w:rFonts w:cs="Arial"/>
          <w:iCs/>
        </w:rPr>
        <w:t xml:space="preserve">five year </w:t>
      </w:r>
      <w:r w:rsidRPr="009D10BE">
        <w:rPr>
          <w:rFonts w:cs="Arial"/>
          <w:iCs/>
        </w:rPr>
        <w:t>backlog of need from other groups</w:t>
      </w:r>
      <w:r>
        <w:rPr>
          <w:rFonts w:cs="Arial"/>
          <w:iCs/>
        </w:rPr>
        <w:t>.</w:t>
      </w:r>
      <w:r w:rsidRPr="009D10BE">
        <w:rPr>
          <w:rFonts w:cs="Arial"/>
          <w:iCs/>
        </w:rPr>
        <w:t xml:space="preserve"> </w:t>
      </w:r>
    </w:p>
    <w:p w:rsidR="00EE6B85" w:rsidRDefault="00EE6B85" w:rsidP="00EE6B85">
      <w:pPr>
        <w:pStyle w:val="Heading3"/>
      </w:pPr>
    </w:p>
    <w:p w:rsidR="00EE6B85" w:rsidRDefault="00EE6B85" w:rsidP="00EE6B85">
      <w:pPr>
        <w:pStyle w:val="Heading3"/>
      </w:pPr>
      <w:bookmarkStart w:id="335" w:name="_Toc318323468"/>
      <w:r>
        <w:t>Step 1.4</w:t>
      </w:r>
      <w:r>
        <w:tab/>
        <w:t>Total current housing need and financial testing</w:t>
      </w:r>
      <w:bookmarkEnd w:id="335"/>
    </w:p>
    <w:p w:rsidR="00EE6B85" w:rsidRDefault="00EE6B85" w:rsidP="00C76826">
      <w:pPr>
        <w:pStyle w:val="Maintext"/>
        <w:numPr>
          <w:ilvl w:val="1"/>
          <w:numId w:val="11"/>
        </w:numPr>
      </w:pPr>
      <w:r>
        <w:t xml:space="preserve">Having established the scale of need in Steps 1.1, 1.2 and 1.3, the extent to which households could afford open market prices was considered. </w:t>
      </w:r>
    </w:p>
    <w:p w:rsidR="00EE6B85" w:rsidRDefault="00EE6B85" w:rsidP="00C76826">
      <w:pPr>
        <w:pStyle w:val="Maintext"/>
        <w:numPr>
          <w:ilvl w:val="1"/>
          <w:numId w:val="11"/>
        </w:numPr>
        <w:rPr>
          <w:rFonts w:cs="Arial"/>
        </w:rPr>
      </w:pPr>
      <w:r>
        <w:t>An ‘affordability threshold’ of households was calculated which takes into account household income, equity and savings.  The household income component of the affordability threshold is based on 3.5 x gross annual income.</w:t>
      </w:r>
    </w:p>
    <w:p w:rsidR="00AF3215" w:rsidRDefault="00EE6B85" w:rsidP="00C76826">
      <w:pPr>
        <w:pStyle w:val="Maintext"/>
        <w:numPr>
          <w:ilvl w:val="1"/>
          <w:numId w:val="11"/>
        </w:numPr>
        <w:rPr>
          <w:rFonts w:cs="Arial"/>
        </w:rPr>
      </w:pPr>
      <w:r w:rsidRPr="00AF3215">
        <w:rPr>
          <w:rFonts w:cs="Arial"/>
        </w:rPr>
        <w:t xml:space="preserve">The affordability </w:t>
      </w:r>
      <w:r>
        <w:t>threshold</w:t>
      </w:r>
      <w:r w:rsidRPr="00AF3215">
        <w:rPr>
          <w:rFonts w:cs="Arial"/>
        </w:rPr>
        <w:t xml:space="preserve"> was then tested against median property prices and the cost of privately renting.  </w:t>
      </w:r>
      <w:r w:rsidR="00AF3215" w:rsidRPr="00AF3215">
        <w:rPr>
          <w:rFonts w:cs="Arial"/>
        </w:rPr>
        <w:t xml:space="preserve">Lower quartile </w:t>
      </w:r>
      <w:r w:rsidRPr="00AF3215">
        <w:rPr>
          <w:rFonts w:cs="Arial"/>
        </w:rPr>
        <w:t xml:space="preserve">prices at </w:t>
      </w:r>
      <w:r w:rsidR="00B979E5">
        <w:rPr>
          <w:rFonts w:cs="Arial"/>
        </w:rPr>
        <w:t>sub-area</w:t>
      </w:r>
      <w:r w:rsidRPr="00AF3215">
        <w:rPr>
          <w:rFonts w:cs="Arial"/>
        </w:rPr>
        <w:t xml:space="preserve"> leve</w:t>
      </w:r>
      <w:r w:rsidR="00B979E5">
        <w:rPr>
          <w:rFonts w:cs="Arial"/>
        </w:rPr>
        <w:t>l for the financial year 2012/13</w:t>
      </w:r>
      <w:r w:rsidRPr="00AF3215">
        <w:rPr>
          <w:rFonts w:cs="Arial"/>
        </w:rPr>
        <w:t xml:space="preserve"> were derived using Land Registry address-level data (Table D4). </w:t>
      </w:r>
    </w:p>
    <w:p w:rsidR="00EE6B85" w:rsidRPr="00AF3215" w:rsidRDefault="00EE6B85" w:rsidP="00C76826">
      <w:pPr>
        <w:pStyle w:val="Maintext"/>
        <w:numPr>
          <w:ilvl w:val="1"/>
          <w:numId w:val="11"/>
        </w:numPr>
        <w:rPr>
          <w:rFonts w:cs="Arial"/>
        </w:rPr>
      </w:pPr>
      <w:r w:rsidRPr="00AF3215">
        <w:rPr>
          <w:rFonts w:cs="Arial"/>
        </w:rPr>
        <w:t xml:space="preserve">Information on prevailing private sector rents was obtained from a search of lettings during </w:t>
      </w:r>
      <w:r w:rsidR="008D1D73">
        <w:rPr>
          <w:rFonts w:cs="Arial"/>
        </w:rPr>
        <w:t>2012</w:t>
      </w:r>
      <w:r w:rsidRPr="00AF3215">
        <w:rPr>
          <w:rFonts w:cs="Arial"/>
        </w:rPr>
        <w:t xml:space="preserve"> and summarised in Table D5. The cost of letting a property according to the number of bedrooms required by a household was factored into affordability testing. </w:t>
      </w:r>
    </w:p>
    <w:p w:rsidR="00EE6B85" w:rsidRDefault="00EE6B85" w:rsidP="00C76826">
      <w:pPr>
        <w:pStyle w:val="Maintext"/>
        <w:numPr>
          <w:ilvl w:val="1"/>
          <w:numId w:val="11"/>
        </w:numPr>
      </w:pPr>
      <w:r>
        <w:t xml:space="preserve">Using evidence from the household survey, we have identified the extent to which households identified in Steps 1.1 could afford open market prices; and based on Steps 1.2 to 1.3, using evidence from the household survey, we have identified the extent to which households are in housing need in </w:t>
      </w:r>
      <w:r w:rsidR="00AF3215">
        <w:t xml:space="preserve">County Durham </w:t>
      </w:r>
      <w:r w:rsidRPr="009D10BE">
        <w:rPr>
          <w:b/>
          <w:i/>
        </w:rPr>
        <w:t>and</w:t>
      </w:r>
      <w:r>
        <w:t xml:space="preserve"> whether they want to move to offset that need.  A total figure for this is </w:t>
      </w:r>
      <w:r w:rsidR="00AF3215">
        <w:t>13,500</w:t>
      </w:r>
      <w:r>
        <w:t xml:space="preserve"> households. The extent to which these households in need can afford open market solutions to address their need has been assessed.</w:t>
      </w:r>
    </w:p>
    <w:p w:rsidR="00EE6B85" w:rsidRDefault="00EE6B85" w:rsidP="00EE6B85">
      <w:pPr>
        <w:pStyle w:val="Maintext"/>
        <w:numPr>
          <w:ilvl w:val="0"/>
          <w:numId w:val="0"/>
        </w:numPr>
        <w:rPr>
          <w:rFonts w:cs="Arial"/>
          <w:b/>
        </w:rPr>
      </w:pPr>
    </w:p>
    <w:p w:rsidR="00EE6B85" w:rsidRDefault="00EE6B85" w:rsidP="00EE6B85">
      <w:pPr>
        <w:pStyle w:val="Maintext"/>
        <w:numPr>
          <w:ilvl w:val="0"/>
          <w:numId w:val="0"/>
        </w:numPr>
        <w:ind w:left="720"/>
        <w:rPr>
          <w:rFonts w:cs="Arial"/>
        </w:rPr>
      </w:pPr>
      <w:r>
        <w:rPr>
          <w:rFonts w:cs="Arial"/>
          <w:b/>
        </w:rPr>
        <w:br w:type="page"/>
        <w:t>Table D4</w:t>
      </w:r>
      <w:r w:rsidR="00843CC0">
        <w:rPr>
          <w:rFonts w:cs="Arial"/>
        </w:rPr>
        <w:tab/>
        <w:t>Lower quartile house</w:t>
      </w:r>
      <w:r>
        <w:rPr>
          <w:rFonts w:cs="Arial"/>
        </w:rPr>
        <w:t xml:space="preserve"> pr</w:t>
      </w:r>
      <w:r w:rsidR="00843CC0">
        <w:rPr>
          <w:rFonts w:cs="Arial"/>
        </w:rPr>
        <w:t xml:space="preserve">ices by </w:t>
      </w:r>
      <w:r w:rsidR="0083534C">
        <w:rPr>
          <w:rFonts w:cs="Arial"/>
        </w:rPr>
        <w:t>survey area</w:t>
      </w:r>
      <w:r w:rsidR="00B979E5">
        <w:rPr>
          <w:rFonts w:cs="Arial"/>
        </w:rPr>
        <w:t xml:space="preserve"> (Feb 2012</w:t>
      </w:r>
      <w:r w:rsidR="00843CC0">
        <w:rPr>
          <w:rFonts w:cs="Arial"/>
        </w:rPr>
        <w:t>–</w:t>
      </w:r>
      <w:r w:rsidR="00B979E5">
        <w:rPr>
          <w:rFonts w:cs="Arial"/>
        </w:rPr>
        <w:t>Jan 2013</w:t>
      </w:r>
      <w:r>
        <w:rPr>
          <w:rFonts w:cs="Arial"/>
        </w:rPr>
        <w:t>)</w:t>
      </w:r>
    </w:p>
    <w:tbl>
      <w:tblPr>
        <w:tblW w:w="5839" w:type="dxa"/>
        <w:tblInd w:w="720" w:type="dxa"/>
        <w:tblLook w:val="04A0" w:firstRow="1" w:lastRow="0" w:firstColumn="1" w:lastColumn="0" w:noHBand="0" w:noVBand="1"/>
      </w:tblPr>
      <w:tblGrid>
        <w:gridCol w:w="2407"/>
        <w:gridCol w:w="3432"/>
      </w:tblGrid>
      <w:tr w:rsidR="00843CC0" w:rsidRPr="005400EB" w:rsidTr="00E34D43">
        <w:trPr>
          <w:trHeight w:val="255"/>
        </w:trPr>
        <w:tc>
          <w:tcPr>
            <w:tcW w:w="2407" w:type="dxa"/>
            <w:tcBorders>
              <w:top w:val="single" w:sz="4" w:space="0" w:color="auto"/>
              <w:left w:val="single" w:sz="4" w:space="0" w:color="auto"/>
              <w:bottom w:val="nil"/>
              <w:right w:val="single" w:sz="4" w:space="0" w:color="auto"/>
            </w:tcBorders>
            <w:shd w:val="clear" w:color="000000" w:fill="008080"/>
            <w:noWrap/>
            <w:vAlign w:val="bottom"/>
            <w:hideMark/>
          </w:tcPr>
          <w:p w:rsidR="00843CC0" w:rsidRPr="005400EB" w:rsidRDefault="00B979E5" w:rsidP="00843CC0">
            <w:pPr>
              <w:spacing w:before="0" w:after="0"/>
              <w:ind w:firstLine="720"/>
              <w:rPr>
                <w:rFonts w:cs="Arial"/>
                <w:b/>
                <w:bCs/>
                <w:color w:val="FFFFFF"/>
                <w:sz w:val="20"/>
                <w:szCs w:val="20"/>
                <w:lang w:eastAsia="en-GB"/>
              </w:rPr>
            </w:pPr>
            <w:r>
              <w:rPr>
                <w:rFonts w:cs="Arial"/>
                <w:b/>
                <w:bCs/>
                <w:color w:val="FFFFFF"/>
                <w:sz w:val="20"/>
                <w:szCs w:val="20"/>
                <w:lang w:eastAsia="en-GB"/>
              </w:rPr>
              <w:t>Delivery area</w:t>
            </w:r>
          </w:p>
        </w:tc>
        <w:tc>
          <w:tcPr>
            <w:tcW w:w="3432" w:type="dxa"/>
            <w:tcBorders>
              <w:top w:val="single" w:sz="4" w:space="0" w:color="auto"/>
              <w:left w:val="nil"/>
              <w:bottom w:val="single" w:sz="4" w:space="0" w:color="auto"/>
              <w:right w:val="nil"/>
            </w:tcBorders>
            <w:shd w:val="clear" w:color="000000" w:fill="008080"/>
            <w:noWrap/>
            <w:vAlign w:val="bottom"/>
            <w:hideMark/>
          </w:tcPr>
          <w:p w:rsidR="00843CC0" w:rsidRPr="005400EB" w:rsidRDefault="00843CC0" w:rsidP="00B979E5">
            <w:pPr>
              <w:spacing w:before="0" w:after="0"/>
              <w:jc w:val="center"/>
              <w:rPr>
                <w:rFonts w:cs="Arial"/>
                <w:b/>
                <w:bCs/>
                <w:color w:val="FFFFFF"/>
                <w:sz w:val="20"/>
                <w:szCs w:val="20"/>
                <w:lang w:eastAsia="en-GB"/>
              </w:rPr>
            </w:pPr>
            <w:r>
              <w:rPr>
                <w:rFonts w:cs="Arial"/>
                <w:b/>
                <w:bCs/>
                <w:color w:val="FFFFFF"/>
                <w:sz w:val="20"/>
                <w:szCs w:val="20"/>
                <w:lang w:eastAsia="en-GB"/>
              </w:rPr>
              <w:t xml:space="preserve">Lower Quartile </w:t>
            </w:r>
            <w:r w:rsidRPr="005400EB">
              <w:rPr>
                <w:rFonts w:cs="Arial"/>
                <w:b/>
                <w:bCs/>
                <w:color w:val="FFFFFF"/>
                <w:sz w:val="20"/>
                <w:szCs w:val="20"/>
                <w:lang w:eastAsia="en-GB"/>
              </w:rPr>
              <w:t>Price</w:t>
            </w:r>
          </w:p>
        </w:tc>
      </w:tr>
      <w:tr w:rsidR="00B979E5" w:rsidRPr="005400EB" w:rsidTr="00E34D43">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979E5" w:rsidRDefault="00B979E5" w:rsidP="00B979E5">
            <w:pPr>
              <w:spacing w:before="0" w:after="0"/>
              <w:rPr>
                <w:rFonts w:cs="Arial"/>
                <w:color w:val="000000"/>
                <w:sz w:val="22"/>
                <w:szCs w:val="22"/>
              </w:rPr>
            </w:pPr>
            <w:r>
              <w:rPr>
                <w:rFonts w:cs="Arial"/>
                <w:color w:val="000000"/>
                <w:sz w:val="22"/>
                <w:szCs w:val="22"/>
              </w:rPr>
              <w:t>Central Durham</w:t>
            </w:r>
          </w:p>
        </w:tc>
        <w:tc>
          <w:tcPr>
            <w:tcW w:w="3432" w:type="dxa"/>
            <w:tcBorders>
              <w:top w:val="nil"/>
              <w:left w:val="nil"/>
              <w:bottom w:val="single" w:sz="4" w:space="0" w:color="auto"/>
              <w:right w:val="single" w:sz="4" w:space="0" w:color="auto"/>
            </w:tcBorders>
            <w:shd w:val="clear" w:color="auto" w:fill="auto"/>
            <w:noWrap/>
            <w:vAlign w:val="bottom"/>
            <w:hideMark/>
          </w:tcPr>
          <w:p w:rsidR="00B979E5" w:rsidRDefault="00B979E5" w:rsidP="00B979E5">
            <w:pPr>
              <w:spacing w:before="0" w:after="0"/>
              <w:jc w:val="center"/>
              <w:rPr>
                <w:rFonts w:cs="Arial"/>
                <w:color w:val="000000"/>
                <w:sz w:val="22"/>
                <w:szCs w:val="22"/>
              </w:rPr>
            </w:pPr>
            <w:r>
              <w:rPr>
                <w:rFonts w:cs="Arial"/>
                <w:color w:val="000000"/>
                <w:sz w:val="22"/>
                <w:szCs w:val="22"/>
              </w:rPr>
              <w:t>£85,000</w:t>
            </w:r>
          </w:p>
        </w:tc>
      </w:tr>
      <w:tr w:rsidR="00B979E5" w:rsidRPr="005400EB" w:rsidTr="00E34D43">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979E5" w:rsidRDefault="00B979E5" w:rsidP="00B979E5">
            <w:pPr>
              <w:spacing w:before="0" w:after="0"/>
              <w:rPr>
                <w:rFonts w:cs="Arial"/>
                <w:color w:val="000000"/>
                <w:sz w:val="22"/>
                <w:szCs w:val="22"/>
              </w:rPr>
            </w:pPr>
            <w:r>
              <w:rPr>
                <w:rFonts w:cs="Arial"/>
                <w:color w:val="000000"/>
                <w:sz w:val="22"/>
                <w:szCs w:val="22"/>
              </w:rPr>
              <w:t>East Durham</w:t>
            </w:r>
          </w:p>
        </w:tc>
        <w:tc>
          <w:tcPr>
            <w:tcW w:w="3432" w:type="dxa"/>
            <w:tcBorders>
              <w:top w:val="nil"/>
              <w:left w:val="nil"/>
              <w:bottom w:val="single" w:sz="4" w:space="0" w:color="auto"/>
              <w:right w:val="single" w:sz="4" w:space="0" w:color="auto"/>
            </w:tcBorders>
            <w:shd w:val="clear" w:color="auto" w:fill="auto"/>
            <w:noWrap/>
            <w:vAlign w:val="bottom"/>
            <w:hideMark/>
          </w:tcPr>
          <w:p w:rsidR="00B979E5" w:rsidRDefault="00B979E5" w:rsidP="00B979E5">
            <w:pPr>
              <w:spacing w:before="0" w:after="0"/>
              <w:jc w:val="center"/>
              <w:rPr>
                <w:rFonts w:cs="Arial"/>
                <w:color w:val="000000"/>
                <w:sz w:val="22"/>
                <w:szCs w:val="22"/>
              </w:rPr>
            </w:pPr>
            <w:r>
              <w:rPr>
                <w:rFonts w:cs="Arial"/>
                <w:color w:val="000000"/>
                <w:sz w:val="22"/>
                <w:szCs w:val="22"/>
              </w:rPr>
              <w:t>£58,000</w:t>
            </w:r>
          </w:p>
        </w:tc>
      </w:tr>
      <w:tr w:rsidR="00B979E5" w:rsidRPr="005400EB" w:rsidTr="00E34D43">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979E5" w:rsidRDefault="00B979E5" w:rsidP="00B979E5">
            <w:pPr>
              <w:spacing w:before="0" w:after="0"/>
              <w:rPr>
                <w:rFonts w:cs="Arial"/>
                <w:color w:val="000000"/>
                <w:sz w:val="22"/>
                <w:szCs w:val="22"/>
              </w:rPr>
            </w:pPr>
            <w:r>
              <w:rPr>
                <w:rFonts w:cs="Arial"/>
                <w:color w:val="000000"/>
                <w:sz w:val="22"/>
                <w:szCs w:val="22"/>
              </w:rPr>
              <w:t>North Durham</w:t>
            </w:r>
          </w:p>
        </w:tc>
        <w:tc>
          <w:tcPr>
            <w:tcW w:w="3432" w:type="dxa"/>
            <w:tcBorders>
              <w:top w:val="nil"/>
              <w:left w:val="nil"/>
              <w:bottom w:val="single" w:sz="4" w:space="0" w:color="auto"/>
              <w:right w:val="single" w:sz="4" w:space="0" w:color="auto"/>
            </w:tcBorders>
            <w:shd w:val="clear" w:color="auto" w:fill="auto"/>
            <w:noWrap/>
            <w:vAlign w:val="bottom"/>
            <w:hideMark/>
          </w:tcPr>
          <w:p w:rsidR="00B979E5" w:rsidRDefault="00B979E5" w:rsidP="00B979E5">
            <w:pPr>
              <w:spacing w:before="0" w:after="0"/>
              <w:jc w:val="center"/>
              <w:rPr>
                <w:rFonts w:cs="Arial"/>
                <w:color w:val="000000"/>
                <w:sz w:val="22"/>
                <w:szCs w:val="22"/>
              </w:rPr>
            </w:pPr>
            <w:r>
              <w:rPr>
                <w:rFonts w:cs="Arial"/>
                <w:color w:val="000000"/>
                <w:sz w:val="22"/>
                <w:szCs w:val="22"/>
              </w:rPr>
              <w:t>£67,500</w:t>
            </w:r>
          </w:p>
        </w:tc>
      </w:tr>
      <w:tr w:rsidR="00B979E5" w:rsidRPr="005400EB" w:rsidTr="00E34D43">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979E5" w:rsidRDefault="00B979E5" w:rsidP="00B979E5">
            <w:pPr>
              <w:spacing w:before="0" w:after="0"/>
              <w:rPr>
                <w:rFonts w:cs="Arial"/>
                <w:color w:val="000000"/>
                <w:sz w:val="22"/>
                <w:szCs w:val="22"/>
              </w:rPr>
            </w:pPr>
            <w:r>
              <w:rPr>
                <w:rFonts w:cs="Arial"/>
                <w:color w:val="000000"/>
                <w:sz w:val="22"/>
                <w:szCs w:val="22"/>
              </w:rPr>
              <w:t>South Durham</w:t>
            </w:r>
          </w:p>
        </w:tc>
        <w:tc>
          <w:tcPr>
            <w:tcW w:w="3432" w:type="dxa"/>
            <w:tcBorders>
              <w:top w:val="nil"/>
              <w:left w:val="nil"/>
              <w:bottom w:val="single" w:sz="4" w:space="0" w:color="auto"/>
              <w:right w:val="single" w:sz="4" w:space="0" w:color="auto"/>
            </w:tcBorders>
            <w:shd w:val="clear" w:color="auto" w:fill="auto"/>
            <w:noWrap/>
            <w:vAlign w:val="bottom"/>
            <w:hideMark/>
          </w:tcPr>
          <w:p w:rsidR="00B979E5" w:rsidRDefault="00B979E5" w:rsidP="00B979E5">
            <w:pPr>
              <w:spacing w:before="0" w:after="0"/>
              <w:jc w:val="center"/>
              <w:rPr>
                <w:rFonts w:cs="Arial"/>
                <w:color w:val="000000"/>
                <w:sz w:val="22"/>
                <w:szCs w:val="22"/>
              </w:rPr>
            </w:pPr>
            <w:r>
              <w:rPr>
                <w:rFonts w:cs="Arial"/>
                <w:color w:val="000000"/>
                <w:sz w:val="22"/>
                <w:szCs w:val="22"/>
              </w:rPr>
              <w:t>£60,000</w:t>
            </w:r>
          </w:p>
        </w:tc>
      </w:tr>
      <w:tr w:rsidR="00B979E5" w:rsidRPr="005400EB" w:rsidTr="00E34D43">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979E5" w:rsidRDefault="00B979E5" w:rsidP="00B979E5">
            <w:pPr>
              <w:spacing w:before="0" w:after="0"/>
              <w:rPr>
                <w:rFonts w:cs="Arial"/>
                <w:color w:val="000000"/>
                <w:sz w:val="22"/>
                <w:szCs w:val="22"/>
              </w:rPr>
            </w:pPr>
            <w:r>
              <w:rPr>
                <w:rFonts w:cs="Arial"/>
                <w:color w:val="000000"/>
                <w:sz w:val="22"/>
                <w:szCs w:val="22"/>
              </w:rPr>
              <w:t>The Dales</w:t>
            </w:r>
          </w:p>
        </w:tc>
        <w:tc>
          <w:tcPr>
            <w:tcW w:w="3432" w:type="dxa"/>
            <w:tcBorders>
              <w:top w:val="nil"/>
              <w:left w:val="nil"/>
              <w:bottom w:val="single" w:sz="4" w:space="0" w:color="auto"/>
              <w:right w:val="single" w:sz="4" w:space="0" w:color="auto"/>
            </w:tcBorders>
            <w:shd w:val="clear" w:color="auto" w:fill="auto"/>
            <w:noWrap/>
            <w:vAlign w:val="bottom"/>
            <w:hideMark/>
          </w:tcPr>
          <w:p w:rsidR="00B979E5" w:rsidRDefault="00B979E5" w:rsidP="00B979E5">
            <w:pPr>
              <w:spacing w:before="0" w:after="0"/>
              <w:jc w:val="center"/>
              <w:rPr>
                <w:rFonts w:cs="Arial"/>
                <w:color w:val="000000"/>
                <w:sz w:val="22"/>
                <w:szCs w:val="22"/>
              </w:rPr>
            </w:pPr>
            <w:r>
              <w:rPr>
                <w:rFonts w:cs="Arial"/>
                <w:color w:val="000000"/>
                <w:sz w:val="22"/>
                <w:szCs w:val="22"/>
              </w:rPr>
              <w:t>£80,000</w:t>
            </w:r>
          </w:p>
        </w:tc>
      </w:tr>
      <w:tr w:rsidR="00B979E5" w:rsidRPr="005400EB" w:rsidTr="00E34D43">
        <w:trPr>
          <w:trHeight w:val="255"/>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979E5" w:rsidRDefault="00B979E5" w:rsidP="00B979E5">
            <w:pPr>
              <w:spacing w:before="0" w:after="0"/>
              <w:rPr>
                <w:rFonts w:cs="Arial"/>
                <w:color w:val="000000"/>
                <w:sz w:val="22"/>
                <w:szCs w:val="22"/>
              </w:rPr>
            </w:pPr>
            <w:r>
              <w:rPr>
                <w:rFonts w:cs="Arial"/>
                <w:color w:val="000000"/>
                <w:sz w:val="22"/>
                <w:szCs w:val="22"/>
              </w:rPr>
              <w:t>Total</w:t>
            </w:r>
          </w:p>
        </w:tc>
        <w:tc>
          <w:tcPr>
            <w:tcW w:w="3432" w:type="dxa"/>
            <w:tcBorders>
              <w:top w:val="nil"/>
              <w:left w:val="nil"/>
              <w:bottom w:val="single" w:sz="4" w:space="0" w:color="auto"/>
              <w:right w:val="single" w:sz="4" w:space="0" w:color="auto"/>
            </w:tcBorders>
            <w:shd w:val="clear" w:color="auto" w:fill="auto"/>
            <w:noWrap/>
            <w:vAlign w:val="bottom"/>
            <w:hideMark/>
          </w:tcPr>
          <w:p w:rsidR="00B979E5" w:rsidRDefault="00B979E5" w:rsidP="00B979E5">
            <w:pPr>
              <w:spacing w:before="0" w:after="0"/>
              <w:jc w:val="center"/>
              <w:rPr>
                <w:rFonts w:cs="Arial"/>
                <w:color w:val="000000"/>
                <w:sz w:val="22"/>
                <w:szCs w:val="22"/>
              </w:rPr>
            </w:pPr>
            <w:r>
              <w:rPr>
                <w:rFonts w:cs="Arial"/>
                <w:color w:val="000000"/>
                <w:sz w:val="22"/>
                <w:szCs w:val="22"/>
              </w:rPr>
              <w:t>£67,000</w:t>
            </w:r>
          </w:p>
        </w:tc>
      </w:tr>
    </w:tbl>
    <w:p w:rsidR="00EE6B85" w:rsidRDefault="00EE6B85" w:rsidP="008D1D73">
      <w:pPr>
        <w:spacing w:before="0" w:after="0"/>
        <w:ind w:firstLine="720"/>
        <w:rPr>
          <w:sz w:val="20"/>
          <w:szCs w:val="20"/>
        </w:rPr>
      </w:pPr>
      <w:r>
        <w:rPr>
          <w:sz w:val="20"/>
          <w:szCs w:val="20"/>
        </w:rPr>
        <w:t>Source: Land Registry</w:t>
      </w:r>
      <w:r w:rsidR="008D1D73">
        <w:rPr>
          <w:sz w:val="20"/>
          <w:szCs w:val="20"/>
        </w:rPr>
        <w:t xml:space="preserve"> Price Paid Data 1 Feb 2012 to 29 Jan 2013</w:t>
      </w:r>
    </w:p>
    <w:p w:rsidR="008D1D73" w:rsidRPr="008D1D73" w:rsidRDefault="008D1D73" w:rsidP="008D1D73">
      <w:pPr>
        <w:spacing w:before="0" w:after="0"/>
        <w:ind w:firstLine="720"/>
        <w:rPr>
          <w:sz w:val="20"/>
          <w:szCs w:val="20"/>
        </w:rPr>
      </w:pPr>
    </w:p>
    <w:p w:rsidR="00EE6B85" w:rsidRDefault="00EE6B85" w:rsidP="00E34D43">
      <w:pPr>
        <w:spacing w:before="0" w:after="200" w:line="276" w:lineRule="auto"/>
        <w:ind w:firstLine="720"/>
      </w:pPr>
      <w:r>
        <w:rPr>
          <w:b/>
        </w:rPr>
        <w:t>Table D5</w:t>
      </w:r>
      <w:r>
        <w:rPr>
          <w:b/>
        </w:rPr>
        <w:tab/>
      </w:r>
      <w:r w:rsidRPr="00584914">
        <w:t xml:space="preserve">Private rental prices by property type, size and </w:t>
      </w:r>
      <w:r w:rsidR="00B440F0">
        <w:t>delivery area</w:t>
      </w:r>
    </w:p>
    <w:tbl>
      <w:tblPr>
        <w:tblW w:w="8848" w:type="dxa"/>
        <w:tblInd w:w="93" w:type="dxa"/>
        <w:tblLook w:val="04A0" w:firstRow="1" w:lastRow="0" w:firstColumn="1" w:lastColumn="0" w:noHBand="0" w:noVBand="1"/>
      </w:tblPr>
      <w:tblGrid>
        <w:gridCol w:w="1460"/>
        <w:gridCol w:w="1628"/>
        <w:gridCol w:w="960"/>
        <w:gridCol w:w="960"/>
        <w:gridCol w:w="960"/>
        <w:gridCol w:w="960"/>
        <w:gridCol w:w="960"/>
        <w:gridCol w:w="960"/>
      </w:tblGrid>
      <w:tr w:rsidR="0066652A" w:rsidRPr="009D79DD" w:rsidTr="003C5498">
        <w:trPr>
          <w:trHeight w:val="255"/>
        </w:trPr>
        <w:tc>
          <w:tcPr>
            <w:tcW w:w="146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66652A" w:rsidRPr="009D79DD" w:rsidRDefault="0066652A" w:rsidP="003C5498">
            <w:pPr>
              <w:spacing w:before="0" w:after="0"/>
              <w:rPr>
                <w:rFonts w:cs="Arial"/>
                <w:b/>
                <w:bCs/>
                <w:color w:val="FFFFFF"/>
                <w:sz w:val="20"/>
                <w:szCs w:val="20"/>
                <w:lang w:eastAsia="en-GB"/>
              </w:rPr>
            </w:pPr>
            <w:r w:rsidRPr="009D79DD">
              <w:rPr>
                <w:rFonts w:cs="Arial"/>
                <w:b/>
                <w:bCs/>
                <w:color w:val="FFFFFF"/>
                <w:sz w:val="20"/>
                <w:szCs w:val="20"/>
                <w:lang w:eastAsia="en-GB"/>
              </w:rPr>
              <w:t>No. Bedrooms</w:t>
            </w:r>
          </w:p>
        </w:tc>
        <w:tc>
          <w:tcPr>
            <w:tcW w:w="1628" w:type="dxa"/>
            <w:tcBorders>
              <w:top w:val="single" w:sz="4" w:space="0" w:color="auto"/>
              <w:left w:val="nil"/>
              <w:bottom w:val="single" w:sz="4" w:space="0" w:color="auto"/>
              <w:right w:val="single" w:sz="4" w:space="0" w:color="auto"/>
            </w:tcBorders>
            <w:shd w:val="clear" w:color="000000" w:fill="008080"/>
            <w:noWrap/>
            <w:vAlign w:val="bottom"/>
            <w:hideMark/>
          </w:tcPr>
          <w:p w:rsidR="0066652A" w:rsidRPr="009D79DD" w:rsidRDefault="0066652A" w:rsidP="003C5498">
            <w:pPr>
              <w:spacing w:before="0" w:after="0"/>
              <w:rPr>
                <w:rFonts w:cs="Arial"/>
                <w:b/>
                <w:bCs/>
                <w:color w:val="FFFFFF"/>
                <w:sz w:val="20"/>
                <w:szCs w:val="20"/>
                <w:lang w:eastAsia="en-GB"/>
              </w:rPr>
            </w:pPr>
            <w:r w:rsidRPr="009D79DD">
              <w:rPr>
                <w:rFonts w:cs="Arial"/>
                <w:b/>
                <w:bCs/>
                <w:color w:val="FFFFFF"/>
                <w:sz w:val="20"/>
                <w:szCs w:val="20"/>
                <w:lang w:eastAsia="en-GB"/>
              </w:rPr>
              <w:t>Price</w:t>
            </w:r>
          </w:p>
        </w:tc>
        <w:tc>
          <w:tcPr>
            <w:tcW w:w="5760" w:type="dxa"/>
            <w:gridSpan w:val="6"/>
            <w:tcBorders>
              <w:top w:val="single" w:sz="4" w:space="0" w:color="auto"/>
              <w:left w:val="single" w:sz="4" w:space="0" w:color="auto"/>
              <w:bottom w:val="single" w:sz="4" w:space="0" w:color="auto"/>
              <w:right w:val="single" w:sz="4" w:space="0" w:color="000000"/>
            </w:tcBorders>
            <w:shd w:val="clear" w:color="000000" w:fill="008080"/>
            <w:noWrap/>
            <w:vAlign w:val="bottom"/>
            <w:hideMark/>
          </w:tcPr>
          <w:p w:rsidR="0066652A" w:rsidRPr="009D79DD" w:rsidRDefault="00B440F0" w:rsidP="003C5498">
            <w:pPr>
              <w:spacing w:before="0" w:after="0"/>
              <w:rPr>
                <w:rFonts w:cs="Arial"/>
                <w:b/>
                <w:bCs/>
                <w:color w:val="FFFFFF"/>
                <w:sz w:val="20"/>
                <w:szCs w:val="20"/>
                <w:lang w:eastAsia="en-GB"/>
              </w:rPr>
            </w:pPr>
            <w:r>
              <w:rPr>
                <w:rFonts w:cs="Arial"/>
                <w:b/>
                <w:bCs/>
                <w:color w:val="FFFFFF"/>
                <w:sz w:val="20"/>
                <w:szCs w:val="20"/>
                <w:lang w:eastAsia="en-GB"/>
              </w:rPr>
              <w:t>Delivery area</w:t>
            </w:r>
            <w:r w:rsidR="0066652A" w:rsidRPr="009D79DD">
              <w:rPr>
                <w:rFonts w:cs="Arial"/>
                <w:b/>
                <w:bCs/>
                <w:color w:val="FFFFFF"/>
                <w:sz w:val="20"/>
                <w:szCs w:val="20"/>
                <w:lang w:eastAsia="en-GB"/>
              </w:rPr>
              <w:t xml:space="preserve"> and Rent Per Calendar Month (£)</w:t>
            </w:r>
          </w:p>
        </w:tc>
      </w:tr>
      <w:tr w:rsidR="0066652A" w:rsidRPr="009D79DD" w:rsidTr="003C5498">
        <w:trPr>
          <w:trHeight w:val="510"/>
        </w:trPr>
        <w:tc>
          <w:tcPr>
            <w:tcW w:w="1460" w:type="dxa"/>
            <w:tcBorders>
              <w:top w:val="nil"/>
              <w:left w:val="single" w:sz="4" w:space="0" w:color="auto"/>
              <w:bottom w:val="single" w:sz="4" w:space="0" w:color="auto"/>
              <w:right w:val="single" w:sz="4" w:space="0" w:color="auto"/>
            </w:tcBorders>
            <w:shd w:val="clear" w:color="000000" w:fill="008080"/>
            <w:noWrap/>
            <w:vAlign w:val="bottom"/>
            <w:hideMark/>
          </w:tcPr>
          <w:p w:rsidR="0066652A" w:rsidRPr="009D79DD" w:rsidRDefault="0066652A" w:rsidP="003C5498">
            <w:pPr>
              <w:spacing w:before="0" w:after="0"/>
              <w:rPr>
                <w:rFonts w:cs="Arial"/>
                <w:color w:val="FFFFFF"/>
                <w:sz w:val="20"/>
                <w:szCs w:val="20"/>
                <w:lang w:eastAsia="en-GB"/>
              </w:rPr>
            </w:pPr>
            <w:r w:rsidRPr="009D79DD">
              <w:rPr>
                <w:rFonts w:cs="Arial"/>
                <w:color w:val="FFFFFF"/>
                <w:sz w:val="20"/>
                <w:szCs w:val="20"/>
                <w:lang w:eastAsia="en-GB"/>
              </w:rPr>
              <w:t> </w:t>
            </w:r>
          </w:p>
        </w:tc>
        <w:tc>
          <w:tcPr>
            <w:tcW w:w="1628" w:type="dxa"/>
            <w:tcBorders>
              <w:top w:val="nil"/>
              <w:left w:val="nil"/>
              <w:bottom w:val="single" w:sz="4" w:space="0" w:color="auto"/>
              <w:right w:val="single" w:sz="4" w:space="0" w:color="auto"/>
            </w:tcBorders>
            <w:shd w:val="clear" w:color="000000" w:fill="008080"/>
            <w:noWrap/>
            <w:vAlign w:val="bottom"/>
            <w:hideMark/>
          </w:tcPr>
          <w:p w:rsidR="0066652A" w:rsidRPr="009D79DD" w:rsidRDefault="0066652A" w:rsidP="003C5498">
            <w:pPr>
              <w:spacing w:before="0" w:after="0"/>
              <w:rPr>
                <w:rFonts w:cs="Arial"/>
                <w:color w:val="FFFFFF"/>
                <w:sz w:val="20"/>
                <w:szCs w:val="20"/>
                <w:lang w:eastAsia="en-GB"/>
              </w:rPr>
            </w:pPr>
            <w:r w:rsidRPr="009D79DD">
              <w:rPr>
                <w:rFonts w:cs="Arial"/>
                <w:color w:val="FFFFFF"/>
                <w:sz w:val="20"/>
                <w:szCs w:val="20"/>
                <w:lang w:eastAsia="en-GB"/>
              </w:rPr>
              <w:t> </w:t>
            </w:r>
          </w:p>
        </w:tc>
        <w:tc>
          <w:tcPr>
            <w:tcW w:w="960" w:type="dxa"/>
            <w:tcBorders>
              <w:top w:val="nil"/>
              <w:left w:val="nil"/>
              <w:bottom w:val="single" w:sz="4" w:space="0" w:color="auto"/>
              <w:right w:val="single" w:sz="4" w:space="0" w:color="auto"/>
            </w:tcBorders>
            <w:shd w:val="clear" w:color="000000" w:fill="008080"/>
            <w:vAlign w:val="bottom"/>
            <w:hideMark/>
          </w:tcPr>
          <w:p w:rsidR="0066652A" w:rsidRPr="009D79DD" w:rsidRDefault="0066652A" w:rsidP="003C5498">
            <w:pPr>
              <w:spacing w:before="0" w:after="0"/>
              <w:jc w:val="center"/>
              <w:rPr>
                <w:rFonts w:cs="Arial"/>
                <w:color w:val="FFFFFF"/>
                <w:sz w:val="20"/>
                <w:szCs w:val="20"/>
                <w:lang w:eastAsia="en-GB"/>
              </w:rPr>
            </w:pPr>
            <w:r w:rsidRPr="009D79DD">
              <w:rPr>
                <w:rFonts w:cs="Arial"/>
                <w:color w:val="FFFFFF"/>
                <w:sz w:val="20"/>
                <w:szCs w:val="20"/>
                <w:lang w:eastAsia="en-GB"/>
              </w:rPr>
              <w:t>Central Durham</w:t>
            </w:r>
          </w:p>
        </w:tc>
        <w:tc>
          <w:tcPr>
            <w:tcW w:w="960" w:type="dxa"/>
            <w:tcBorders>
              <w:top w:val="nil"/>
              <w:left w:val="nil"/>
              <w:bottom w:val="single" w:sz="4" w:space="0" w:color="auto"/>
              <w:right w:val="single" w:sz="4" w:space="0" w:color="auto"/>
            </w:tcBorders>
            <w:shd w:val="clear" w:color="000000" w:fill="008080"/>
            <w:vAlign w:val="bottom"/>
            <w:hideMark/>
          </w:tcPr>
          <w:p w:rsidR="0066652A" w:rsidRPr="009D79DD" w:rsidRDefault="0066652A" w:rsidP="003C5498">
            <w:pPr>
              <w:spacing w:before="0" w:after="0"/>
              <w:jc w:val="center"/>
              <w:rPr>
                <w:rFonts w:cs="Arial"/>
                <w:color w:val="FFFFFF"/>
                <w:sz w:val="20"/>
                <w:szCs w:val="20"/>
                <w:lang w:eastAsia="en-GB"/>
              </w:rPr>
            </w:pPr>
            <w:r w:rsidRPr="009D79DD">
              <w:rPr>
                <w:rFonts w:cs="Arial"/>
                <w:color w:val="FFFFFF"/>
                <w:sz w:val="20"/>
                <w:szCs w:val="20"/>
                <w:lang w:eastAsia="en-GB"/>
              </w:rPr>
              <w:t>North Durham</w:t>
            </w:r>
          </w:p>
        </w:tc>
        <w:tc>
          <w:tcPr>
            <w:tcW w:w="960" w:type="dxa"/>
            <w:tcBorders>
              <w:top w:val="nil"/>
              <w:left w:val="nil"/>
              <w:bottom w:val="single" w:sz="4" w:space="0" w:color="auto"/>
              <w:right w:val="single" w:sz="4" w:space="0" w:color="auto"/>
            </w:tcBorders>
            <w:shd w:val="clear" w:color="000000" w:fill="008080"/>
            <w:vAlign w:val="bottom"/>
            <w:hideMark/>
          </w:tcPr>
          <w:p w:rsidR="0066652A" w:rsidRPr="009D79DD" w:rsidRDefault="0066652A" w:rsidP="003C5498">
            <w:pPr>
              <w:spacing w:before="0" w:after="0"/>
              <w:jc w:val="center"/>
              <w:rPr>
                <w:rFonts w:cs="Arial"/>
                <w:color w:val="FFFFFF"/>
                <w:sz w:val="20"/>
                <w:szCs w:val="20"/>
                <w:lang w:eastAsia="en-GB"/>
              </w:rPr>
            </w:pPr>
            <w:r w:rsidRPr="009D79DD">
              <w:rPr>
                <w:rFonts w:cs="Arial"/>
                <w:color w:val="FFFFFF"/>
                <w:sz w:val="20"/>
                <w:szCs w:val="20"/>
                <w:lang w:eastAsia="en-GB"/>
              </w:rPr>
              <w:t>East Durham</w:t>
            </w:r>
          </w:p>
        </w:tc>
        <w:tc>
          <w:tcPr>
            <w:tcW w:w="960" w:type="dxa"/>
            <w:tcBorders>
              <w:top w:val="nil"/>
              <w:left w:val="nil"/>
              <w:bottom w:val="single" w:sz="4" w:space="0" w:color="auto"/>
              <w:right w:val="single" w:sz="4" w:space="0" w:color="auto"/>
            </w:tcBorders>
            <w:shd w:val="clear" w:color="000000" w:fill="008080"/>
            <w:vAlign w:val="bottom"/>
            <w:hideMark/>
          </w:tcPr>
          <w:p w:rsidR="0066652A" w:rsidRPr="009D79DD" w:rsidRDefault="0066652A" w:rsidP="003C5498">
            <w:pPr>
              <w:spacing w:before="0" w:after="0"/>
              <w:jc w:val="center"/>
              <w:rPr>
                <w:rFonts w:cs="Arial"/>
                <w:color w:val="FFFFFF"/>
                <w:sz w:val="20"/>
                <w:szCs w:val="20"/>
                <w:lang w:eastAsia="en-GB"/>
              </w:rPr>
            </w:pPr>
            <w:r w:rsidRPr="009D79DD">
              <w:rPr>
                <w:rFonts w:cs="Arial"/>
                <w:color w:val="FFFFFF"/>
                <w:sz w:val="20"/>
                <w:szCs w:val="20"/>
                <w:lang w:eastAsia="en-GB"/>
              </w:rPr>
              <w:t>South Durham</w:t>
            </w:r>
          </w:p>
        </w:tc>
        <w:tc>
          <w:tcPr>
            <w:tcW w:w="960" w:type="dxa"/>
            <w:tcBorders>
              <w:top w:val="nil"/>
              <w:left w:val="nil"/>
              <w:bottom w:val="single" w:sz="4" w:space="0" w:color="auto"/>
              <w:right w:val="single" w:sz="4" w:space="0" w:color="auto"/>
            </w:tcBorders>
            <w:shd w:val="clear" w:color="000000" w:fill="008080"/>
            <w:vAlign w:val="bottom"/>
            <w:hideMark/>
          </w:tcPr>
          <w:p w:rsidR="0066652A" w:rsidRPr="009D79DD" w:rsidRDefault="0066652A" w:rsidP="003C5498">
            <w:pPr>
              <w:spacing w:before="0" w:after="0"/>
              <w:jc w:val="center"/>
              <w:rPr>
                <w:rFonts w:cs="Arial"/>
                <w:color w:val="FFFFFF"/>
                <w:sz w:val="20"/>
                <w:szCs w:val="20"/>
                <w:lang w:eastAsia="en-GB"/>
              </w:rPr>
            </w:pPr>
            <w:r w:rsidRPr="009D79DD">
              <w:rPr>
                <w:rFonts w:cs="Arial"/>
                <w:color w:val="FFFFFF"/>
                <w:sz w:val="20"/>
                <w:szCs w:val="20"/>
                <w:lang w:eastAsia="en-GB"/>
              </w:rPr>
              <w:t>West Durham</w:t>
            </w:r>
          </w:p>
        </w:tc>
        <w:tc>
          <w:tcPr>
            <w:tcW w:w="960" w:type="dxa"/>
            <w:tcBorders>
              <w:top w:val="nil"/>
              <w:left w:val="nil"/>
              <w:bottom w:val="single" w:sz="4" w:space="0" w:color="auto"/>
              <w:right w:val="single" w:sz="4" w:space="0" w:color="auto"/>
            </w:tcBorders>
            <w:shd w:val="clear" w:color="000000" w:fill="008080"/>
            <w:vAlign w:val="bottom"/>
            <w:hideMark/>
          </w:tcPr>
          <w:p w:rsidR="0066652A" w:rsidRPr="009D79DD" w:rsidRDefault="0066652A" w:rsidP="003C5498">
            <w:pPr>
              <w:spacing w:before="0" w:after="0"/>
              <w:jc w:val="center"/>
              <w:rPr>
                <w:rFonts w:cs="Arial"/>
                <w:color w:val="FFFFFF"/>
                <w:sz w:val="20"/>
                <w:szCs w:val="20"/>
                <w:lang w:eastAsia="en-GB"/>
              </w:rPr>
            </w:pPr>
            <w:r w:rsidRPr="009D79DD">
              <w:rPr>
                <w:rFonts w:cs="Arial"/>
                <w:color w:val="FFFFFF"/>
                <w:sz w:val="20"/>
                <w:szCs w:val="20"/>
                <w:lang w:eastAsia="en-GB"/>
              </w:rPr>
              <w:t>County Durham</w:t>
            </w:r>
          </w:p>
        </w:tc>
      </w:tr>
      <w:tr w:rsidR="0066652A" w:rsidRPr="009D79DD" w:rsidTr="003C5498">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1</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340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270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525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340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362.5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272.5</w:t>
            </w:r>
          </w:p>
        </w:tc>
      </w:tr>
      <w:tr w:rsidR="0066652A" w:rsidRPr="009D79DD" w:rsidTr="003C5498">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275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712.5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377.5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325</w:t>
            </w:r>
          </w:p>
        </w:tc>
      </w:tr>
      <w:tr w:rsidR="0066652A" w:rsidRPr="009D79DD" w:rsidTr="003C5498">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2</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362.5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385</w:t>
            </w:r>
          </w:p>
        </w:tc>
      </w:tr>
      <w:tr w:rsidR="0066652A" w:rsidRPr="009D79DD" w:rsidTr="003C5498">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425</w:t>
            </w:r>
          </w:p>
        </w:tc>
      </w:tr>
      <w:tr w:rsidR="0066652A" w:rsidRPr="009D79DD" w:rsidTr="003C5498">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3</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r>
      <w:tr w:rsidR="0066652A" w:rsidRPr="009D79DD" w:rsidTr="003C5498">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525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500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495</w:t>
            </w:r>
          </w:p>
        </w:tc>
      </w:tr>
      <w:tr w:rsidR="0066652A" w:rsidRPr="009D79DD" w:rsidTr="003C5498">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4</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672.5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625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500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595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640</w:t>
            </w:r>
          </w:p>
        </w:tc>
      </w:tr>
      <w:tr w:rsidR="0066652A" w:rsidRPr="009D79DD" w:rsidTr="003C5498">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750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550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687.5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700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725</w:t>
            </w:r>
          </w:p>
        </w:tc>
      </w:tr>
      <w:tr w:rsidR="0066652A" w:rsidRPr="009D79DD" w:rsidTr="003C5498">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5</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665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850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1200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700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687.5</w:t>
            </w:r>
          </w:p>
        </w:tc>
      </w:tr>
      <w:tr w:rsidR="0066652A" w:rsidRPr="009D79DD" w:rsidTr="003C5498">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1337</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975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1200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1200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1200</w:t>
            </w:r>
          </w:p>
        </w:tc>
      </w:tr>
      <w:tr w:rsidR="0066652A" w:rsidRPr="009D79DD" w:rsidTr="003C5498">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6</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2070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1400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1400</w:t>
            </w:r>
          </w:p>
        </w:tc>
      </w:tr>
      <w:tr w:rsidR="0066652A" w:rsidRPr="009D79DD" w:rsidTr="003C5498">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2935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1400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1670</w:t>
            </w:r>
          </w:p>
        </w:tc>
      </w:tr>
      <w:tr w:rsidR="0066652A" w:rsidRPr="009D79DD" w:rsidTr="003C5498">
        <w:trPr>
          <w:trHeight w:val="255"/>
        </w:trPr>
        <w:tc>
          <w:tcPr>
            <w:tcW w:w="1460" w:type="dxa"/>
            <w:tcBorders>
              <w:top w:val="nil"/>
              <w:left w:val="single" w:sz="4" w:space="0" w:color="auto"/>
              <w:bottom w:val="nil"/>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All</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Lower Quartile</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395</w:t>
            </w:r>
          </w:p>
        </w:tc>
      </w:tr>
      <w:tr w:rsidR="0066652A" w:rsidRPr="009D79DD" w:rsidTr="003C5498">
        <w:trPr>
          <w:trHeight w:val="25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right"/>
              <w:rPr>
                <w:rFonts w:cs="Arial"/>
                <w:sz w:val="20"/>
                <w:szCs w:val="20"/>
                <w:lang w:eastAsia="en-GB"/>
              </w:rPr>
            </w:pPr>
            <w:r w:rsidRPr="009D79DD">
              <w:rPr>
                <w:rFonts w:cs="Arial"/>
                <w:sz w:val="20"/>
                <w:szCs w:val="20"/>
                <w:lang w:eastAsia="en-GB"/>
              </w:rPr>
              <w:t> </w:t>
            </w:r>
          </w:p>
        </w:tc>
        <w:tc>
          <w:tcPr>
            <w:tcW w:w="1628"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sidRPr="009D79DD">
              <w:rPr>
                <w:rFonts w:cs="Arial"/>
                <w:sz w:val="20"/>
                <w:szCs w:val="20"/>
                <w:lang w:eastAsia="en-GB"/>
              </w:rPr>
              <w:t>Median</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475</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424</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c>
          <w:tcPr>
            <w:tcW w:w="960" w:type="dxa"/>
            <w:tcBorders>
              <w:top w:val="nil"/>
              <w:left w:val="nil"/>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jc w:val="center"/>
              <w:rPr>
                <w:rFonts w:cs="Arial"/>
                <w:sz w:val="20"/>
                <w:szCs w:val="20"/>
                <w:lang w:eastAsia="en-GB"/>
              </w:rPr>
            </w:pPr>
            <w:r w:rsidRPr="009D79DD">
              <w:rPr>
                <w:rFonts w:cs="Arial"/>
                <w:sz w:val="20"/>
                <w:szCs w:val="20"/>
                <w:lang w:eastAsia="en-GB"/>
              </w:rPr>
              <w:t>450</w:t>
            </w:r>
          </w:p>
        </w:tc>
      </w:tr>
      <w:tr w:rsidR="0066652A" w:rsidRPr="009D79DD" w:rsidTr="003C5498">
        <w:trPr>
          <w:trHeight w:val="255"/>
        </w:trPr>
        <w:tc>
          <w:tcPr>
            <w:tcW w:w="884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52A" w:rsidRPr="009D79DD" w:rsidRDefault="0066652A" w:rsidP="003C5498">
            <w:pPr>
              <w:spacing w:before="0" w:after="0"/>
              <w:rPr>
                <w:rFonts w:cs="Arial"/>
                <w:sz w:val="20"/>
                <w:szCs w:val="20"/>
                <w:lang w:eastAsia="en-GB"/>
              </w:rPr>
            </w:pPr>
            <w:r>
              <w:rPr>
                <w:rFonts w:cs="Arial"/>
                <w:sz w:val="20"/>
                <w:szCs w:val="20"/>
                <w:lang w:eastAsia="en-GB"/>
              </w:rPr>
              <w:t>Source: Internet search of private lettings agents 2012</w:t>
            </w:r>
          </w:p>
        </w:tc>
      </w:tr>
    </w:tbl>
    <w:p w:rsidR="00EE6B85" w:rsidRDefault="00EE6B85" w:rsidP="00EE6B85">
      <w:pPr>
        <w:ind w:firstLine="709"/>
        <w:rPr>
          <w:b/>
        </w:rPr>
      </w:pPr>
      <w:r>
        <w:rPr>
          <w:b/>
        </w:rPr>
        <w:tab/>
      </w:r>
    </w:p>
    <w:p w:rsidR="00EE6B85" w:rsidRDefault="00EE6B85" w:rsidP="00EE6B85">
      <w:pPr>
        <w:pStyle w:val="Heading3"/>
        <w:ind w:left="0" w:firstLine="709"/>
      </w:pPr>
    </w:p>
    <w:p w:rsidR="00EE6B85" w:rsidRDefault="00EE6B85" w:rsidP="00EE6B85">
      <w:pPr>
        <w:pStyle w:val="Heading3"/>
        <w:ind w:left="0" w:firstLine="709"/>
      </w:pPr>
      <w:bookmarkStart w:id="336" w:name="_Toc318323469"/>
      <w:r>
        <w:t>Summary of Stage 1: Current need</w:t>
      </w:r>
      <w:bookmarkEnd w:id="336"/>
    </w:p>
    <w:p w:rsidR="00EE6B85" w:rsidRPr="005D7D0B" w:rsidRDefault="00EE6B85" w:rsidP="005D7D0B">
      <w:pPr>
        <w:pStyle w:val="Maintext"/>
        <w:numPr>
          <w:ilvl w:val="1"/>
          <w:numId w:val="11"/>
        </w:numPr>
        <w:rPr>
          <w:rFonts w:cs="Arial"/>
        </w:rPr>
      </w:pPr>
      <w:r w:rsidRPr="00776DF3">
        <w:rPr>
          <w:rFonts w:cs="Arial"/>
        </w:rPr>
        <w:t>In</w:t>
      </w:r>
      <w:r>
        <w:t xml:space="preserve"> summary, of the households identified in Steps 1.1, 1.2 and 1.3, </w:t>
      </w:r>
      <w:r w:rsidR="008D1D73">
        <w:t>7,361</w:t>
      </w:r>
      <w:r w:rsidR="00AF3215">
        <w:t xml:space="preserve"> </w:t>
      </w:r>
      <w:r>
        <w:t xml:space="preserve">households across </w:t>
      </w:r>
      <w:r w:rsidR="00AF3215">
        <w:t xml:space="preserve">County Durham </w:t>
      </w:r>
      <w:r>
        <w:t xml:space="preserve">could not afford to move in the open market to offset their need.  </w:t>
      </w:r>
    </w:p>
    <w:p w:rsidR="005D7D0B" w:rsidRDefault="005D7D0B" w:rsidP="005D7D0B">
      <w:pPr>
        <w:pStyle w:val="Maintext"/>
        <w:numPr>
          <w:ilvl w:val="0"/>
          <w:numId w:val="0"/>
        </w:numPr>
      </w:pPr>
    </w:p>
    <w:p w:rsidR="005D7D0B" w:rsidRDefault="005D7D0B" w:rsidP="005D7D0B">
      <w:pPr>
        <w:pStyle w:val="Heading3"/>
        <w:ind w:left="0" w:firstLine="709"/>
      </w:pPr>
      <w:r>
        <w:t>Step 2.1</w:t>
      </w:r>
      <w:r>
        <w:tab/>
        <w:t>New household formation (gross per year)</w:t>
      </w:r>
    </w:p>
    <w:p w:rsidR="008D1D73" w:rsidRDefault="005D7D0B" w:rsidP="005D7D0B">
      <w:pPr>
        <w:pStyle w:val="Maintext"/>
        <w:numPr>
          <w:ilvl w:val="1"/>
          <w:numId w:val="11"/>
        </w:numPr>
      </w:pPr>
      <w:r>
        <w:t xml:space="preserve"> </w:t>
      </w:r>
      <w:r w:rsidR="00EE6B85">
        <w:t xml:space="preserve">The needs analysis assumes </w:t>
      </w:r>
      <w:r w:rsidR="008D1D73">
        <w:t xml:space="preserve">past rates of household formation as a basis for determining the likely scale of household formation over the next five years. A gross household formation rate of 2,359 is therefore assumed. </w:t>
      </w:r>
    </w:p>
    <w:p w:rsidR="00AF3215" w:rsidRDefault="00AF3215" w:rsidP="008D1D73">
      <w:pPr>
        <w:pStyle w:val="Maintext"/>
        <w:numPr>
          <w:ilvl w:val="0"/>
          <w:numId w:val="0"/>
        </w:numPr>
        <w:ind w:left="709"/>
      </w:pPr>
    </w:p>
    <w:p w:rsidR="00EE6B85" w:rsidRDefault="00EE6B85" w:rsidP="00EE6B85">
      <w:pPr>
        <w:pStyle w:val="Heading3"/>
      </w:pPr>
    </w:p>
    <w:p w:rsidR="00EE6B85" w:rsidRDefault="00EE6B85" w:rsidP="00EE6B85">
      <w:pPr>
        <w:pStyle w:val="Heading3"/>
      </w:pPr>
      <w:bookmarkStart w:id="337" w:name="_Toc318323471"/>
      <w:r>
        <w:t>Step 2.2</w:t>
      </w:r>
      <w:r>
        <w:tab/>
        <w:t>New households unable to buy or rent in the open market</w:t>
      </w:r>
      <w:bookmarkEnd w:id="337"/>
    </w:p>
    <w:p w:rsidR="00EE6B85" w:rsidRDefault="00EE6B85" w:rsidP="00C76826">
      <w:pPr>
        <w:pStyle w:val="Maintext"/>
        <w:numPr>
          <w:ilvl w:val="1"/>
          <w:numId w:val="11"/>
        </w:numPr>
        <w:rPr>
          <w:rFonts w:cs="Arial"/>
        </w:rPr>
      </w:pPr>
      <w:r>
        <w:rPr>
          <w:rFonts w:cs="Arial"/>
        </w:rPr>
        <w:t xml:space="preserve">Analysis of </w:t>
      </w:r>
      <w:r w:rsidR="00AF3215">
        <w:rPr>
          <w:rFonts w:cs="Arial"/>
        </w:rPr>
        <w:t>lower qua</w:t>
      </w:r>
      <w:r w:rsidR="005D7D0B">
        <w:rPr>
          <w:rFonts w:cs="Arial"/>
        </w:rPr>
        <w:t>r</w:t>
      </w:r>
      <w:r w:rsidR="00AF3215">
        <w:rPr>
          <w:rFonts w:cs="Arial"/>
        </w:rPr>
        <w:t>tile</w:t>
      </w:r>
      <w:r>
        <w:rPr>
          <w:rFonts w:cs="Arial"/>
        </w:rPr>
        <w:t xml:space="preserve"> market prices relative to the income/savings of households </w:t>
      </w:r>
      <w:r w:rsidR="00AF3215">
        <w:rPr>
          <w:rFonts w:cs="Arial"/>
        </w:rPr>
        <w:t xml:space="preserve">who have formed in the past five years suggests that </w:t>
      </w:r>
      <w:r w:rsidR="008D1D73">
        <w:rPr>
          <w:rFonts w:cs="Arial"/>
        </w:rPr>
        <w:t>54</w:t>
      </w:r>
      <w:r>
        <w:rPr>
          <w:rFonts w:cs="Arial"/>
        </w:rPr>
        <w:t xml:space="preserve">% could not afford </w:t>
      </w:r>
      <w:r w:rsidR="00022C2C">
        <w:rPr>
          <w:rFonts w:cs="Arial"/>
        </w:rPr>
        <w:t>lower quartile</w:t>
      </w:r>
      <w:r>
        <w:rPr>
          <w:rFonts w:cs="Arial"/>
        </w:rPr>
        <w:t xml:space="preserve"> house prices or private sector rents. </w:t>
      </w:r>
    </w:p>
    <w:p w:rsidR="00EE6B85" w:rsidRPr="0022004E" w:rsidRDefault="00EE6B85" w:rsidP="00C76826">
      <w:pPr>
        <w:pStyle w:val="Maintext"/>
        <w:numPr>
          <w:ilvl w:val="1"/>
          <w:numId w:val="11"/>
        </w:numPr>
        <w:rPr>
          <w:rFonts w:cs="Arial"/>
        </w:rPr>
      </w:pPr>
      <w:r>
        <w:t xml:space="preserve">Therefore, the total number of newly-forming households who could not afford open market prices or rents across </w:t>
      </w:r>
      <w:r w:rsidR="00022C2C">
        <w:t xml:space="preserve">County Durham is calculated to be </w:t>
      </w:r>
      <w:r w:rsidR="008D1D73">
        <w:t>1,274</w:t>
      </w:r>
      <w:r w:rsidR="00022C2C">
        <w:t>.</w:t>
      </w:r>
    </w:p>
    <w:p w:rsidR="00513A76" w:rsidRDefault="00513A76" w:rsidP="00022C2C">
      <w:pPr>
        <w:pStyle w:val="Heading3"/>
        <w:ind w:left="0"/>
      </w:pPr>
      <w:bookmarkStart w:id="338" w:name="_Toc318323472"/>
    </w:p>
    <w:p w:rsidR="00EE6B85" w:rsidRPr="00E74B9F" w:rsidRDefault="00EE6B85" w:rsidP="00EE6B85">
      <w:pPr>
        <w:pStyle w:val="Heading3"/>
      </w:pPr>
      <w:r>
        <w:t>Step 2.3</w:t>
      </w:r>
      <w:r>
        <w:tab/>
        <w:t>Existing households expected to fall into need</w:t>
      </w:r>
      <w:bookmarkEnd w:id="338"/>
    </w:p>
    <w:p w:rsidR="00022C2C" w:rsidRDefault="00EE6B85" w:rsidP="00C76826">
      <w:pPr>
        <w:pStyle w:val="Maintext"/>
        <w:numPr>
          <w:ilvl w:val="1"/>
          <w:numId w:val="11"/>
        </w:numPr>
      </w:pPr>
      <w:r>
        <w:t xml:space="preserve">An estimate of the number of existing households falling into need each year has been established by drawing upon the RSL lettings data. This suggests that over the period 2010/11, a total of </w:t>
      </w:r>
      <w:r w:rsidR="00022C2C">
        <w:t>705</w:t>
      </w:r>
      <w:r>
        <w:t xml:space="preserve"> households moved into the social rented sector because they had fallen into housing need and were homeless. </w:t>
      </w:r>
    </w:p>
    <w:p w:rsidR="00022C2C" w:rsidRDefault="00022C2C" w:rsidP="00EE6B85">
      <w:pPr>
        <w:pStyle w:val="Heading3"/>
      </w:pPr>
      <w:bookmarkStart w:id="339" w:name="_Toc318323473"/>
    </w:p>
    <w:p w:rsidR="00EE6B85" w:rsidRDefault="00EE6B85" w:rsidP="00EE6B85">
      <w:pPr>
        <w:pStyle w:val="Heading3"/>
      </w:pPr>
      <w:r>
        <w:t>Step 2.4</w:t>
      </w:r>
      <w:r>
        <w:tab/>
        <w:t>Total newly arising housing need (gross per year)</w:t>
      </w:r>
      <w:bookmarkEnd w:id="339"/>
    </w:p>
    <w:p w:rsidR="00EE6B85" w:rsidRPr="001F5B19" w:rsidRDefault="00EE6B85" w:rsidP="00C76826">
      <w:pPr>
        <w:pStyle w:val="Maintext"/>
        <w:numPr>
          <w:ilvl w:val="1"/>
          <w:numId w:val="11"/>
        </w:numPr>
        <w:rPr>
          <w:sz w:val="20"/>
          <w:szCs w:val="20"/>
        </w:rPr>
      </w:pPr>
      <w:r>
        <w:t xml:space="preserve">Total newly arising need is calculated to be </w:t>
      </w:r>
      <w:r w:rsidR="008D1D73">
        <w:t>1,976</w:t>
      </w:r>
      <w:r>
        <w:t xml:space="preserve"> household</w:t>
      </w:r>
      <w:r w:rsidR="00022C2C">
        <w:t>s each year across County Durham</w:t>
      </w:r>
    </w:p>
    <w:p w:rsidR="00EE6B85" w:rsidRDefault="00EE6B85" w:rsidP="00EE6B85">
      <w:pPr>
        <w:pStyle w:val="Heading2"/>
        <w:ind w:left="0"/>
      </w:pPr>
      <w:bookmarkStart w:id="340" w:name="_Toc273698056"/>
      <w:bookmarkStart w:id="341" w:name="_Toc273708389"/>
      <w:bookmarkStart w:id="342" w:name="_Toc280272459"/>
    </w:p>
    <w:p w:rsidR="00EE6B85" w:rsidRDefault="00EE6B85" w:rsidP="00EE6B85">
      <w:pPr>
        <w:pStyle w:val="Heading2"/>
        <w:ind w:left="0"/>
      </w:pPr>
      <w:r>
        <w:tab/>
      </w:r>
      <w:bookmarkStart w:id="343" w:name="_Toc318323474"/>
      <w:bookmarkStart w:id="344" w:name="_Toc320271458"/>
      <w:bookmarkStart w:id="345" w:name="_Toc321323391"/>
      <w:bookmarkStart w:id="346" w:name="_Toc326077253"/>
      <w:bookmarkStart w:id="347" w:name="_Toc333507795"/>
      <w:r>
        <w:t>Stage 3:  Affordable housing supply</w:t>
      </w:r>
      <w:bookmarkEnd w:id="340"/>
      <w:bookmarkEnd w:id="341"/>
      <w:bookmarkEnd w:id="342"/>
      <w:bookmarkEnd w:id="343"/>
      <w:bookmarkEnd w:id="344"/>
      <w:bookmarkEnd w:id="345"/>
      <w:bookmarkEnd w:id="346"/>
      <w:bookmarkEnd w:id="347"/>
    </w:p>
    <w:p w:rsidR="00EE6B85" w:rsidRPr="00027D0A" w:rsidRDefault="00EE6B85" w:rsidP="00C76826">
      <w:pPr>
        <w:pStyle w:val="Maintext"/>
        <w:numPr>
          <w:ilvl w:val="1"/>
          <w:numId w:val="11"/>
        </w:numPr>
        <w:rPr>
          <w:rFonts w:cs="Arial"/>
        </w:rPr>
      </w:pPr>
      <w:r>
        <w:rPr>
          <w:rFonts w:cs="Arial"/>
        </w:rPr>
        <w:t>The CLG model reviews the supply of affordable units, taking into account how many households in need are already in affordable accommodation, stock surpluses, committed supply of new affordable dwellings and dwellings being taken out of management (for instance pending demolition or being used for decanting).</w:t>
      </w:r>
    </w:p>
    <w:p w:rsidR="00EE6B85" w:rsidRDefault="00EE6B85" w:rsidP="00EE6B85">
      <w:pPr>
        <w:pStyle w:val="Maintext"/>
        <w:numPr>
          <w:ilvl w:val="0"/>
          <w:numId w:val="0"/>
        </w:numPr>
        <w:jc w:val="left"/>
        <w:rPr>
          <w:rFonts w:cs="Arial"/>
        </w:rPr>
      </w:pPr>
    </w:p>
    <w:p w:rsidR="00EE6B85" w:rsidRDefault="00EE6B85" w:rsidP="00EE6B85">
      <w:pPr>
        <w:pStyle w:val="Heading3"/>
      </w:pPr>
      <w:bookmarkStart w:id="348" w:name="_Toc318323475"/>
      <w:r>
        <w:t>Step 3.1</w:t>
      </w:r>
      <w:r>
        <w:tab/>
        <w:t>Affordable dwellings occupied by households in need</w:t>
      </w:r>
      <w:bookmarkEnd w:id="348"/>
    </w:p>
    <w:p w:rsidR="00EE6B85" w:rsidRDefault="00EE6B85" w:rsidP="00C76826">
      <w:pPr>
        <w:pStyle w:val="Maintext"/>
        <w:numPr>
          <w:ilvl w:val="1"/>
          <w:numId w:val="11"/>
        </w:numPr>
        <w:rPr>
          <w:rFonts w:cs="Arial"/>
        </w:rPr>
      </w:pPr>
      <w:r>
        <w:rPr>
          <w:rFonts w:cs="Arial"/>
        </w:rPr>
        <w:t>This is an important consideration in establishing the net levels of housing need as the movement of these households within affordable housing will have a nil effect in terms of housing need</w:t>
      </w:r>
      <w:r>
        <w:rPr>
          <w:rStyle w:val="FootnoteReference"/>
        </w:rPr>
        <w:footnoteReference w:id="33"/>
      </w:r>
      <w:r>
        <w:rPr>
          <w:rFonts w:cs="Arial"/>
        </w:rPr>
        <w:t xml:space="preserve">. </w:t>
      </w:r>
    </w:p>
    <w:p w:rsidR="00EE6B85" w:rsidRDefault="00022C2C" w:rsidP="00C76826">
      <w:pPr>
        <w:pStyle w:val="Maintext"/>
        <w:numPr>
          <w:ilvl w:val="1"/>
          <w:numId w:val="11"/>
        </w:numPr>
        <w:rPr>
          <w:rFonts w:cs="Arial"/>
        </w:rPr>
      </w:pPr>
      <w:r>
        <w:rPr>
          <w:rFonts w:cs="Arial"/>
        </w:rPr>
        <w:t>A total of 2,</w:t>
      </w:r>
      <w:r w:rsidR="008D1D73">
        <w:rPr>
          <w:rFonts w:cs="Arial"/>
        </w:rPr>
        <w:t>456</w:t>
      </w:r>
      <w:r w:rsidR="00EE6B85">
        <w:rPr>
          <w:rFonts w:cs="Arial"/>
        </w:rPr>
        <w:t xml:space="preserve"> households are current occupiers of affordable housing in need (Table D1).  Although the movement of these households within affordable housing will have a nil effect in terms of housing need (i.e. they already live in affordable housing), the types of property they would ‘free up ‘ if they moved is considered in mode</w:t>
      </w:r>
      <w:r>
        <w:rPr>
          <w:rFonts w:cs="Arial"/>
        </w:rPr>
        <w:t>lling.</w:t>
      </w:r>
    </w:p>
    <w:p w:rsidR="00EE6B85" w:rsidRDefault="00EE6B85" w:rsidP="00EE6B85">
      <w:pPr>
        <w:pStyle w:val="Heading3"/>
        <w:ind w:left="0"/>
      </w:pPr>
    </w:p>
    <w:p w:rsidR="00EE6B85" w:rsidRDefault="00EE6B85" w:rsidP="00EE6B85">
      <w:pPr>
        <w:pStyle w:val="Heading3"/>
      </w:pPr>
      <w:bookmarkStart w:id="349" w:name="_Toc318323476"/>
      <w:r>
        <w:t>Step 3.2</w:t>
      </w:r>
      <w:r>
        <w:tab/>
        <w:t>Surplus stock</w:t>
      </w:r>
      <w:bookmarkEnd w:id="349"/>
    </w:p>
    <w:p w:rsidR="00EE6B85" w:rsidRDefault="00EE6B85" w:rsidP="00C76826">
      <w:pPr>
        <w:pStyle w:val="Maintext"/>
        <w:numPr>
          <w:ilvl w:val="1"/>
          <w:numId w:val="11"/>
        </w:numPr>
        <w:rPr>
          <w:rFonts w:cs="Arial"/>
          <w:b/>
        </w:rPr>
      </w:pPr>
      <w:r>
        <w:rPr>
          <w:rFonts w:cs="Arial"/>
        </w:rPr>
        <w:t xml:space="preserve">A proportion of vacant properties </w:t>
      </w:r>
      <w:r w:rsidR="00582920">
        <w:rPr>
          <w:rFonts w:cs="Arial"/>
        </w:rPr>
        <w:t>are</w:t>
      </w:r>
      <w:r>
        <w:rPr>
          <w:rFonts w:cs="Arial"/>
        </w:rPr>
        <w:t xml:space="preserve"> needed to allow households to move within housing stock.  Across the social rented sector, this proportion is generally recognised as being 2%.  Stock above this proportion is usuall</w:t>
      </w:r>
      <w:r w:rsidR="00022C2C">
        <w:rPr>
          <w:rFonts w:cs="Arial"/>
        </w:rPr>
        <w:t>y assumed to be surplus stock. M</w:t>
      </w:r>
      <w:r>
        <w:rPr>
          <w:rFonts w:cs="Arial"/>
        </w:rPr>
        <w:t>odelling assumes no surp</w:t>
      </w:r>
      <w:r w:rsidR="00022C2C">
        <w:rPr>
          <w:rFonts w:cs="Arial"/>
        </w:rPr>
        <w:t>lus social rented stock across County Durham.</w:t>
      </w:r>
    </w:p>
    <w:p w:rsidR="00EE6B85" w:rsidRDefault="00EE6B85" w:rsidP="00EE6B85">
      <w:pPr>
        <w:pStyle w:val="Maintext"/>
        <w:numPr>
          <w:ilvl w:val="0"/>
          <w:numId w:val="0"/>
        </w:numPr>
        <w:tabs>
          <w:tab w:val="left" w:pos="1440"/>
        </w:tabs>
        <w:rPr>
          <w:rFonts w:cs="Arial"/>
          <w:b/>
        </w:rPr>
      </w:pPr>
      <w:r>
        <w:rPr>
          <w:rFonts w:cs="Arial"/>
          <w:b/>
        </w:rPr>
        <w:tab/>
      </w:r>
    </w:p>
    <w:p w:rsidR="00EE6B85" w:rsidRDefault="00EE6B85" w:rsidP="00EE6B85">
      <w:pPr>
        <w:pStyle w:val="Heading3"/>
      </w:pPr>
    </w:p>
    <w:p w:rsidR="00EE6B85" w:rsidRDefault="00EE6B85" w:rsidP="00EE6B85">
      <w:pPr>
        <w:pStyle w:val="Heading3"/>
      </w:pPr>
      <w:bookmarkStart w:id="350" w:name="_Toc318323477"/>
      <w:r>
        <w:t>Step 3.3</w:t>
      </w:r>
      <w:r>
        <w:tab/>
        <w:t>Committed supply of new affordable units</w:t>
      </w:r>
      <w:bookmarkEnd w:id="350"/>
    </w:p>
    <w:p w:rsidR="00A81EB2" w:rsidRDefault="00A81EB2" w:rsidP="00A81EB2">
      <w:pPr>
        <w:pStyle w:val="Maintext"/>
        <w:numPr>
          <w:ilvl w:val="1"/>
          <w:numId w:val="11"/>
        </w:numPr>
      </w:pPr>
      <w:r>
        <w:t>The Homes and Communities Agency (HCA) Affordable Homes Programme is likely to deliver around 235 affordable rented homes per annum in the next three years through the Council’s partner housing associations.  Added to this the HCA’s empty homes programme should deliver an additional 50 units each year and the FirstBuy scheme another 50 units of shared equity properties (via private builders). It is therefore anticipated an overall total of around 335 units each year. The previous two years have averaged around 350 units each year. In addition, there is an anticipated 25 units each year from private sector s106 agreements.</w:t>
      </w:r>
    </w:p>
    <w:p w:rsidR="00EE6B85" w:rsidRDefault="00EE6B85" w:rsidP="00A81EB2">
      <w:pPr>
        <w:pStyle w:val="Maintext"/>
        <w:numPr>
          <w:ilvl w:val="0"/>
          <w:numId w:val="0"/>
        </w:numPr>
        <w:ind w:left="709"/>
      </w:pPr>
    </w:p>
    <w:p w:rsidR="00EE6B85" w:rsidRDefault="00EE6B85" w:rsidP="00EE6B85">
      <w:pPr>
        <w:pStyle w:val="Heading3"/>
      </w:pPr>
      <w:bookmarkStart w:id="351" w:name="_Toc318323478"/>
      <w:r>
        <w:t>Step 3.4</w:t>
      </w:r>
      <w:r>
        <w:tab/>
        <w:t>Units to be taken out of management</w:t>
      </w:r>
      <w:bookmarkEnd w:id="351"/>
    </w:p>
    <w:p w:rsidR="00EE6B85" w:rsidRDefault="00EE6B85" w:rsidP="00C76826">
      <w:pPr>
        <w:pStyle w:val="Maintext"/>
        <w:numPr>
          <w:ilvl w:val="1"/>
          <w:numId w:val="11"/>
        </w:numPr>
        <w:rPr>
          <w:rFonts w:cs="Arial"/>
        </w:rPr>
      </w:pPr>
      <w:r>
        <w:rPr>
          <w:rFonts w:cs="Arial"/>
        </w:rPr>
        <w:t>The model assumes there will be no social rented units taken out of management over the next five years.</w:t>
      </w:r>
    </w:p>
    <w:p w:rsidR="00EE6B85" w:rsidRDefault="00EE6B85" w:rsidP="00EE6B85"/>
    <w:p w:rsidR="00EE6B85" w:rsidRDefault="00EE6B85" w:rsidP="00EE6B85">
      <w:pPr>
        <w:pStyle w:val="Heading3"/>
      </w:pPr>
      <w:bookmarkStart w:id="352" w:name="_Toc318323479"/>
      <w:r>
        <w:t>Step 3.5</w:t>
      </w:r>
      <w:r>
        <w:tab/>
        <w:t>Total affordable housing stock available</w:t>
      </w:r>
      <w:bookmarkEnd w:id="352"/>
    </w:p>
    <w:p w:rsidR="00EE6B85" w:rsidRDefault="00EE6B85" w:rsidP="00C76826">
      <w:pPr>
        <w:pStyle w:val="Maintext"/>
        <w:numPr>
          <w:ilvl w:val="1"/>
          <w:numId w:val="11"/>
        </w:numPr>
      </w:pPr>
      <w:r>
        <w:t xml:space="preserve">It is assumed that there are </w:t>
      </w:r>
      <w:r w:rsidR="00022C2C">
        <w:rPr>
          <w:b/>
        </w:rPr>
        <w:t>2,635</w:t>
      </w:r>
      <w:r>
        <w:t xml:space="preserve"> social (affordable) rented dwellings available over the 5 year period arising from households moving within the stock. </w:t>
      </w:r>
    </w:p>
    <w:p w:rsidR="00EE6B85" w:rsidRDefault="00EE6B85" w:rsidP="00EE6B85">
      <w:pPr>
        <w:pStyle w:val="Heading3"/>
      </w:pPr>
    </w:p>
    <w:p w:rsidR="00EE6B85" w:rsidRDefault="00EE6B85" w:rsidP="00EE6B85">
      <w:pPr>
        <w:pStyle w:val="Heading3"/>
      </w:pPr>
      <w:bookmarkStart w:id="353" w:name="_Toc318323480"/>
      <w:r>
        <w:t xml:space="preserve">Steps 3.6 </w:t>
      </w:r>
      <w:r>
        <w:tab/>
        <w:t>Annual supply of social re-lets</w:t>
      </w:r>
      <w:bookmarkEnd w:id="353"/>
    </w:p>
    <w:p w:rsidR="00EE6B85" w:rsidRDefault="00EE6B85" w:rsidP="00C76826">
      <w:pPr>
        <w:pStyle w:val="Maintext"/>
        <w:numPr>
          <w:ilvl w:val="1"/>
          <w:numId w:val="11"/>
        </w:numPr>
        <w:rPr>
          <w:rFonts w:cs="Arial"/>
        </w:rPr>
      </w:pPr>
      <w:r>
        <w:t>The CLG model considers the annual supply of social re-lets.  Address-level RSL CORE lettings data has been a</w:t>
      </w:r>
      <w:r w:rsidR="008D1D73">
        <w:t>nalysed for the three years 2010/11, 2011/12</w:t>
      </w:r>
      <w:r>
        <w:t>. This information can be used to accurately assess the likely capacity of the social rented sector by location, size of property and designation (whether the property is general needs or older person).  For the purposes of analysis, it is important to focus on the ability of households requiring affordable housing to access it.  Therefore, the annual supply figures derived from CORE lettings data and used in modelling:</w:t>
      </w:r>
    </w:p>
    <w:p w:rsidR="00EE6B85" w:rsidRDefault="00EE6B85" w:rsidP="00C76826">
      <w:pPr>
        <w:pStyle w:val="Maintext"/>
        <w:numPr>
          <w:ilvl w:val="2"/>
          <w:numId w:val="11"/>
        </w:numPr>
        <w:rPr>
          <w:rFonts w:cs="Arial"/>
        </w:rPr>
      </w:pPr>
      <w:r>
        <w:rPr>
          <w:b/>
        </w:rPr>
        <w:t>Exclude</w:t>
      </w:r>
      <w:r>
        <w:t xml:space="preserve"> those moving into accommodation from outside </w:t>
      </w:r>
      <w:r w:rsidR="00022C2C">
        <w:t>County Durham</w:t>
      </w:r>
      <w:r>
        <w:t xml:space="preserve"> and households moving within the social rented stock; and </w:t>
      </w:r>
    </w:p>
    <w:p w:rsidR="00EE6B85" w:rsidRDefault="00EE6B85" w:rsidP="00C76826">
      <w:pPr>
        <w:pStyle w:val="Maintext"/>
        <w:numPr>
          <w:ilvl w:val="2"/>
          <w:numId w:val="11"/>
        </w:numPr>
        <w:rPr>
          <w:rFonts w:cs="Arial"/>
        </w:rPr>
      </w:pPr>
      <w:r>
        <w:rPr>
          <w:b/>
        </w:rPr>
        <w:t xml:space="preserve">Include </w:t>
      </w:r>
      <w:r>
        <w:t xml:space="preserve">households who moved from within </w:t>
      </w:r>
      <w:r w:rsidR="00022C2C">
        <w:t>County Durham</w:t>
      </w:r>
      <w:r>
        <w:t xml:space="preserve"> into social renting from another tenure; newly-forming households originating in </w:t>
      </w:r>
      <w:r w:rsidR="00022C2C">
        <w:t>County Durham</w:t>
      </w:r>
      <w:r>
        <w:t xml:space="preserve"> and moving in social renting; and households moving from specialist/supporting housing from within </w:t>
      </w:r>
      <w:r w:rsidR="00022C2C">
        <w:t>County Durham</w:t>
      </w:r>
      <w:r>
        <w:t xml:space="preserve"> into affordable housing.</w:t>
      </w:r>
    </w:p>
    <w:p w:rsidR="00EE6B85" w:rsidRPr="00AD4B22" w:rsidRDefault="00EE6B85" w:rsidP="00C76826">
      <w:pPr>
        <w:pStyle w:val="Maintext"/>
        <w:numPr>
          <w:ilvl w:val="1"/>
          <w:numId w:val="11"/>
        </w:numPr>
        <w:rPr>
          <w:rFonts w:cs="Arial"/>
        </w:rPr>
      </w:pPr>
      <w:r>
        <w:rPr>
          <w:rFonts w:cs="Arial"/>
        </w:rPr>
        <w:t xml:space="preserve">Analysis </w:t>
      </w:r>
      <w:r w:rsidRPr="00AD4B22">
        <w:rPr>
          <w:rFonts w:cs="Arial"/>
        </w:rPr>
        <w:t xml:space="preserve">suggests that </w:t>
      </w:r>
      <w:r>
        <w:rPr>
          <w:rFonts w:cs="Arial"/>
        </w:rPr>
        <w:t>the</w:t>
      </w:r>
      <w:r w:rsidR="008D1D73">
        <w:rPr>
          <w:rFonts w:cs="Arial"/>
        </w:rPr>
        <w:t>re is an annual average of 2,267</w:t>
      </w:r>
      <w:r>
        <w:rPr>
          <w:rFonts w:cs="Arial"/>
        </w:rPr>
        <w:t xml:space="preserve"> social rented dwellings </w:t>
      </w:r>
      <w:r>
        <w:t xml:space="preserve">let </w:t>
      </w:r>
      <w:r w:rsidRPr="00AD4B22">
        <w:rPr>
          <w:rFonts w:cs="Arial"/>
        </w:rPr>
        <w:t xml:space="preserve">to new tenants i.e. households originating in </w:t>
      </w:r>
      <w:r w:rsidR="00022C2C">
        <w:t>County Durham</w:t>
      </w:r>
      <w:r>
        <w:t xml:space="preserve"> </w:t>
      </w:r>
      <w:r w:rsidRPr="00AD4B22">
        <w:rPr>
          <w:rFonts w:cs="Arial"/>
        </w:rPr>
        <w:t xml:space="preserve">who either moved into social renting from another tenure, were newly-forming households, or who moved from supported/specialist accommodation.  </w:t>
      </w:r>
    </w:p>
    <w:p w:rsidR="00EE6B85" w:rsidRDefault="00EE6B85" w:rsidP="00C76826">
      <w:pPr>
        <w:pStyle w:val="Maintext"/>
        <w:numPr>
          <w:ilvl w:val="1"/>
          <w:numId w:val="11"/>
        </w:numPr>
        <w:rPr>
          <w:rFonts w:cs="Arial"/>
        </w:rPr>
      </w:pPr>
      <w:r>
        <w:rPr>
          <w:rFonts w:cs="Arial"/>
        </w:rPr>
        <w:t xml:space="preserve">Modelling therefore assumes an annual capacity of </w:t>
      </w:r>
      <w:r>
        <w:rPr>
          <w:rFonts w:cs="Arial"/>
          <w:b/>
        </w:rPr>
        <w:t>2,</w:t>
      </w:r>
      <w:r w:rsidR="008D1D73">
        <w:rPr>
          <w:rFonts w:cs="Arial"/>
          <w:b/>
        </w:rPr>
        <w:t>267</w:t>
      </w:r>
      <w:r>
        <w:rPr>
          <w:rFonts w:cs="Arial"/>
        </w:rPr>
        <w:t xml:space="preserve"> dwellings for new tenants across </w:t>
      </w:r>
      <w:r w:rsidR="00022C2C">
        <w:rPr>
          <w:rFonts w:cs="Arial"/>
        </w:rPr>
        <w:t>County Durham</w:t>
      </w:r>
      <w:r w:rsidR="007F16E0">
        <w:rPr>
          <w:rFonts w:cs="Arial"/>
        </w:rPr>
        <w:t xml:space="preserve">.  </w:t>
      </w:r>
      <w:r w:rsidR="00C66F41">
        <w:t>Table D6</w:t>
      </w:r>
      <w:r>
        <w:t xml:space="preserve"> illustrates how the annual capacity figure is broken down by </w:t>
      </w:r>
      <w:r w:rsidR="00B440F0">
        <w:t>delivery area</w:t>
      </w:r>
      <w:r w:rsidR="00022C2C">
        <w:t xml:space="preserve">, </w:t>
      </w:r>
      <w:r>
        <w:t xml:space="preserve">designation (general needs and older person) and property size. </w:t>
      </w:r>
    </w:p>
    <w:p w:rsidR="00EE6B85" w:rsidRDefault="00EE6B85" w:rsidP="00EE6B85">
      <w:pPr>
        <w:pStyle w:val="Maintext"/>
        <w:numPr>
          <w:ilvl w:val="0"/>
          <w:numId w:val="0"/>
        </w:numPr>
        <w:ind w:firstLine="709"/>
        <w:rPr>
          <w:b/>
        </w:rPr>
      </w:pPr>
    </w:p>
    <w:p w:rsidR="00EE6B85" w:rsidRDefault="00C66F41" w:rsidP="00537291">
      <w:pPr>
        <w:pStyle w:val="Maintext"/>
        <w:numPr>
          <w:ilvl w:val="0"/>
          <w:numId w:val="0"/>
        </w:numPr>
        <w:ind w:firstLine="709"/>
      </w:pPr>
      <w:r>
        <w:rPr>
          <w:b/>
        </w:rPr>
        <w:t xml:space="preserve">Table D6 </w:t>
      </w:r>
      <w:r w:rsidR="007F16E0">
        <w:rPr>
          <w:b/>
        </w:rPr>
        <w:t xml:space="preserve"> </w:t>
      </w:r>
      <w:r w:rsidR="00EE6B85">
        <w:t>Annual social rented re-lets</w:t>
      </w:r>
      <w:r w:rsidR="00022C2C">
        <w:t xml:space="preserve"> by </w:t>
      </w:r>
      <w:r w:rsidR="00B440F0">
        <w:t>delivery area</w:t>
      </w:r>
    </w:p>
    <w:tbl>
      <w:tblPr>
        <w:tblW w:w="9940" w:type="dxa"/>
        <w:tblInd w:w="94" w:type="dxa"/>
        <w:tblLook w:val="04A0" w:firstRow="1" w:lastRow="0" w:firstColumn="1" w:lastColumn="0" w:noHBand="0" w:noVBand="1"/>
      </w:tblPr>
      <w:tblGrid>
        <w:gridCol w:w="1580"/>
        <w:gridCol w:w="1880"/>
        <w:gridCol w:w="1080"/>
        <w:gridCol w:w="1080"/>
        <w:gridCol w:w="1080"/>
        <w:gridCol w:w="1080"/>
        <w:gridCol w:w="1080"/>
        <w:gridCol w:w="1080"/>
      </w:tblGrid>
      <w:tr w:rsidR="008D1D73" w:rsidRPr="008D1D73" w:rsidTr="008D1D73">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8D1D73" w:rsidRPr="008D1D73" w:rsidRDefault="008D1D73" w:rsidP="008D1D73">
            <w:pPr>
              <w:spacing w:before="0" w:after="0"/>
              <w:rPr>
                <w:rFonts w:cs="Arial"/>
                <w:b/>
                <w:bCs/>
                <w:color w:val="FFFFFF"/>
                <w:sz w:val="22"/>
                <w:szCs w:val="22"/>
                <w:lang w:eastAsia="en-GB"/>
              </w:rPr>
            </w:pPr>
            <w:r w:rsidRPr="008D1D73">
              <w:rPr>
                <w:rFonts w:cs="Arial"/>
                <w:b/>
                <w:bCs/>
                <w:color w:val="FFFFFF"/>
                <w:sz w:val="22"/>
                <w:szCs w:val="22"/>
                <w:lang w:eastAsia="en-GB"/>
              </w:rPr>
              <w:t>AgeGroup</w:t>
            </w:r>
          </w:p>
        </w:tc>
        <w:tc>
          <w:tcPr>
            <w:tcW w:w="1880" w:type="dxa"/>
            <w:tcBorders>
              <w:top w:val="single" w:sz="4" w:space="0" w:color="auto"/>
              <w:left w:val="nil"/>
              <w:bottom w:val="single" w:sz="4" w:space="0" w:color="auto"/>
              <w:right w:val="single" w:sz="4" w:space="0" w:color="auto"/>
            </w:tcBorders>
            <w:shd w:val="clear" w:color="000000" w:fill="008080"/>
            <w:noWrap/>
            <w:vAlign w:val="bottom"/>
            <w:hideMark/>
          </w:tcPr>
          <w:p w:rsidR="008D1D73" w:rsidRPr="008D1D73" w:rsidRDefault="008D1D73" w:rsidP="008D1D73">
            <w:pPr>
              <w:spacing w:before="0" w:after="0"/>
              <w:rPr>
                <w:rFonts w:cs="Arial"/>
                <w:b/>
                <w:bCs/>
                <w:color w:val="FFFFFF"/>
                <w:sz w:val="22"/>
                <w:szCs w:val="22"/>
                <w:lang w:eastAsia="en-GB"/>
              </w:rPr>
            </w:pPr>
            <w:r w:rsidRPr="008D1D73">
              <w:rPr>
                <w:rFonts w:cs="Arial"/>
                <w:b/>
                <w:bCs/>
                <w:color w:val="FFFFFF"/>
                <w:sz w:val="22"/>
                <w:szCs w:val="22"/>
                <w:lang w:eastAsia="en-GB"/>
              </w:rPr>
              <w:t>No. of bedrooms</w:t>
            </w:r>
          </w:p>
        </w:tc>
        <w:tc>
          <w:tcPr>
            <w:tcW w:w="2160" w:type="dxa"/>
            <w:gridSpan w:val="2"/>
            <w:tcBorders>
              <w:top w:val="single" w:sz="4" w:space="0" w:color="auto"/>
              <w:left w:val="nil"/>
              <w:bottom w:val="single" w:sz="4" w:space="0" w:color="auto"/>
              <w:right w:val="nil"/>
            </w:tcBorders>
            <w:shd w:val="clear" w:color="000000" w:fill="008080"/>
            <w:noWrap/>
            <w:vAlign w:val="bottom"/>
            <w:hideMark/>
          </w:tcPr>
          <w:p w:rsidR="008D1D73" w:rsidRPr="008D1D73" w:rsidRDefault="008D1D73" w:rsidP="008D1D73">
            <w:pPr>
              <w:spacing w:before="0" w:after="0"/>
              <w:rPr>
                <w:rFonts w:cs="Arial"/>
                <w:b/>
                <w:bCs/>
                <w:color w:val="FFFFFF"/>
                <w:sz w:val="22"/>
                <w:szCs w:val="22"/>
                <w:lang w:eastAsia="en-GB"/>
              </w:rPr>
            </w:pPr>
            <w:r w:rsidRPr="008D1D73">
              <w:rPr>
                <w:rFonts w:cs="Arial"/>
                <w:b/>
                <w:bCs/>
                <w:color w:val="FFFFFF"/>
                <w:sz w:val="22"/>
                <w:szCs w:val="22"/>
                <w:lang w:eastAsia="en-GB"/>
              </w:rPr>
              <w:t>Planning policy area</w:t>
            </w:r>
          </w:p>
        </w:tc>
        <w:tc>
          <w:tcPr>
            <w:tcW w:w="1080" w:type="dxa"/>
            <w:tcBorders>
              <w:top w:val="single" w:sz="4" w:space="0" w:color="auto"/>
              <w:left w:val="nil"/>
              <w:bottom w:val="single" w:sz="4" w:space="0" w:color="auto"/>
              <w:right w:val="nil"/>
            </w:tcBorders>
            <w:shd w:val="clear" w:color="000000" w:fill="008080"/>
            <w:noWrap/>
            <w:vAlign w:val="bottom"/>
            <w:hideMark/>
          </w:tcPr>
          <w:p w:rsidR="008D1D73" w:rsidRPr="008D1D73" w:rsidRDefault="008D1D73" w:rsidP="008D1D73">
            <w:pPr>
              <w:spacing w:before="0" w:after="0"/>
              <w:rPr>
                <w:rFonts w:cs="Arial"/>
                <w:color w:val="FFFFFF"/>
                <w:sz w:val="22"/>
                <w:szCs w:val="22"/>
                <w:lang w:eastAsia="en-GB"/>
              </w:rPr>
            </w:pPr>
            <w:r w:rsidRPr="008D1D73">
              <w:rPr>
                <w:rFonts w:cs="Arial"/>
                <w:color w:val="FFFFFF"/>
                <w:sz w:val="22"/>
                <w:szCs w:val="22"/>
                <w:lang w:eastAsia="en-GB"/>
              </w:rPr>
              <w:t> </w:t>
            </w:r>
          </w:p>
        </w:tc>
        <w:tc>
          <w:tcPr>
            <w:tcW w:w="1080" w:type="dxa"/>
            <w:tcBorders>
              <w:top w:val="single" w:sz="4" w:space="0" w:color="auto"/>
              <w:left w:val="nil"/>
              <w:bottom w:val="single" w:sz="4" w:space="0" w:color="auto"/>
              <w:right w:val="nil"/>
            </w:tcBorders>
            <w:shd w:val="clear" w:color="000000" w:fill="008080"/>
            <w:noWrap/>
            <w:vAlign w:val="bottom"/>
            <w:hideMark/>
          </w:tcPr>
          <w:p w:rsidR="008D1D73" w:rsidRPr="008D1D73" w:rsidRDefault="008D1D73" w:rsidP="008D1D73">
            <w:pPr>
              <w:spacing w:before="0" w:after="0"/>
              <w:rPr>
                <w:rFonts w:cs="Arial"/>
                <w:color w:val="FFFFFF"/>
                <w:sz w:val="22"/>
                <w:szCs w:val="22"/>
                <w:lang w:eastAsia="en-GB"/>
              </w:rPr>
            </w:pPr>
            <w:r w:rsidRPr="008D1D73">
              <w:rPr>
                <w:rFonts w:cs="Arial"/>
                <w:color w:val="FFFFFF"/>
                <w:sz w:val="22"/>
                <w:szCs w:val="22"/>
                <w:lang w:eastAsia="en-GB"/>
              </w:rPr>
              <w:t> </w:t>
            </w:r>
          </w:p>
        </w:tc>
        <w:tc>
          <w:tcPr>
            <w:tcW w:w="1080" w:type="dxa"/>
            <w:tcBorders>
              <w:top w:val="single" w:sz="4" w:space="0" w:color="auto"/>
              <w:left w:val="nil"/>
              <w:bottom w:val="single" w:sz="4" w:space="0" w:color="auto"/>
              <w:right w:val="nil"/>
            </w:tcBorders>
            <w:shd w:val="clear" w:color="000000" w:fill="008080"/>
            <w:noWrap/>
            <w:vAlign w:val="bottom"/>
            <w:hideMark/>
          </w:tcPr>
          <w:p w:rsidR="008D1D73" w:rsidRPr="008D1D73" w:rsidRDefault="008D1D73" w:rsidP="008D1D73">
            <w:pPr>
              <w:spacing w:before="0" w:after="0"/>
              <w:rPr>
                <w:rFonts w:cs="Arial"/>
                <w:color w:val="FFFFFF"/>
                <w:sz w:val="22"/>
                <w:szCs w:val="22"/>
                <w:lang w:eastAsia="en-GB"/>
              </w:rPr>
            </w:pPr>
            <w:r w:rsidRPr="008D1D73">
              <w:rPr>
                <w:rFonts w:cs="Arial"/>
                <w:color w:val="FFFFFF"/>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8D1D73" w:rsidRPr="008D1D73" w:rsidRDefault="008D1D73" w:rsidP="008D1D73">
            <w:pPr>
              <w:spacing w:before="0" w:after="0"/>
              <w:rPr>
                <w:rFonts w:cs="Arial"/>
                <w:color w:val="FFFFFF"/>
                <w:sz w:val="22"/>
                <w:szCs w:val="22"/>
                <w:lang w:eastAsia="en-GB"/>
              </w:rPr>
            </w:pPr>
            <w:r w:rsidRPr="008D1D73">
              <w:rPr>
                <w:rFonts w:cs="Arial"/>
                <w:color w:val="FFFFFF"/>
                <w:sz w:val="22"/>
                <w:szCs w:val="22"/>
                <w:lang w:eastAsia="en-GB"/>
              </w:rPr>
              <w:t> </w:t>
            </w:r>
          </w:p>
        </w:tc>
      </w:tr>
      <w:tr w:rsidR="008D1D73" w:rsidRPr="008D1D73" w:rsidTr="008D1D73">
        <w:trPr>
          <w:trHeight w:val="570"/>
        </w:trPr>
        <w:tc>
          <w:tcPr>
            <w:tcW w:w="1580" w:type="dxa"/>
            <w:tcBorders>
              <w:top w:val="nil"/>
              <w:left w:val="single" w:sz="4" w:space="0" w:color="auto"/>
              <w:bottom w:val="single" w:sz="4" w:space="0" w:color="auto"/>
              <w:right w:val="single" w:sz="4" w:space="0" w:color="auto"/>
            </w:tcBorders>
            <w:shd w:val="clear" w:color="000000" w:fill="008080"/>
            <w:noWrap/>
            <w:vAlign w:val="bottom"/>
            <w:hideMark/>
          </w:tcPr>
          <w:p w:rsidR="008D1D73" w:rsidRPr="008D1D73" w:rsidRDefault="008D1D73" w:rsidP="008D1D73">
            <w:pPr>
              <w:spacing w:before="0" w:after="0"/>
              <w:rPr>
                <w:rFonts w:cs="Arial"/>
                <w:color w:val="FFFFFF"/>
                <w:sz w:val="22"/>
                <w:szCs w:val="22"/>
                <w:lang w:eastAsia="en-GB"/>
              </w:rPr>
            </w:pPr>
            <w:r w:rsidRPr="008D1D73">
              <w:rPr>
                <w:rFonts w:cs="Arial"/>
                <w:color w:val="FFFFFF"/>
                <w:sz w:val="22"/>
                <w:szCs w:val="22"/>
                <w:lang w:eastAsia="en-GB"/>
              </w:rPr>
              <w:t> </w:t>
            </w:r>
          </w:p>
        </w:tc>
        <w:tc>
          <w:tcPr>
            <w:tcW w:w="1880" w:type="dxa"/>
            <w:tcBorders>
              <w:top w:val="nil"/>
              <w:left w:val="nil"/>
              <w:bottom w:val="single" w:sz="4" w:space="0" w:color="auto"/>
              <w:right w:val="single" w:sz="4" w:space="0" w:color="auto"/>
            </w:tcBorders>
            <w:shd w:val="clear" w:color="000000" w:fill="008080"/>
            <w:noWrap/>
            <w:vAlign w:val="bottom"/>
            <w:hideMark/>
          </w:tcPr>
          <w:p w:rsidR="008D1D73" w:rsidRPr="008D1D73" w:rsidRDefault="008D1D73" w:rsidP="008D1D73">
            <w:pPr>
              <w:spacing w:before="0" w:after="0"/>
              <w:rPr>
                <w:rFonts w:cs="Arial"/>
                <w:color w:val="FFFFFF"/>
                <w:sz w:val="22"/>
                <w:szCs w:val="22"/>
                <w:lang w:eastAsia="en-GB"/>
              </w:rPr>
            </w:pPr>
            <w:r w:rsidRPr="008D1D73">
              <w:rPr>
                <w:rFonts w:cs="Arial"/>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vAlign w:val="bottom"/>
            <w:hideMark/>
          </w:tcPr>
          <w:p w:rsidR="008D1D73" w:rsidRPr="008D1D73" w:rsidRDefault="008D1D73" w:rsidP="008D1D73">
            <w:pPr>
              <w:spacing w:before="0" w:after="0"/>
              <w:jc w:val="center"/>
              <w:rPr>
                <w:rFonts w:cs="Arial"/>
                <w:color w:val="FFFFFF"/>
                <w:sz w:val="22"/>
                <w:szCs w:val="22"/>
                <w:lang w:eastAsia="en-GB"/>
              </w:rPr>
            </w:pPr>
            <w:r w:rsidRPr="008D1D73">
              <w:rPr>
                <w:rFonts w:cs="Arial"/>
                <w:color w:val="FFFFFF"/>
                <w:sz w:val="22"/>
                <w:szCs w:val="22"/>
                <w:lang w:eastAsia="en-GB"/>
              </w:rPr>
              <w:t>North</w:t>
            </w:r>
          </w:p>
        </w:tc>
        <w:tc>
          <w:tcPr>
            <w:tcW w:w="1080" w:type="dxa"/>
            <w:tcBorders>
              <w:top w:val="nil"/>
              <w:left w:val="nil"/>
              <w:bottom w:val="single" w:sz="4" w:space="0" w:color="auto"/>
              <w:right w:val="single" w:sz="4" w:space="0" w:color="auto"/>
            </w:tcBorders>
            <w:shd w:val="clear" w:color="000000" w:fill="008080"/>
            <w:vAlign w:val="bottom"/>
            <w:hideMark/>
          </w:tcPr>
          <w:p w:rsidR="008D1D73" w:rsidRPr="008D1D73" w:rsidRDefault="008D1D73" w:rsidP="008D1D73">
            <w:pPr>
              <w:spacing w:before="0" w:after="0"/>
              <w:jc w:val="center"/>
              <w:rPr>
                <w:rFonts w:cs="Arial"/>
                <w:color w:val="FFFFFF"/>
                <w:sz w:val="22"/>
                <w:szCs w:val="22"/>
                <w:lang w:eastAsia="en-GB"/>
              </w:rPr>
            </w:pPr>
            <w:r w:rsidRPr="008D1D73">
              <w:rPr>
                <w:rFonts w:cs="Arial"/>
                <w:color w:val="FFFFFF"/>
                <w:sz w:val="22"/>
                <w:szCs w:val="22"/>
                <w:lang w:eastAsia="en-GB"/>
              </w:rPr>
              <w:t>Central</w:t>
            </w:r>
          </w:p>
        </w:tc>
        <w:tc>
          <w:tcPr>
            <w:tcW w:w="1080" w:type="dxa"/>
            <w:tcBorders>
              <w:top w:val="nil"/>
              <w:left w:val="nil"/>
              <w:bottom w:val="single" w:sz="4" w:space="0" w:color="auto"/>
              <w:right w:val="single" w:sz="4" w:space="0" w:color="auto"/>
            </w:tcBorders>
            <w:shd w:val="clear" w:color="000000" w:fill="008080"/>
            <w:vAlign w:val="bottom"/>
            <w:hideMark/>
          </w:tcPr>
          <w:p w:rsidR="008D1D73" w:rsidRPr="008D1D73" w:rsidRDefault="008D1D73" w:rsidP="008D1D73">
            <w:pPr>
              <w:spacing w:before="0" w:after="0"/>
              <w:jc w:val="center"/>
              <w:rPr>
                <w:rFonts w:cs="Arial"/>
                <w:color w:val="FFFFFF"/>
                <w:sz w:val="22"/>
                <w:szCs w:val="22"/>
                <w:lang w:eastAsia="en-GB"/>
              </w:rPr>
            </w:pPr>
            <w:r w:rsidRPr="008D1D73">
              <w:rPr>
                <w:rFonts w:cs="Arial"/>
                <w:color w:val="FFFFFF"/>
                <w:sz w:val="22"/>
                <w:szCs w:val="22"/>
                <w:lang w:eastAsia="en-GB"/>
              </w:rPr>
              <w:t>East</w:t>
            </w:r>
          </w:p>
        </w:tc>
        <w:tc>
          <w:tcPr>
            <w:tcW w:w="1080" w:type="dxa"/>
            <w:tcBorders>
              <w:top w:val="nil"/>
              <w:left w:val="nil"/>
              <w:bottom w:val="single" w:sz="4" w:space="0" w:color="auto"/>
              <w:right w:val="single" w:sz="4" w:space="0" w:color="auto"/>
            </w:tcBorders>
            <w:shd w:val="clear" w:color="000000" w:fill="008080"/>
            <w:vAlign w:val="bottom"/>
            <w:hideMark/>
          </w:tcPr>
          <w:p w:rsidR="008D1D73" w:rsidRPr="008D1D73" w:rsidRDefault="008D1D73" w:rsidP="008D1D73">
            <w:pPr>
              <w:spacing w:before="0" w:after="0"/>
              <w:jc w:val="center"/>
              <w:rPr>
                <w:rFonts w:cs="Arial"/>
                <w:color w:val="FFFFFF"/>
                <w:sz w:val="22"/>
                <w:szCs w:val="22"/>
                <w:lang w:eastAsia="en-GB"/>
              </w:rPr>
            </w:pPr>
            <w:r w:rsidRPr="008D1D73">
              <w:rPr>
                <w:rFonts w:cs="Arial"/>
                <w:color w:val="FFFFFF"/>
                <w:sz w:val="22"/>
                <w:szCs w:val="22"/>
                <w:lang w:eastAsia="en-GB"/>
              </w:rPr>
              <w:t>The Dales</w:t>
            </w:r>
          </w:p>
        </w:tc>
        <w:tc>
          <w:tcPr>
            <w:tcW w:w="1080" w:type="dxa"/>
            <w:tcBorders>
              <w:top w:val="nil"/>
              <w:left w:val="nil"/>
              <w:bottom w:val="single" w:sz="4" w:space="0" w:color="auto"/>
              <w:right w:val="single" w:sz="4" w:space="0" w:color="auto"/>
            </w:tcBorders>
            <w:shd w:val="clear" w:color="000000" w:fill="008080"/>
            <w:vAlign w:val="bottom"/>
            <w:hideMark/>
          </w:tcPr>
          <w:p w:rsidR="008D1D73" w:rsidRPr="008D1D73" w:rsidRDefault="008D1D73" w:rsidP="008D1D73">
            <w:pPr>
              <w:spacing w:before="0" w:after="0"/>
              <w:jc w:val="center"/>
              <w:rPr>
                <w:rFonts w:cs="Arial"/>
                <w:color w:val="FFFFFF"/>
                <w:sz w:val="22"/>
                <w:szCs w:val="22"/>
                <w:lang w:eastAsia="en-GB"/>
              </w:rPr>
            </w:pPr>
            <w:r w:rsidRPr="008D1D73">
              <w:rPr>
                <w:rFonts w:cs="Arial"/>
                <w:color w:val="FFFFFF"/>
                <w:sz w:val="22"/>
                <w:szCs w:val="22"/>
                <w:lang w:eastAsia="en-GB"/>
              </w:rPr>
              <w:t>South</w:t>
            </w:r>
          </w:p>
        </w:tc>
        <w:tc>
          <w:tcPr>
            <w:tcW w:w="1080" w:type="dxa"/>
            <w:tcBorders>
              <w:top w:val="nil"/>
              <w:left w:val="nil"/>
              <w:bottom w:val="single" w:sz="4" w:space="0" w:color="auto"/>
              <w:right w:val="single" w:sz="4" w:space="0" w:color="auto"/>
            </w:tcBorders>
            <w:shd w:val="clear" w:color="000000" w:fill="008080"/>
            <w:vAlign w:val="bottom"/>
            <w:hideMark/>
          </w:tcPr>
          <w:p w:rsidR="008D1D73" w:rsidRPr="008D1D73" w:rsidRDefault="008D1D73" w:rsidP="008D1D73">
            <w:pPr>
              <w:spacing w:before="0" w:after="0"/>
              <w:jc w:val="center"/>
              <w:rPr>
                <w:rFonts w:cs="Arial"/>
                <w:color w:val="FFFFFF"/>
                <w:sz w:val="22"/>
                <w:szCs w:val="22"/>
                <w:lang w:eastAsia="en-GB"/>
              </w:rPr>
            </w:pPr>
            <w:r w:rsidRPr="008D1D73">
              <w:rPr>
                <w:rFonts w:cs="Arial"/>
                <w:color w:val="FFFFFF"/>
                <w:sz w:val="22"/>
                <w:szCs w:val="22"/>
                <w:lang w:eastAsia="en-GB"/>
              </w:rPr>
              <w:t>Co. Durham</w:t>
            </w:r>
          </w:p>
        </w:tc>
      </w:tr>
      <w:tr w:rsidR="008D1D73" w:rsidRPr="008D1D73" w:rsidTr="008D1D73">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General needs</w:t>
            </w:r>
          </w:p>
        </w:tc>
        <w:tc>
          <w:tcPr>
            <w:tcW w:w="18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88</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91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99</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14</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87</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379</w:t>
            </w:r>
          </w:p>
        </w:tc>
      </w:tr>
      <w:tr w:rsidR="008D1D73" w:rsidRPr="008D1D73" w:rsidTr="008D1D73">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286</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147</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235</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56</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409</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1133</w:t>
            </w:r>
          </w:p>
        </w:tc>
      </w:tr>
      <w:tr w:rsidR="008D1D73" w:rsidRPr="008D1D73" w:rsidTr="008D1D73">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180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89</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87</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23</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159</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537</w:t>
            </w:r>
          </w:p>
        </w:tc>
      </w:tr>
      <w:tr w:rsidR="008D1D73" w:rsidRPr="008D1D73" w:rsidTr="008D1D73">
        <w:trPr>
          <w:trHeight w:val="28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 </w:t>
            </w:r>
          </w:p>
        </w:tc>
        <w:tc>
          <w:tcPr>
            <w:tcW w:w="18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4</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5</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5</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16</w:t>
            </w:r>
          </w:p>
        </w:tc>
      </w:tr>
      <w:tr w:rsidR="008D1D73" w:rsidRPr="008D1D73" w:rsidTr="008D1D73">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Older person</w:t>
            </w:r>
          </w:p>
        </w:tc>
        <w:tc>
          <w:tcPr>
            <w:tcW w:w="18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8</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16</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37</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8</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12</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80</w:t>
            </w:r>
          </w:p>
        </w:tc>
      </w:tr>
      <w:tr w:rsidR="008D1D73" w:rsidRPr="008D1D73" w:rsidTr="008D1D73">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50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18</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22</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9</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19</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117</w:t>
            </w:r>
          </w:p>
        </w:tc>
      </w:tr>
      <w:tr w:rsidR="008D1D73" w:rsidRPr="008D1D73" w:rsidTr="008D1D73">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4</w:t>
            </w:r>
          </w:p>
        </w:tc>
      </w:tr>
      <w:tr w:rsidR="008D1D73" w:rsidRPr="008D1D73" w:rsidTr="008D1D73">
        <w:trPr>
          <w:trHeight w:val="28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 </w:t>
            </w:r>
          </w:p>
        </w:tc>
        <w:tc>
          <w:tcPr>
            <w:tcW w:w="18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right"/>
              <w:rPr>
                <w:rFonts w:cs="Arial"/>
                <w:color w:val="000000"/>
                <w:sz w:val="22"/>
                <w:szCs w:val="22"/>
                <w:lang w:eastAsia="en-GB"/>
              </w:rPr>
            </w:pPr>
            <w:r w:rsidRPr="008D1D73">
              <w:rPr>
                <w:rFonts w:cs="Arial"/>
                <w:color w:val="000000"/>
                <w:sz w:val="22"/>
                <w:szCs w:val="22"/>
                <w:lang w:eastAsia="en-GB"/>
              </w:rPr>
              <w:t>4</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0</w:t>
            </w:r>
          </w:p>
        </w:tc>
      </w:tr>
      <w:tr w:rsidR="008D1D73" w:rsidRPr="008D1D73" w:rsidTr="008D1D73">
        <w:trPr>
          <w:trHeight w:val="28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Total</w:t>
            </w:r>
          </w:p>
        </w:tc>
        <w:tc>
          <w:tcPr>
            <w:tcW w:w="18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rPr>
                <w:rFonts w:cs="Arial"/>
                <w:color w:val="000000"/>
                <w:sz w:val="22"/>
                <w:szCs w:val="22"/>
                <w:lang w:eastAsia="en-GB"/>
              </w:rPr>
            </w:pPr>
            <w:r w:rsidRPr="008D1D73">
              <w:rPr>
                <w:rFonts w:cs="Arial"/>
                <w:color w:val="000000"/>
                <w:sz w:val="22"/>
                <w:szCs w:val="22"/>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615</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364</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485</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111</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692</w:t>
            </w:r>
          </w:p>
        </w:tc>
        <w:tc>
          <w:tcPr>
            <w:tcW w:w="1080" w:type="dxa"/>
            <w:tcBorders>
              <w:top w:val="nil"/>
              <w:left w:val="nil"/>
              <w:bottom w:val="single" w:sz="4" w:space="0" w:color="auto"/>
              <w:right w:val="single" w:sz="4" w:space="0" w:color="auto"/>
            </w:tcBorders>
            <w:shd w:val="clear" w:color="auto" w:fill="auto"/>
            <w:noWrap/>
            <w:vAlign w:val="bottom"/>
            <w:hideMark/>
          </w:tcPr>
          <w:p w:rsidR="008D1D73" w:rsidRPr="008D1D73" w:rsidRDefault="008D1D73" w:rsidP="008D1D73">
            <w:pPr>
              <w:spacing w:before="0" w:after="0"/>
              <w:jc w:val="center"/>
              <w:rPr>
                <w:rFonts w:cs="Arial"/>
                <w:color w:val="000000"/>
                <w:sz w:val="22"/>
                <w:szCs w:val="22"/>
                <w:lang w:eastAsia="en-GB"/>
              </w:rPr>
            </w:pPr>
            <w:r w:rsidRPr="008D1D73">
              <w:rPr>
                <w:rFonts w:cs="Arial"/>
                <w:color w:val="000000"/>
                <w:sz w:val="22"/>
                <w:szCs w:val="22"/>
                <w:lang w:eastAsia="en-GB"/>
              </w:rPr>
              <w:t>2267</w:t>
            </w:r>
          </w:p>
        </w:tc>
      </w:tr>
    </w:tbl>
    <w:p w:rsidR="00022C2C" w:rsidRPr="00DC6595" w:rsidRDefault="00022C2C" w:rsidP="00022C2C">
      <w:pPr>
        <w:pStyle w:val="Maintext"/>
        <w:numPr>
          <w:ilvl w:val="0"/>
          <w:numId w:val="0"/>
        </w:numPr>
        <w:ind w:left="709" w:hanging="709"/>
        <w:rPr>
          <w:sz w:val="20"/>
          <w:szCs w:val="20"/>
        </w:rPr>
      </w:pPr>
      <w:r w:rsidRPr="00DC6595">
        <w:rPr>
          <w:sz w:val="20"/>
          <w:szCs w:val="20"/>
        </w:rPr>
        <w:t xml:space="preserve">Source: </w:t>
      </w:r>
      <w:r>
        <w:rPr>
          <w:sz w:val="20"/>
          <w:szCs w:val="20"/>
        </w:rPr>
        <w:t>RSL CORE data</w:t>
      </w:r>
      <w:r w:rsidR="008D1D73">
        <w:rPr>
          <w:sz w:val="20"/>
          <w:szCs w:val="20"/>
        </w:rPr>
        <w:t xml:space="preserve"> 2009/10 to 2011/12</w:t>
      </w:r>
    </w:p>
    <w:p w:rsidR="00022C2C" w:rsidRDefault="00022C2C" w:rsidP="00537291">
      <w:pPr>
        <w:pStyle w:val="Maintext"/>
        <w:numPr>
          <w:ilvl w:val="0"/>
          <w:numId w:val="0"/>
        </w:numPr>
      </w:pPr>
    </w:p>
    <w:p w:rsidR="00EE6B85" w:rsidRPr="007F16E0" w:rsidRDefault="00537291" w:rsidP="007F16E0">
      <w:pPr>
        <w:pStyle w:val="Maintext"/>
        <w:numPr>
          <w:ilvl w:val="0"/>
          <w:numId w:val="0"/>
        </w:numPr>
        <w:ind w:left="709" w:hanging="709"/>
        <w:rPr>
          <w:rFonts w:cs="Arial"/>
        </w:rPr>
      </w:pPr>
      <w:r>
        <w:rPr>
          <w:b/>
        </w:rPr>
        <w:br w:type="page"/>
      </w:r>
    </w:p>
    <w:p w:rsidR="00EE6B85" w:rsidRDefault="00EE6B85" w:rsidP="00EE6B85">
      <w:pPr>
        <w:pStyle w:val="Heading3"/>
      </w:pPr>
      <w:bookmarkStart w:id="354" w:name="_Toc318323481"/>
      <w:r>
        <w:t xml:space="preserve">Steps 3.7 </w:t>
      </w:r>
      <w:r>
        <w:tab/>
        <w:t>Annual supply of intermediate re-lets/sales</w:t>
      </w:r>
      <w:bookmarkEnd w:id="354"/>
      <w:r>
        <w:t xml:space="preserve"> </w:t>
      </w:r>
    </w:p>
    <w:p w:rsidR="00EE6B85" w:rsidRDefault="00537291" w:rsidP="00C76826">
      <w:pPr>
        <w:pStyle w:val="Maintext"/>
        <w:numPr>
          <w:ilvl w:val="1"/>
          <w:numId w:val="11"/>
        </w:numPr>
        <w:rPr>
          <w:rFonts w:cs="Arial"/>
        </w:rPr>
      </w:pPr>
      <w:r>
        <w:rPr>
          <w:rFonts w:cs="Arial"/>
        </w:rPr>
        <w:t xml:space="preserve">Table </w:t>
      </w:r>
      <w:r w:rsidR="00C66F41">
        <w:rPr>
          <w:rFonts w:cs="Arial"/>
        </w:rPr>
        <w:t>D7</w:t>
      </w:r>
      <w:r w:rsidR="00F17D4E">
        <w:rPr>
          <w:rFonts w:cs="Arial"/>
        </w:rPr>
        <w:t xml:space="preserve"> presents a s</w:t>
      </w:r>
      <w:r w:rsidR="006017A9">
        <w:rPr>
          <w:rFonts w:cs="Arial"/>
        </w:rPr>
        <w:t>ummary</w:t>
      </w:r>
      <w:r w:rsidR="00EE6B85" w:rsidRPr="004A5B46">
        <w:rPr>
          <w:rFonts w:cs="Arial"/>
        </w:rPr>
        <w:t xml:space="preserve"> </w:t>
      </w:r>
      <w:r w:rsidR="00F17D4E">
        <w:rPr>
          <w:rFonts w:cs="Arial"/>
        </w:rPr>
        <w:t xml:space="preserve">of </w:t>
      </w:r>
      <w:r w:rsidR="00EE6B85" w:rsidRPr="004A5B46">
        <w:rPr>
          <w:rFonts w:cs="Arial"/>
        </w:rPr>
        <w:t xml:space="preserve">the </w:t>
      </w:r>
      <w:r w:rsidR="00EE6B85">
        <w:rPr>
          <w:rFonts w:cs="Arial"/>
        </w:rPr>
        <w:t xml:space="preserve">average </w:t>
      </w:r>
      <w:r w:rsidR="00EE6B85" w:rsidRPr="004A5B46">
        <w:rPr>
          <w:rFonts w:cs="Arial"/>
        </w:rPr>
        <w:t>supply of intermediate tenure dwellings which have either been sold or relet</w:t>
      </w:r>
      <w:r w:rsidR="00EE6B85">
        <w:rPr>
          <w:rFonts w:cs="Arial"/>
        </w:rPr>
        <w:t xml:space="preserve"> over the three year period 2008/9, 2009/10 and 2010/11</w:t>
      </w:r>
      <w:r w:rsidR="00EE6B85" w:rsidRPr="004A5B46">
        <w:rPr>
          <w:rFonts w:cs="Arial"/>
        </w:rPr>
        <w:t xml:space="preserve"> as recorded in CORE Sales data</w:t>
      </w:r>
      <w:r w:rsidR="00EE6B85">
        <w:rPr>
          <w:rFonts w:cs="Arial"/>
        </w:rPr>
        <w:t xml:space="preserve">. </w:t>
      </w:r>
    </w:p>
    <w:p w:rsidR="00EE6B85" w:rsidRDefault="00EE6B85" w:rsidP="00EE6B85">
      <w:pPr>
        <w:pStyle w:val="Maintext"/>
        <w:numPr>
          <w:ilvl w:val="0"/>
          <w:numId w:val="0"/>
        </w:numPr>
        <w:ind w:left="709"/>
        <w:rPr>
          <w:rFonts w:cs="Arial"/>
        </w:rPr>
      </w:pPr>
    </w:p>
    <w:p w:rsidR="00EE6B85" w:rsidRDefault="00C66F41" w:rsidP="00F17D4E">
      <w:pPr>
        <w:pStyle w:val="Maintext"/>
        <w:numPr>
          <w:ilvl w:val="0"/>
          <w:numId w:val="0"/>
        </w:numPr>
        <w:ind w:left="709"/>
      </w:pPr>
      <w:r>
        <w:rPr>
          <w:b/>
        </w:rPr>
        <w:t>Table D7</w:t>
      </w:r>
      <w:r w:rsidR="00EE6B85">
        <w:rPr>
          <w:b/>
        </w:rPr>
        <w:tab/>
      </w:r>
      <w:r w:rsidR="00EE6B85">
        <w:t xml:space="preserve">Intermediate tenure sales/relets </w:t>
      </w:r>
    </w:p>
    <w:tbl>
      <w:tblPr>
        <w:tblW w:w="9940" w:type="dxa"/>
        <w:tblInd w:w="94" w:type="dxa"/>
        <w:tblLook w:val="04A0" w:firstRow="1" w:lastRow="0" w:firstColumn="1" w:lastColumn="0" w:noHBand="0" w:noVBand="1"/>
      </w:tblPr>
      <w:tblGrid>
        <w:gridCol w:w="1580"/>
        <w:gridCol w:w="1880"/>
        <w:gridCol w:w="1080"/>
        <w:gridCol w:w="1080"/>
        <w:gridCol w:w="1080"/>
        <w:gridCol w:w="1080"/>
        <w:gridCol w:w="1080"/>
        <w:gridCol w:w="1080"/>
      </w:tblGrid>
      <w:tr w:rsidR="007F16E0" w:rsidRPr="007F16E0" w:rsidTr="007F16E0">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7F16E0" w:rsidRPr="007F16E0" w:rsidRDefault="007F16E0" w:rsidP="007F16E0">
            <w:pPr>
              <w:spacing w:before="0" w:after="0"/>
              <w:rPr>
                <w:rFonts w:cs="Arial"/>
                <w:b/>
                <w:bCs/>
                <w:color w:val="FFFFFF"/>
                <w:sz w:val="22"/>
                <w:szCs w:val="22"/>
                <w:lang w:eastAsia="en-GB"/>
              </w:rPr>
            </w:pPr>
            <w:r w:rsidRPr="007F16E0">
              <w:rPr>
                <w:rFonts w:cs="Arial"/>
                <w:b/>
                <w:bCs/>
                <w:color w:val="FFFFFF"/>
                <w:sz w:val="22"/>
                <w:szCs w:val="22"/>
                <w:lang w:eastAsia="en-GB"/>
              </w:rPr>
              <w:t>AgeGroup</w:t>
            </w:r>
          </w:p>
        </w:tc>
        <w:tc>
          <w:tcPr>
            <w:tcW w:w="1880" w:type="dxa"/>
            <w:tcBorders>
              <w:top w:val="single" w:sz="4" w:space="0" w:color="auto"/>
              <w:left w:val="nil"/>
              <w:bottom w:val="single" w:sz="4" w:space="0" w:color="auto"/>
              <w:right w:val="single" w:sz="4" w:space="0" w:color="auto"/>
            </w:tcBorders>
            <w:shd w:val="clear" w:color="000000" w:fill="008080"/>
            <w:noWrap/>
            <w:vAlign w:val="bottom"/>
            <w:hideMark/>
          </w:tcPr>
          <w:p w:rsidR="007F16E0" w:rsidRPr="007F16E0" w:rsidRDefault="007F16E0" w:rsidP="007F16E0">
            <w:pPr>
              <w:spacing w:before="0" w:after="0"/>
              <w:rPr>
                <w:rFonts w:cs="Arial"/>
                <w:b/>
                <w:bCs/>
                <w:color w:val="FFFFFF"/>
                <w:sz w:val="22"/>
                <w:szCs w:val="22"/>
                <w:lang w:eastAsia="en-GB"/>
              </w:rPr>
            </w:pPr>
            <w:r w:rsidRPr="007F16E0">
              <w:rPr>
                <w:rFonts w:cs="Arial"/>
                <w:b/>
                <w:bCs/>
                <w:color w:val="FFFFFF"/>
                <w:sz w:val="22"/>
                <w:szCs w:val="22"/>
                <w:lang w:eastAsia="en-GB"/>
              </w:rPr>
              <w:t>No. of bedrooms</w:t>
            </w:r>
          </w:p>
        </w:tc>
        <w:tc>
          <w:tcPr>
            <w:tcW w:w="2160" w:type="dxa"/>
            <w:gridSpan w:val="2"/>
            <w:tcBorders>
              <w:top w:val="single" w:sz="4" w:space="0" w:color="auto"/>
              <w:left w:val="nil"/>
              <w:bottom w:val="single" w:sz="4" w:space="0" w:color="auto"/>
              <w:right w:val="nil"/>
            </w:tcBorders>
            <w:shd w:val="clear" w:color="000000" w:fill="008080"/>
            <w:noWrap/>
            <w:vAlign w:val="bottom"/>
            <w:hideMark/>
          </w:tcPr>
          <w:p w:rsidR="007F16E0" w:rsidRPr="007F16E0" w:rsidRDefault="007F16E0" w:rsidP="007F16E0">
            <w:pPr>
              <w:spacing w:before="0" w:after="0"/>
              <w:rPr>
                <w:rFonts w:cs="Arial"/>
                <w:b/>
                <w:bCs/>
                <w:color w:val="FFFFFF"/>
                <w:sz w:val="22"/>
                <w:szCs w:val="22"/>
                <w:lang w:eastAsia="en-GB"/>
              </w:rPr>
            </w:pPr>
            <w:r w:rsidRPr="007F16E0">
              <w:rPr>
                <w:rFonts w:cs="Arial"/>
                <w:b/>
                <w:bCs/>
                <w:color w:val="FFFFFF"/>
                <w:sz w:val="22"/>
                <w:szCs w:val="22"/>
                <w:lang w:eastAsia="en-GB"/>
              </w:rPr>
              <w:t>Planning policy area</w:t>
            </w:r>
          </w:p>
        </w:tc>
        <w:tc>
          <w:tcPr>
            <w:tcW w:w="1080" w:type="dxa"/>
            <w:tcBorders>
              <w:top w:val="single" w:sz="4" w:space="0" w:color="auto"/>
              <w:left w:val="nil"/>
              <w:bottom w:val="single" w:sz="4" w:space="0" w:color="auto"/>
              <w:right w:val="nil"/>
            </w:tcBorders>
            <w:shd w:val="clear" w:color="000000" w:fill="008080"/>
            <w:noWrap/>
            <w:vAlign w:val="bottom"/>
            <w:hideMark/>
          </w:tcPr>
          <w:p w:rsidR="007F16E0" w:rsidRPr="007F16E0" w:rsidRDefault="007F16E0" w:rsidP="007F16E0">
            <w:pPr>
              <w:spacing w:before="0" w:after="0"/>
              <w:rPr>
                <w:rFonts w:cs="Arial"/>
                <w:color w:val="FFFFFF"/>
                <w:sz w:val="22"/>
                <w:szCs w:val="22"/>
                <w:lang w:eastAsia="en-GB"/>
              </w:rPr>
            </w:pPr>
            <w:r w:rsidRPr="007F16E0">
              <w:rPr>
                <w:rFonts w:cs="Arial"/>
                <w:color w:val="FFFFFF"/>
                <w:sz w:val="22"/>
                <w:szCs w:val="22"/>
                <w:lang w:eastAsia="en-GB"/>
              </w:rPr>
              <w:t> </w:t>
            </w:r>
          </w:p>
        </w:tc>
        <w:tc>
          <w:tcPr>
            <w:tcW w:w="1080" w:type="dxa"/>
            <w:tcBorders>
              <w:top w:val="single" w:sz="4" w:space="0" w:color="auto"/>
              <w:left w:val="nil"/>
              <w:bottom w:val="single" w:sz="4" w:space="0" w:color="auto"/>
              <w:right w:val="nil"/>
            </w:tcBorders>
            <w:shd w:val="clear" w:color="000000" w:fill="008080"/>
            <w:noWrap/>
            <w:vAlign w:val="bottom"/>
            <w:hideMark/>
          </w:tcPr>
          <w:p w:rsidR="007F16E0" w:rsidRPr="007F16E0" w:rsidRDefault="007F16E0" w:rsidP="007F16E0">
            <w:pPr>
              <w:spacing w:before="0" w:after="0"/>
              <w:rPr>
                <w:rFonts w:cs="Arial"/>
                <w:color w:val="FFFFFF"/>
                <w:sz w:val="22"/>
                <w:szCs w:val="22"/>
                <w:lang w:eastAsia="en-GB"/>
              </w:rPr>
            </w:pPr>
            <w:r w:rsidRPr="007F16E0">
              <w:rPr>
                <w:rFonts w:cs="Arial"/>
                <w:color w:val="FFFFFF"/>
                <w:sz w:val="22"/>
                <w:szCs w:val="22"/>
                <w:lang w:eastAsia="en-GB"/>
              </w:rPr>
              <w:t> </w:t>
            </w:r>
          </w:p>
        </w:tc>
        <w:tc>
          <w:tcPr>
            <w:tcW w:w="1080" w:type="dxa"/>
            <w:tcBorders>
              <w:top w:val="single" w:sz="4" w:space="0" w:color="auto"/>
              <w:left w:val="nil"/>
              <w:bottom w:val="single" w:sz="4" w:space="0" w:color="auto"/>
              <w:right w:val="nil"/>
            </w:tcBorders>
            <w:shd w:val="clear" w:color="000000" w:fill="008080"/>
            <w:noWrap/>
            <w:vAlign w:val="bottom"/>
            <w:hideMark/>
          </w:tcPr>
          <w:p w:rsidR="007F16E0" w:rsidRPr="007F16E0" w:rsidRDefault="007F16E0" w:rsidP="007F16E0">
            <w:pPr>
              <w:spacing w:before="0" w:after="0"/>
              <w:rPr>
                <w:rFonts w:cs="Arial"/>
                <w:color w:val="FFFFFF"/>
                <w:sz w:val="22"/>
                <w:szCs w:val="22"/>
                <w:lang w:eastAsia="en-GB"/>
              </w:rPr>
            </w:pPr>
            <w:r w:rsidRPr="007F16E0">
              <w:rPr>
                <w:rFonts w:cs="Arial"/>
                <w:color w:val="FFFFFF"/>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7F16E0" w:rsidRPr="007F16E0" w:rsidRDefault="007F16E0" w:rsidP="007F16E0">
            <w:pPr>
              <w:spacing w:before="0" w:after="0"/>
              <w:rPr>
                <w:rFonts w:cs="Arial"/>
                <w:color w:val="FFFFFF"/>
                <w:sz w:val="22"/>
                <w:szCs w:val="22"/>
                <w:lang w:eastAsia="en-GB"/>
              </w:rPr>
            </w:pPr>
            <w:r w:rsidRPr="007F16E0">
              <w:rPr>
                <w:rFonts w:cs="Arial"/>
                <w:color w:val="FFFFFF"/>
                <w:sz w:val="22"/>
                <w:szCs w:val="22"/>
                <w:lang w:eastAsia="en-GB"/>
              </w:rPr>
              <w:t> </w:t>
            </w:r>
          </w:p>
        </w:tc>
      </w:tr>
      <w:tr w:rsidR="007F16E0" w:rsidRPr="007F16E0" w:rsidTr="007F16E0">
        <w:trPr>
          <w:trHeight w:val="570"/>
        </w:trPr>
        <w:tc>
          <w:tcPr>
            <w:tcW w:w="1580" w:type="dxa"/>
            <w:tcBorders>
              <w:top w:val="nil"/>
              <w:left w:val="single" w:sz="4" w:space="0" w:color="auto"/>
              <w:bottom w:val="single" w:sz="4" w:space="0" w:color="auto"/>
              <w:right w:val="single" w:sz="4" w:space="0" w:color="auto"/>
            </w:tcBorders>
            <w:shd w:val="clear" w:color="000000" w:fill="008080"/>
            <w:noWrap/>
            <w:vAlign w:val="bottom"/>
            <w:hideMark/>
          </w:tcPr>
          <w:p w:rsidR="007F16E0" w:rsidRPr="007F16E0" w:rsidRDefault="007F16E0" w:rsidP="007F16E0">
            <w:pPr>
              <w:spacing w:before="0" w:after="0"/>
              <w:rPr>
                <w:rFonts w:cs="Arial"/>
                <w:color w:val="FFFFFF"/>
                <w:sz w:val="22"/>
                <w:szCs w:val="22"/>
                <w:lang w:eastAsia="en-GB"/>
              </w:rPr>
            </w:pPr>
            <w:r w:rsidRPr="007F16E0">
              <w:rPr>
                <w:rFonts w:cs="Arial"/>
                <w:color w:val="FFFFFF"/>
                <w:sz w:val="22"/>
                <w:szCs w:val="22"/>
                <w:lang w:eastAsia="en-GB"/>
              </w:rPr>
              <w:t> </w:t>
            </w:r>
          </w:p>
        </w:tc>
        <w:tc>
          <w:tcPr>
            <w:tcW w:w="1880" w:type="dxa"/>
            <w:tcBorders>
              <w:top w:val="nil"/>
              <w:left w:val="nil"/>
              <w:bottom w:val="single" w:sz="4" w:space="0" w:color="auto"/>
              <w:right w:val="single" w:sz="4" w:space="0" w:color="auto"/>
            </w:tcBorders>
            <w:shd w:val="clear" w:color="000000" w:fill="008080"/>
            <w:noWrap/>
            <w:vAlign w:val="bottom"/>
            <w:hideMark/>
          </w:tcPr>
          <w:p w:rsidR="007F16E0" w:rsidRPr="007F16E0" w:rsidRDefault="007F16E0" w:rsidP="007F16E0">
            <w:pPr>
              <w:spacing w:before="0" w:after="0"/>
              <w:rPr>
                <w:rFonts w:cs="Arial"/>
                <w:color w:val="FFFFFF"/>
                <w:sz w:val="22"/>
                <w:szCs w:val="22"/>
                <w:lang w:eastAsia="en-GB"/>
              </w:rPr>
            </w:pPr>
            <w:r w:rsidRPr="007F16E0">
              <w:rPr>
                <w:rFonts w:cs="Arial"/>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color w:val="FFFFFF"/>
                <w:sz w:val="22"/>
                <w:szCs w:val="22"/>
                <w:lang w:eastAsia="en-GB"/>
              </w:rPr>
            </w:pPr>
            <w:r w:rsidRPr="007F16E0">
              <w:rPr>
                <w:rFonts w:cs="Arial"/>
                <w:color w:val="FFFFFF"/>
                <w:sz w:val="22"/>
                <w:szCs w:val="22"/>
                <w:lang w:eastAsia="en-GB"/>
              </w:rPr>
              <w:t>North</w:t>
            </w:r>
          </w:p>
        </w:tc>
        <w:tc>
          <w:tcPr>
            <w:tcW w:w="1080" w:type="dxa"/>
            <w:tcBorders>
              <w:top w:val="nil"/>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color w:val="FFFFFF"/>
                <w:sz w:val="22"/>
                <w:szCs w:val="22"/>
                <w:lang w:eastAsia="en-GB"/>
              </w:rPr>
            </w:pPr>
            <w:r w:rsidRPr="007F16E0">
              <w:rPr>
                <w:rFonts w:cs="Arial"/>
                <w:color w:val="FFFFFF"/>
                <w:sz w:val="22"/>
                <w:szCs w:val="22"/>
                <w:lang w:eastAsia="en-GB"/>
              </w:rPr>
              <w:t>Central</w:t>
            </w:r>
          </w:p>
        </w:tc>
        <w:tc>
          <w:tcPr>
            <w:tcW w:w="1080" w:type="dxa"/>
            <w:tcBorders>
              <w:top w:val="nil"/>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color w:val="FFFFFF"/>
                <w:sz w:val="22"/>
                <w:szCs w:val="22"/>
                <w:lang w:eastAsia="en-GB"/>
              </w:rPr>
            </w:pPr>
            <w:r w:rsidRPr="007F16E0">
              <w:rPr>
                <w:rFonts w:cs="Arial"/>
                <w:color w:val="FFFFFF"/>
                <w:sz w:val="22"/>
                <w:szCs w:val="22"/>
                <w:lang w:eastAsia="en-GB"/>
              </w:rPr>
              <w:t>East</w:t>
            </w:r>
          </w:p>
        </w:tc>
        <w:tc>
          <w:tcPr>
            <w:tcW w:w="1080" w:type="dxa"/>
            <w:tcBorders>
              <w:top w:val="nil"/>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color w:val="FFFFFF"/>
                <w:sz w:val="22"/>
                <w:szCs w:val="22"/>
                <w:lang w:eastAsia="en-GB"/>
              </w:rPr>
            </w:pPr>
            <w:r w:rsidRPr="007F16E0">
              <w:rPr>
                <w:rFonts w:cs="Arial"/>
                <w:color w:val="FFFFFF"/>
                <w:sz w:val="22"/>
                <w:szCs w:val="22"/>
                <w:lang w:eastAsia="en-GB"/>
              </w:rPr>
              <w:t>The Dales</w:t>
            </w:r>
          </w:p>
        </w:tc>
        <w:tc>
          <w:tcPr>
            <w:tcW w:w="1080" w:type="dxa"/>
            <w:tcBorders>
              <w:top w:val="nil"/>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color w:val="FFFFFF"/>
                <w:sz w:val="22"/>
                <w:szCs w:val="22"/>
                <w:lang w:eastAsia="en-GB"/>
              </w:rPr>
            </w:pPr>
            <w:r w:rsidRPr="007F16E0">
              <w:rPr>
                <w:rFonts w:cs="Arial"/>
                <w:color w:val="FFFFFF"/>
                <w:sz w:val="22"/>
                <w:szCs w:val="22"/>
                <w:lang w:eastAsia="en-GB"/>
              </w:rPr>
              <w:t>South</w:t>
            </w:r>
          </w:p>
        </w:tc>
        <w:tc>
          <w:tcPr>
            <w:tcW w:w="1080" w:type="dxa"/>
            <w:tcBorders>
              <w:top w:val="nil"/>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color w:val="FFFFFF"/>
                <w:sz w:val="22"/>
                <w:szCs w:val="22"/>
                <w:lang w:eastAsia="en-GB"/>
              </w:rPr>
            </w:pPr>
            <w:r w:rsidRPr="007F16E0">
              <w:rPr>
                <w:rFonts w:cs="Arial"/>
                <w:color w:val="FFFFFF"/>
                <w:sz w:val="22"/>
                <w:szCs w:val="22"/>
                <w:lang w:eastAsia="en-GB"/>
              </w:rPr>
              <w:t>Co. Durham</w:t>
            </w:r>
          </w:p>
        </w:tc>
      </w:tr>
      <w:tr w:rsidR="007F16E0" w:rsidRPr="007F16E0" w:rsidTr="007F16E0">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General needs</w:t>
            </w:r>
          </w:p>
        </w:tc>
        <w:tc>
          <w:tcPr>
            <w:tcW w:w="18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r>
      <w:tr w:rsidR="007F16E0" w:rsidRPr="007F16E0" w:rsidTr="007F16E0">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6</w:t>
            </w:r>
          </w:p>
        </w:tc>
      </w:tr>
      <w:tr w:rsidR="007F16E0" w:rsidRPr="007F16E0" w:rsidTr="007F16E0">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4</w:t>
            </w:r>
          </w:p>
        </w:tc>
      </w:tr>
      <w:tr w:rsidR="007F16E0" w:rsidRPr="007F16E0" w:rsidTr="007F16E0">
        <w:trPr>
          <w:trHeight w:val="28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 </w:t>
            </w:r>
          </w:p>
        </w:tc>
        <w:tc>
          <w:tcPr>
            <w:tcW w:w="18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4</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r>
      <w:tr w:rsidR="007F16E0" w:rsidRPr="007F16E0" w:rsidTr="007F16E0">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Older person</w:t>
            </w:r>
          </w:p>
        </w:tc>
        <w:tc>
          <w:tcPr>
            <w:tcW w:w="18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r>
      <w:tr w:rsidR="007F16E0" w:rsidRPr="007F16E0" w:rsidTr="007F16E0">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5</w:t>
            </w:r>
          </w:p>
        </w:tc>
      </w:tr>
      <w:tr w:rsidR="007F16E0" w:rsidRPr="007F16E0" w:rsidTr="007F16E0">
        <w:trPr>
          <w:trHeight w:val="285"/>
        </w:trPr>
        <w:tc>
          <w:tcPr>
            <w:tcW w:w="1580" w:type="dxa"/>
            <w:tcBorders>
              <w:top w:val="nil"/>
              <w:left w:val="single" w:sz="4" w:space="0" w:color="auto"/>
              <w:bottom w:val="nil"/>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 </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r>
      <w:tr w:rsidR="007F16E0" w:rsidRPr="007F16E0" w:rsidTr="007F16E0">
        <w:trPr>
          <w:trHeight w:val="28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 </w:t>
            </w:r>
          </w:p>
        </w:tc>
        <w:tc>
          <w:tcPr>
            <w:tcW w:w="18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right"/>
              <w:rPr>
                <w:rFonts w:cs="Arial"/>
                <w:color w:val="000000"/>
                <w:sz w:val="22"/>
                <w:szCs w:val="22"/>
                <w:lang w:eastAsia="en-GB"/>
              </w:rPr>
            </w:pPr>
            <w:r w:rsidRPr="007F16E0">
              <w:rPr>
                <w:rFonts w:cs="Arial"/>
                <w:color w:val="000000"/>
                <w:sz w:val="22"/>
                <w:szCs w:val="22"/>
                <w:lang w:eastAsia="en-GB"/>
              </w:rPr>
              <w:t>4</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0</w:t>
            </w:r>
          </w:p>
        </w:tc>
      </w:tr>
      <w:tr w:rsidR="007F16E0" w:rsidRPr="007F16E0" w:rsidTr="007F16E0">
        <w:trPr>
          <w:trHeight w:val="28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Total</w:t>
            </w:r>
          </w:p>
        </w:tc>
        <w:tc>
          <w:tcPr>
            <w:tcW w:w="18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4</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5</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15</w:t>
            </w:r>
          </w:p>
        </w:tc>
      </w:tr>
    </w:tbl>
    <w:p w:rsidR="007F16E0" w:rsidRPr="00DC6595" w:rsidRDefault="007F16E0" w:rsidP="007F16E0">
      <w:pPr>
        <w:pStyle w:val="Maintext"/>
        <w:numPr>
          <w:ilvl w:val="0"/>
          <w:numId w:val="0"/>
        </w:numPr>
        <w:ind w:left="709" w:hanging="709"/>
        <w:rPr>
          <w:sz w:val="20"/>
          <w:szCs w:val="20"/>
        </w:rPr>
      </w:pPr>
      <w:r w:rsidRPr="00DC6595">
        <w:rPr>
          <w:sz w:val="20"/>
          <w:szCs w:val="20"/>
        </w:rPr>
        <w:t xml:space="preserve">Source: </w:t>
      </w:r>
      <w:r>
        <w:rPr>
          <w:sz w:val="20"/>
          <w:szCs w:val="20"/>
        </w:rPr>
        <w:t>RSL CORE data 2009/10 to 2011/12</w:t>
      </w:r>
    </w:p>
    <w:p w:rsidR="007F16E0" w:rsidRDefault="007F16E0" w:rsidP="00EE6B85">
      <w:pPr>
        <w:pStyle w:val="Heading3"/>
      </w:pPr>
      <w:bookmarkStart w:id="355" w:name="_Toc318323482"/>
    </w:p>
    <w:p w:rsidR="00EE6B85" w:rsidRDefault="00EE6B85" w:rsidP="00EE6B85">
      <w:pPr>
        <w:pStyle w:val="Heading3"/>
      </w:pPr>
      <w:r>
        <w:t>Summary of Stage 3</w:t>
      </w:r>
      <w:bookmarkEnd w:id="355"/>
    </w:p>
    <w:p w:rsidR="00EE6B85" w:rsidRDefault="00EE6B85" w:rsidP="00C76826">
      <w:pPr>
        <w:pStyle w:val="Maintext"/>
        <w:numPr>
          <w:ilvl w:val="1"/>
          <w:numId w:val="11"/>
        </w:numPr>
      </w:pPr>
      <w:r>
        <w:t xml:space="preserve">Overall, the model assumes an existing affordable supply of </w:t>
      </w:r>
      <w:r w:rsidR="007F16E0">
        <w:t>2,456</w:t>
      </w:r>
      <w:r>
        <w:t xml:space="preserve"> and an annual supply of </w:t>
      </w:r>
      <w:r w:rsidR="007F16E0">
        <w:t>2,267</w:t>
      </w:r>
      <w:r>
        <w:t xml:space="preserve"> social (affordable) lettings and an annual supply of </w:t>
      </w:r>
      <w:r w:rsidR="007F16E0">
        <w:t>15</w:t>
      </w:r>
      <w:r>
        <w:t xml:space="preserve"> intermediate tenure lettings/sales.</w:t>
      </w:r>
    </w:p>
    <w:p w:rsidR="00EE6B85" w:rsidRDefault="00EE6B85" w:rsidP="00EE6B85">
      <w:pPr>
        <w:pStyle w:val="Maintext"/>
        <w:numPr>
          <w:ilvl w:val="0"/>
          <w:numId w:val="0"/>
        </w:numPr>
        <w:rPr>
          <w:b/>
        </w:rPr>
      </w:pPr>
    </w:p>
    <w:p w:rsidR="00EE6B85" w:rsidRDefault="00EE6B85" w:rsidP="00EE6B85"/>
    <w:p w:rsidR="00EE6B85" w:rsidRDefault="00EE6B85" w:rsidP="00EE6B85">
      <w:pPr>
        <w:pStyle w:val="Heading2"/>
      </w:pPr>
      <w:bookmarkStart w:id="356" w:name="_Toc273698058"/>
      <w:bookmarkStart w:id="357" w:name="_Toc273708391"/>
      <w:bookmarkStart w:id="358" w:name="_Toc280272461"/>
      <w:bookmarkStart w:id="359" w:name="_Toc318323483"/>
      <w:bookmarkStart w:id="360" w:name="_Toc320271459"/>
      <w:bookmarkStart w:id="361" w:name="_Toc321323392"/>
      <w:bookmarkStart w:id="362" w:name="_Toc326077254"/>
      <w:bookmarkStart w:id="363" w:name="_Toc333507796"/>
      <w:r>
        <w:t>Stage 4:  Estimate of annual housing need</w:t>
      </w:r>
      <w:bookmarkEnd w:id="356"/>
      <w:bookmarkEnd w:id="357"/>
      <w:bookmarkEnd w:id="358"/>
      <w:bookmarkEnd w:id="359"/>
      <w:bookmarkEnd w:id="360"/>
      <w:bookmarkEnd w:id="361"/>
      <w:bookmarkEnd w:id="362"/>
      <w:bookmarkEnd w:id="363"/>
    </w:p>
    <w:p w:rsidR="00EE6B85" w:rsidRDefault="00EE6B85" w:rsidP="00EE6B85"/>
    <w:p w:rsidR="00EE6B85" w:rsidRPr="00B478C6" w:rsidRDefault="00EE6B85" w:rsidP="00EE6B85">
      <w:pPr>
        <w:pStyle w:val="Maintext"/>
        <w:numPr>
          <w:ilvl w:val="0"/>
          <w:numId w:val="0"/>
        </w:numPr>
        <w:ind w:firstLine="709"/>
        <w:rPr>
          <w:b/>
        </w:rPr>
      </w:pPr>
      <w:r>
        <w:rPr>
          <w:b/>
        </w:rPr>
        <w:t>Overview</w:t>
      </w:r>
    </w:p>
    <w:p w:rsidR="00EE6B85" w:rsidRPr="00B478C6" w:rsidRDefault="00EE6B85" w:rsidP="00C76826">
      <w:pPr>
        <w:pStyle w:val="Maintext"/>
        <w:numPr>
          <w:ilvl w:val="1"/>
          <w:numId w:val="11"/>
        </w:numPr>
        <w:rPr>
          <w:rFonts w:cs="Arial"/>
        </w:rPr>
      </w:pPr>
      <w:r>
        <w:rPr>
          <w:rFonts w:cs="Arial"/>
        </w:rPr>
        <w:t xml:space="preserve">Analysis has carefully considered how housing </w:t>
      </w:r>
      <w:r>
        <w:t>need</w:t>
      </w:r>
      <w:r>
        <w:rPr>
          <w:rFonts w:cs="Arial"/>
        </w:rPr>
        <w:t xml:space="preserve"> is arising within </w:t>
      </w:r>
      <w:r w:rsidR="00022C2C">
        <w:rPr>
          <w:rFonts w:cs="Arial"/>
        </w:rPr>
        <w:t>County Durham</w:t>
      </w:r>
      <w:r>
        <w:rPr>
          <w:rFonts w:cs="Arial"/>
        </w:rPr>
        <w:t xml:space="preserve"> by identifying existing households in need (and who cannot afford market solutions), newly-forming households in need and existing households likely to fall into need.</w:t>
      </w:r>
    </w:p>
    <w:p w:rsidR="00EE6B85" w:rsidRPr="0022004E" w:rsidRDefault="00EE6B85" w:rsidP="00C76826">
      <w:pPr>
        <w:pStyle w:val="Maintext"/>
        <w:numPr>
          <w:ilvl w:val="1"/>
          <w:numId w:val="11"/>
        </w:numPr>
        <w:rPr>
          <w:rFonts w:cs="Arial"/>
        </w:rPr>
      </w:pPr>
      <w:r>
        <w:rPr>
          <w:rFonts w:cs="Arial"/>
        </w:rPr>
        <w:t xml:space="preserve">This has been reconciled with the supply of affordable dwellings which considers location, size and designation (i.e. for general needs or older person).  Based on the CLG modelling process, analysis suggests that </w:t>
      </w:r>
      <w:r w:rsidRPr="0022004E">
        <w:rPr>
          <w:rFonts w:cs="Arial"/>
        </w:rPr>
        <w:t xml:space="preserve">there is an overall annual net shortfall of </w:t>
      </w:r>
      <w:r w:rsidR="007F16E0">
        <w:rPr>
          <w:rFonts w:cs="Arial"/>
          <w:b/>
        </w:rPr>
        <w:t>67</w:t>
      </w:r>
      <w:r w:rsidR="00A909F6">
        <w:rPr>
          <w:rFonts w:cs="Arial"/>
          <w:b/>
        </w:rPr>
        <w:t>4</w:t>
      </w:r>
      <w:r w:rsidRPr="0022004E">
        <w:rPr>
          <w:rFonts w:cs="Arial"/>
        </w:rPr>
        <w:t xml:space="preserve"> dwellings. If expected newbuild is also taken into account (which </w:t>
      </w:r>
      <w:r w:rsidR="00A81EB2">
        <w:rPr>
          <w:rFonts w:cs="Arial"/>
        </w:rPr>
        <w:t xml:space="preserve">is expected to be around 335 units each year across County Durham, </w:t>
      </w:r>
      <w:r w:rsidRPr="0022004E">
        <w:rPr>
          <w:rFonts w:cs="Arial"/>
        </w:rPr>
        <w:t xml:space="preserve">the net impact is to </w:t>
      </w:r>
      <w:r w:rsidR="00582920" w:rsidRPr="0022004E">
        <w:rPr>
          <w:rFonts w:cs="Arial"/>
        </w:rPr>
        <w:t>reduce</w:t>
      </w:r>
      <w:r w:rsidRPr="0022004E">
        <w:rPr>
          <w:rFonts w:cs="Arial"/>
        </w:rPr>
        <w:t xml:space="preserve"> the overall annual net shortfall to </w:t>
      </w:r>
      <w:r w:rsidR="007F16E0">
        <w:rPr>
          <w:rFonts w:cs="Arial"/>
        </w:rPr>
        <w:t>608.</w:t>
      </w:r>
    </w:p>
    <w:p w:rsidR="00EE6B85" w:rsidRPr="00E149A5" w:rsidRDefault="00EE6B85" w:rsidP="00C76826">
      <w:pPr>
        <w:pStyle w:val="Maintext"/>
        <w:numPr>
          <w:ilvl w:val="1"/>
          <w:numId w:val="11"/>
        </w:numPr>
        <w:rPr>
          <w:bCs/>
        </w:rPr>
      </w:pPr>
      <w:r w:rsidRPr="00E149A5">
        <w:rPr>
          <w:bCs/>
        </w:rPr>
        <w:t xml:space="preserve">For critical stages of the needs assessment model (Step 1.1, Step 1.4, Step 2.4 and Step 3.8), information is broken down </w:t>
      </w:r>
      <w:r>
        <w:t>by</w:t>
      </w:r>
      <w:r w:rsidRPr="00E149A5">
        <w:rPr>
          <w:bCs/>
        </w:rPr>
        <w:t xml:space="preserve"> </w:t>
      </w:r>
      <w:r w:rsidR="00B440F0">
        <w:rPr>
          <w:bCs/>
        </w:rPr>
        <w:t>delivery area</w:t>
      </w:r>
      <w:r>
        <w:rPr>
          <w:bCs/>
        </w:rPr>
        <w:t xml:space="preserve">, </w:t>
      </w:r>
      <w:r w:rsidRPr="00E149A5">
        <w:rPr>
          <w:bCs/>
        </w:rPr>
        <w:t xml:space="preserve">designation (general needs and older) and property size. This goes beyond the requirement of the SHMA guidance but allows a detailed assessment of the overall housing </w:t>
      </w:r>
      <w:r>
        <w:t>requirements</w:t>
      </w:r>
      <w:r w:rsidRPr="00E149A5">
        <w:rPr>
          <w:bCs/>
        </w:rPr>
        <w:t xml:space="preserve"> of households in need and provides clear affordable requirement information.  In turn, this can help identify where there are shortfalls and sufficient capacity of affordable housing, and help to shape policy responses.</w:t>
      </w:r>
    </w:p>
    <w:p w:rsidR="00EE6B85" w:rsidRDefault="00EE6B85" w:rsidP="00C76826">
      <w:pPr>
        <w:pStyle w:val="Maintext"/>
        <w:numPr>
          <w:ilvl w:val="1"/>
          <w:numId w:val="11"/>
        </w:numPr>
        <w:rPr>
          <w:rFonts w:cs="Arial"/>
        </w:rPr>
      </w:pPr>
      <w:r>
        <w:rPr>
          <w:rFonts w:cs="Arial"/>
        </w:rPr>
        <w:t xml:space="preserve">Stage 4 brings together the individual components of the needs assessment to establish the total net annual shortfall. </w:t>
      </w:r>
    </w:p>
    <w:p w:rsidR="00EE6B85" w:rsidRDefault="00EE6B85" w:rsidP="00C76826">
      <w:pPr>
        <w:pStyle w:val="Maintext"/>
        <w:numPr>
          <w:ilvl w:val="1"/>
          <w:numId w:val="11"/>
        </w:numPr>
        <w:rPr>
          <w:rFonts w:cs="Arial"/>
        </w:rPr>
      </w:pPr>
      <w:r>
        <w:rPr>
          <w:rFonts w:cs="Arial"/>
        </w:rPr>
        <w:t>Step 4.1 is the total backlog need which is derived from the number of households in Step 1.4 minus total affordable housing stock available (Step 3.5)</w:t>
      </w:r>
    </w:p>
    <w:p w:rsidR="00EE6B85" w:rsidRDefault="00EE6B85" w:rsidP="00C76826">
      <w:pPr>
        <w:pStyle w:val="Maintext"/>
        <w:numPr>
          <w:ilvl w:val="1"/>
          <w:numId w:val="11"/>
        </w:numPr>
        <w:rPr>
          <w:rFonts w:cs="Arial"/>
        </w:rPr>
      </w:pPr>
      <w:r>
        <w:rPr>
          <w:rFonts w:cs="Arial"/>
        </w:rPr>
        <w:t>Step 4.2 is a quota to reduce the total backlog need which is assumed to be 20% each year (which is a standard modelling assumption</w:t>
      </w:r>
      <w:r w:rsidR="00632FF2">
        <w:rPr>
          <w:rFonts w:cs="Arial"/>
        </w:rPr>
        <w:t xml:space="preserve"> suggested by the CLG guidance).</w:t>
      </w:r>
    </w:p>
    <w:p w:rsidR="00EE6B85" w:rsidRDefault="00EE6B85" w:rsidP="00C76826">
      <w:pPr>
        <w:pStyle w:val="Maintext"/>
        <w:numPr>
          <w:ilvl w:val="1"/>
          <w:numId w:val="11"/>
        </w:numPr>
        <w:rPr>
          <w:rFonts w:cs="Arial"/>
        </w:rPr>
      </w:pPr>
      <w:r>
        <w:rPr>
          <w:rFonts w:cs="Arial"/>
        </w:rPr>
        <w:t>Step 4.3 is the annual backlog reduction based on step 4.2.</w:t>
      </w:r>
    </w:p>
    <w:p w:rsidR="00EE6B85" w:rsidRDefault="00EE6B85" w:rsidP="00C76826">
      <w:pPr>
        <w:pStyle w:val="Maintext"/>
        <w:numPr>
          <w:ilvl w:val="1"/>
          <w:numId w:val="11"/>
        </w:numPr>
        <w:rPr>
          <w:rFonts w:cs="Arial"/>
        </w:rPr>
      </w:pPr>
      <w:r>
        <w:rPr>
          <w:rFonts w:cs="Arial"/>
        </w:rPr>
        <w:t>Step 4.4 is a summary of newly-arising need from both newly forming households and existing households falling into need</w:t>
      </w:r>
    </w:p>
    <w:p w:rsidR="00EE6B85" w:rsidRDefault="00EE6B85" w:rsidP="00C76826">
      <w:pPr>
        <w:pStyle w:val="Maintext"/>
        <w:numPr>
          <w:ilvl w:val="1"/>
          <w:numId w:val="11"/>
        </w:numPr>
        <w:rPr>
          <w:rFonts w:cs="Arial"/>
        </w:rPr>
      </w:pPr>
      <w:r>
        <w:rPr>
          <w:rFonts w:cs="Arial"/>
        </w:rPr>
        <w:t>Step 4.5 is the total annual affordable need based on steps 4.3 and 4.5.</w:t>
      </w:r>
    </w:p>
    <w:p w:rsidR="00EE6B85" w:rsidRDefault="00EE6B85" w:rsidP="00C76826">
      <w:pPr>
        <w:pStyle w:val="Maintext"/>
        <w:numPr>
          <w:ilvl w:val="1"/>
          <w:numId w:val="11"/>
        </w:numPr>
        <w:rPr>
          <w:rFonts w:cs="Arial"/>
        </w:rPr>
      </w:pPr>
      <w:r>
        <w:rPr>
          <w:rFonts w:cs="Arial"/>
        </w:rPr>
        <w:t>Step 4.6 is the annual social rented capacity based on step 3.8.</w:t>
      </w:r>
    </w:p>
    <w:p w:rsidR="00EE6B85" w:rsidRDefault="00EE6B85" w:rsidP="00EE6B85">
      <w:pPr>
        <w:pStyle w:val="Maintext"/>
        <w:numPr>
          <w:ilvl w:val="0"/>
          <w:numId w:val="0"/>
        </w:numPr>
        <w:ind w:left="709" w:hanging="709"/>
        <w:rPr>
          <w:rFonts w:cs="Arial"/>
        </w:rPr>
      </w:pPr>
    </w:p>
    <w:p w:rsidR="00EE6B85" w:rsidRDefault="00EE6B85" w:rsidP="00EE6B85">
      <w:pPr>
        <w:pStyle w:val="Maintext"/>
        <w:numPr>
          <w:ilvl w:val="0"/>
          <w:numId w:val="0"/>
        </w:numPr>
        <w:ind w:left="709" w:hanging="709"/>
        <w:rPr>
          <w:rFonts w:cs="Arial"/>
        </w:rPr>
      </w:pPr>
    </w:p>
    <w:p w:rsidR="00EE6B85" w:rsidRPr="00B478C6" w:rsidRDefault="00EE6B85" w:rsidP="00EE6B85">
      <w:pPr>
        <w:pStyle w:val="Maintext"/>
        <w:numPr>
          <w:ilvl w:val="0"/>
          <w:numId w:val="0"/>
        </w:numPr>
        <w:ind w:firstLine="709"/>
        <w:rPr>
          <w:b/>
        </w:rPr>
      </w:pPr>
      <w:r>
        <w:rPr>
          <w:b/>
        </w:rPr>
        <w:t>Total net shortfall</w:t>
      </w:r>
    </w:p>
    <w:p w:rsidR="00F17D4E" w:rsidRPr="00F17D4E" w:rsidRDefault="00C66F41" w:rsidP="00C76826">
      <w:pPr>
        <w:pStyle w:val="Maintext"/>
        <w:numPr>
          <w:ilvl w:val="1"/>
          <w:numId w:val="11"/>
        </w:numPr>
      </w:pPr>
      <w:r>
        <w:t>Table D8</w:t>
      </w:r>
      <w:r w:rsidR="00EE6B85">
        <w:t xml:space="preserve"> summarises the overall annual net affordable housing requirements for </w:t>
      </w:r>
      <w:r w:rsidR="00022C2C">
        <w:t>County Durham</w:t>
      </w:r>
      <w:r w:rsidR="00F17D4E">
        <w:t xml:space="preserve"> by </w:t>
      </w:r>
      <w:r w:rsidR="00B440F0">
        <w:t>delivery area</w:t>
      </w:r>
      <w:r w:rsidR="00EE6B85">
        <w:t xml:space="preserve">, designation (general needs and older person) and property size. </w:t>
      </w:r>
      <w:r w:rsidR="00537291">
        <w:t>Table D10</w:t>
      </w:r>
      <w:r w:rsidR="00F17D4E">
        <w:t xml:space="preserve"> summaries the same data by </w:t>
      </w:r>
      <w:r w:rsidR="0083534C">
        <w:t>survey area</w:t>
      </w:r>
      <w:r w:rsidR="00F17D4E">
        <w:t xml:space="preserve">. </w:t>
      </w:r>
      <w:r w:rsidR="00EE6B85">
        <w:t>Overall, analysis suggests a shortfall in affordable housing</w:t>
      </w:r>
      <w:r w:rsidR="00F17D4E">
        <w:t xml:space="preserve"> across County Durham.</w:t>
      </w:r>
    </w:p>
    <w:p w:rsidR="00A81EB2" w:rsidRDefault="00A81EB2" w:rsidP="00F17D4E">
      <w:pPr>
        <w:pStyle w:val="Maintext"/>
        <w:numPr>
          <w:ilvl w:val="0"/>
          <w:numId w:val="0"/>
        </w:numPr>
        <w:ind w:left="2160" w:hanging="1451"/>
        <w:rPr>
          <w:rFonts w:cs="Arial"/>
          <w:b/>
        </w:rPr>
      </w:pPr>
    </w:p>
    <w:p w:rsidR="00EE6B85" w:rsidRDefault="00EE6B85" w:rsidP="00F17D4E">
      <w:pPr>
        <w:pStyle w:val="Maintext"/>
        <w:numPr>
          <w:ilvl w:val="0"/>
          <w:numId w:val="0"/>
        </w:numPr>
        <w:ind w:left="2160" w:hanging="1451"/>
      </w:pPr>
      <w:r>
        <w:rPr>
          <w:rFonts w:cs="Arial"/>
          <w:b/>
        </w:rPr>
        <w:t>Table D</w:t>
      </w:r>
      <w:r w:rsidR="00C66F41">
        <w:rPr>
          <w:rFonts w:cs="Arial"/>
          <w:b/>
        </w:rPr>
        <w:t>8</w:t>
      </w:r>
      <w:r>
        <w:rPr>
          <w:rFonts w:cs="Arial"/>
        </w:rPr>
        <w:tab/>
        <w:t xml:space="preserve">Net affordable housing requirements – annual requirements </w:t>
      </w:r>
      <w:r w:rsidR="00F07312">
        <w:t>2012/13 to 2016/17</w:t>
      </w:r>
    </w:p>
    <w:tbl>
      <w:tblPr>
        <w:tblW w:w="8260" w:type="dxa"/>
        <w:tblInd w:w="94" w:type="dxa"/>
        <w:tblLook w:val="04A0" w:firstRow="1" w:lastRow="0" w:firstColumn="1" w:lastColumn="0" w:noHBand="0" w:noVBand="1"/>
      </w:tblPr>
      <w:tblGrid>
        <w:gridCol w:w="3360"/>
        <w:gridCol w:w="1080"/>
        <w:gridCol w:w="1080"/>
        <w:gridCol w:w="1660"/>
        <w:gridCol w:w="1080"/>
      </w:tblGrid>
      <w:tr w:rsidR="00A909F6" w:rsidRPr="00A909F6" w:rsidTr="00A909F6">
        <w:trPr>
          <w:trHeight w:val="600"/>
        </w:trPr>
        <w:tc>
          <w:tcPr>
            <w:tcW w:w="3360" w:type="dxa"/>
            <w:tcBorders>
              <w:top w:val="single" w:sz="4" w:space="0" w:color="auto"/>
              <w:left w:val="single" w:sz="4" w:space="0" w:color="auto"/>
              <w:bottom w:val="nil"/>
              <w:right w:val="single" w:sz="4" w:space="0" w:color="auto"/>
            </w:tcBorders>
            <w:shd w:val="clear" w:color="000000" w:fill="008080"/>
            <w:noWrap/>
            <w:vAlign w:val="bottom"/>
            <w:hideMark/>
          </w:tcPr>
          <w:p w:rsidR="00A909F6" w:rsidRPr="00A909F6" w:rsidRDefault="00A909F6" w:rsidP="00A909F6">
            <w:pPr>
              <w:spacing w:before="0" w:after="0"/>
              <w:rPr>
                <w:rFonts w:cs="Arial"/>
                <w:b/>
                <w:bCs/>
                <w:color w:val="FFFFFF"/>
                <w:sz w:val="22"/>
                <w:szCs w:val="22"/>
                <w:lang w:eastAsia="en-GB"/>
              </w:rPr>
            </w:pPr>
            <w:r w:rsidRPr="00A909F6">
              <w:rPr>
                <w:rFonts w:cs="Arial"/>
                <w:b/>
                <w:bCs/>
                <w:color w:val="FFFFFF"/>
                <w:sz w:val="22"/>
                <w:szCs w:val="22"/>
                <w:lang w:eastAsia="en-GB"/>
              </w:rPr>
              <w:t>Delivery area</w:t>
            </w:r>
          </w:p>
        </w:tc>
        <w:tc>
          <w:tcPr>
            <w:tcW w:w="2160" w:type="dxa"/>
            <w:gridSpan w:val="2"/>
            <w:tcBorders>
              <w:top w:val="single" w:sz="4" w:space="0" w:color="auto"/>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General</w:t>
            </w:r>
          </w:p>
        </w:tc>
        <w:tc>
          <w:tcPr>
            <w:tcW w:w="1660" w:type="dxa"/>
            <w:tcBorders>
              <w:top w:val="single" w:sz="4" w:space="0" w:color="auto"/>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Older Person</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TOTAL</w:t>
            </w:r>
          </w:p>
        </w:tc>
      </w:tr>
      <w:tr w:rsidR="00A909F6" w:rsidRPr="00A909F6" w:rsidTr="00A909F6">
        <w:trPr>
          <w:trHeight w:val="600"/>
        </w:trPr>
        <w:tc>
          <w:tcPr>
            <w:tcW w:w="3360" w:type="dxa"/>
            <w:tcBorders>
              <w:top w:val="nil"/>
              <w:left w:val="single" w:sz="4" w:space="0" w:color="auto"/>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rPr>
                <w:rFonts w:cs="Arial"/>
                <w:b/>
                <w:bCs/>
                <w:color w:val="FFFFFF"/>
                <w:sz w:val="22"/>
                <w:szCs w:val="22"/>
                <w:lang w:eastAsia="en-GB"/>
              </w:rPr>
            </w:pPr>
            <w:r w:rsidRPr="00A909F6">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Smaller 1/2 Bed</w:t>
            </w:r>
          </w:p>
        </w:tc>
        <w:tc>
          <w:tcPr>
            <w:tcW w:w="1080" w:type="dxa"/>
            <w:tcBorders>
              <w:top w:val="nil"/>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3+Bed</w:t>
            </w:r>
          </w:p>
        </w:tc>
        <w:tc>
          <w:tcPr>
            <w:tcW w:w="1660" w:type="dxa"/>
            <w:tcBorders>
              <w:top w:val="nil"/>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 </w:t>
            </w:r>
          </w:p>
        </w:tc>
        <w:tc>
          <w:tcPr>
            <w:tcW w:w="1080" w:type="dxa"/>
            <w:tcBorders>
              <w:top w:val="nil"/>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 </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North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72</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-27</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110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156</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Central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68</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31</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90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189</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East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70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-26</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108</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152</w:t>
            </w:r>
          </w:p>
        </w:tc>
      </w:tr>
      <w:tr w:rsidR="00A909F6" w:rsidRPr="00A909F6" w:rsidTr="00A909F6">
        <w:trPr>
          <w:trHeight w:val="28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The Dales and South Durham</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-33</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210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177</w:t>
            </w:r>
          </w:p>
        </w:tc>
      </w:tr>
      <w:tr w:rsidR="00A909F6" w:rsidRPr="00A909F6" w:rsidTr="00A909F6">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Total</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210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-54</w:t>
            </w:r>
          </w:p>
        </w:tc>
        <w:tc>
          <w:tcPr>
            <w:tcW w:w="166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519</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b/>
                <w:bCs/>
                <w:color w:val="000000"/>
                <w:sz w:val="22"/>
                <w:szCs w:val="22"/>
                <w:lang w:eastAsia="en-GB"/>
              </w:rPr>
            </w:pPr>
            <w:r w:rsidRPr="00A909F6">
              <w:rPr>
                <w:rFonts w:cs="Arial"/>
                <w:b/>
                <w:bCs/>
                <w:color w:val="000000"/>
                <w:sz w:val="22"/>
                <w:szCs w:val="22"/>
                <w:lang w:eastAsia="en-GB"/>
              </w:rPr>
              <w:t>674</w:t>
            </w:r>
          </w:p>
        </w:tc>
      </w:tr>
    </w:tbl>
    <w:p w:rsidR="002C4CF9" w:rsidRDefault="00F17D4E" w:rsidP="007F16E0">
      <w:pPr>
        <w:rPr>
          <w:sz w:val="20"/>
          <w:szCs w:val="20"/>
        </w:rPr>
      </w:pPr>
      <w:r>
        <w:rPr>
          <w:sz w:val="20"/>
          <w:szCs w:val="20"/>
        </w:rPr>
        <w:t>Sources: 2012</w:t>
      </w:r>
      <w:r w:rsidR="002C4CF9" w:rsidRPr="004F6372">
        <w:rPr>
          <w:sz w:val="20"/>
          <w:szCs w:val="20"/>
        </w:rPr>
        <w:t xml:space="preserve"> Household Survey; RSL CORE Lettings and Sales</w:t>
      </w:r>
    </w:p>
    <w:p w:rsidR="002C4CF9" w:rsidRDefault="002C4CF9" w:rsidP="007F16E0">
      <w:pPr>
        <w:rPr>
          <w:sz w:val="20"/>
          <w:szCs w:val="20"/>
        </w:rPr>
      </w:pPr>
      <w:r>
        <w:rPr>
          <w:sz w:val="20"/>
          <w:szCs w:val="20"/>
        </w:rPr>
        <w:t>NOTE sum rows/columns may appear not add up correctly due to rounding</w:t>
      </w:r>
    </w:p>
    <w:p w:rsidR="002C4CF9" w:rsidRDefault="002C4CF9" w:rsidP="00EE6B85">
      <w:pPr>
        <w:pStyle w:val="Maintext"/>
        <w:numPr>
          <w:ilvl w:val="0"/>
          <w:numId w:val="0"/>
        </w:numPr>
        <w:ind w:left="2160" w:hanging="1451"/>
        <w:rPr>
          <w:rFonts w:cs="Arial"/>
        </w:rPr>
      </w:pPr>
    </w:p>
    <w:p w:rsidR="00EE6B85" w:rsidRDefault="00EE6B85" w:rsidP="00EE6B85">
      <w:pPr>
        <w:pStyle w:val="Heading2"/>
        <w:ind w:left="0"/>
      </w:pPr>
      <w:bookmarkStart w:id="364" w:name="_Toc273698059"/>
      <w:bookmarkStart w:id="365" w:name="_Toc273708392"/>
      <w:bookmarkStart w:id="366" w:name="_Toc280272462"/>
      <w:r>
        <w:rPr>
          <w:rFonts w:cs="Times New Roman"/>
          <w:b w:val="0"/>
          <w:bCs w:val="0"/>
          <w:iCs w:val="0"/>
          <w:color w:val="FF0000"/>
          <w:sz w:val="24"/>
          <w:szCs w:val="24"/>
        </w:rPr>
        <w:tab/>
      </w:r>
      <w:bookmarkStart w:id="367" w:name="_Toc318323484"/>
      <w:bookmarkStart w:id="368" w:name="_Toc320271460"/>
      <w:bookmarkStart w:id="369" w:name="_Toc321323393"/>
      <w:bookmarkStart w:id="370" w:name="_Toc326077255"/>
      <w:bookmarkStart w:id="371" w:name="_Toc333507797"/>
      <w:r>
        <w:t>Tenure and dwelling type profile of affordable dwellings</w:t>
      </w:r>
      <w:bookmarkEnd w:id="364"/>
      <w:bookmarkEnd w:id="365"/>
      <w:bookmarkEnd w:id="366"/>
      <w:bookmarkEnd w:id="367"/>
      <w:bookmarkEnd w:id="368"/>
      <w:bookmarkEnd w:id="369"/>
      <w:bookmarkEnd w:id="370"/>
      <w:bookmarkEnd w:id="371"/>
    </w:p>
    <w:p w:rsidR="00EE6B85" w:rsidRDefault="00EE6B85" w:rsidP="00C76826">
      <w:pPr>
        <w:pStyle w:val="Maintext"/>
        <w:numPr>
          <w:ilvl w:val="1"/>
          <w:numId w:val="11"/>
        </w:numPr>
        <w:rPr>
          <w:rFonts w:cs="Arial"/>
        </w:rPr>
      </w:pPr>
      <w:r>
        <w:rPr>
          <w:rFonts w:cs="Arial"/>
        </w:rPr>
        <w:t xml:space="preserve">Affordable housing includes social rented, affordable rented and intermediate tenure dwellings.  New </w:t>
      </w:r>
      <w:r w:rsidR="00E0599C">
        <w:rPr>
          <w:rFonts w:cs="Arial"/>
        </w:rPr>
        <w:t xml:space="preserve">affordable </w:t>
      </w:r>
      <w:r>
        <w:rPr>
          <w:rFonts w:cs="Arial"/>
        </w:rPr>
        <w:t>development</w:t>
      </w:r>
      <w:r w:rsidR="00E0599C">
        <w:rPr>
          <w:rFonts w:cs="Arial"/>
        </w:rPr>
        <w:t xml:space="preserve"> by Registered Providers</w:t>
      </w:r>
      <w:r>
        <w:rPr>
          <w:rFonts w:cs="Arial"/>
        </w:rPr>
        <w:t xml:space="preserve"> will be affordable rented (with rents of up to 80% open market rent) and in order to recommend an appropriate split between social rented and intermediate tenure, the stated preferences of households and the relative affordability of intermediate tenure products is now reviewed. </w:t>
      </w:r>
    </w:p>
    <w:p w:rsidR="00EE6B85" w:rsidRDefault="00EE6B85" w:rsidP="00EE6B85">
      <w:pPr>
        <w:pStyle w:val="Maintext"/>
        <w:numPr>
          <w:ilvl w:val="0"/>
          <w:numId w:val="0"/>
        </w:numPr>
        <w:rPr>
          <w:rFonts w:cs="Arial"/>
          <w:b/>
        </w:rPr>
      </w:pPr>
    </w:p>
    <w:p w:rsidR="00EE6B85" w:rsidRDefault="00EE6B85" w:rsidP="00EE6B85">
      <w:pPr>
        <w:pStyle w:val="Heading4"/>
      </w:pPr>
      <w:r>
        <w:t>Household preferences</w:t>
      </w:r>
    </w:p>
    <w:p w:rsidR="00EE6B85" w:rsidRDefault="00EE6B85" w:rsidP="00C76826">
      <w:pPr>
        <w:pStyle w:val="Maintext"/>
        <w:numPr>
          <w:ilvl w:val="1"/>
          <w:numId w:val="11"/>
        </w:numPr>
      </w:pPr>
      <w:r>
        <w:rPr>
          <w:rFonts w:cs="Arial"/>
        </w:rPr>
        <w:t>Households were asked to state tenure preferences.</w:t>
      </w:r>
      <w:r>
        <w:rPr>
          <w:rFonts w:cs="Arial"/>
          <w:b/>
        </w:rPr>
        <w:t xml:space="preserve">  </w:t>
      </w:r>
      <w:r w:rsidR="00537291">
        <w:t xml:space="preserve">Table </w:t>
      </w:r>
      <w:r w:rsidR="00C66F41">
        <w:t xml:space="preserve">D9 </w:t>
      </w:r>
      <w:r>
        <w:t xml:space="preserve"> summarises the preferences of both existing households in need and newly forming households by tenure.  Overall, this g</w:t>
      </w:r>
      <w:r w:rsidR="00F17D4E">
        <w:t>iv</w:t>
      </w:r>
      <w:r w:rsidR="007F16E0">
        <w:t>es a tenure split of around 76.7</w:t>
      </w:r>
      <w:r>
        <w:t>%</w:t>
      </w:r>
      <w:r w:rsidR="00F17D4E">
        <w:t xml:space="preserve"> s</w:t>
      </w:r>
      <w:r w:rsidR="007F16E0">
        <w:t>ocial/affordable rented and 23.3</w:t>
      </w:r>
      <w:r>
        <w:t>% intermed</w:t>
      </w:r>
      <w:r w:rsidR="00F17D4E">
        <w:t>iate tenure across County Durham.</w:t>
      </w:r>
    </w:p>
    <w:p w:rsidR="00EE6B85" w:rsidRDefault="00EE6B85" w:rsidP="00EE6B85">
      <w:pPr>
        <w:ind w:firstLine="709"/>
        <w:rPr>
          <w:b/>
        </w:rPr>
      </w:pPr>
    </w:p>
    <w:p w:rsidR="00F17D4E" w:rsidRDefault="00537291" w:rsidP="00F17D4E">
      <w:pPr>
        <w:ind w:firstLine="709"/>
      </w:pPr>
      <w:r>
        <w:rPr>
          <w:b/>
        </w:rPr>
        <w:t>Table D</w:t>
      </w:r>
      <w:r w:rsidR="00C66F41">
        <w:rPr>
          <w:b/>
        </w:rPr>
        <w:t>9</w:t>
      </w:r>
      <w:r w:rsidR="00F17D4E">
        <w:tab/>
        <w:t xml:space="preserve">Affordable tenure preferences </w:t>
      </w:r>
    </w:p>
    <w:tbl>
      <w:tblPr>
        <w:tblW w:w="8140" w:type="dxa"/>
        <w:tblInd w:w="720" w:type="dxa"/>
        <w:tblLook w:val="04A0" w:firstRow="1" w:lastRow="0" w:firstColumn="1" w:lastColumn="0" w:noHBand="0" w:noVBand="1"/>
      </w:tblPr>
      <w:tblGrid>
        <w:gridCol w:w="2980"/>
        <w:gridCol w:w="2300"/>
        <w:gridCol w:w="1780"/>
        <w:gridCol w:w="1080"/>
      </w:tblGrid>
      <w:tr w:rsidR="007F16E0" w:rsidRPr="007F16E0" w:rsidTr="007F16E0">
        <w:trPr>
          <w:trHeight w:val="915"/>
        </w:trPr>
        <w:tc>
          <w:tcPr>
            <w:tcW w:w="29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7F16E0" w:rsidRPr="007F16E0" w:rsidRDefault="007F16E0" w:rsidP="007F16E0">
            <w:pPr>
              <w:spacing w:before="0" w:after="0"/>
              <w:rPr>
                <w:rFonts w:cs="Arial"/>
                <w:b/>
                <w:bCs/>
                <w:color w:val="FFFFFF"/>
                <w:sz w:val="22"/>
                <w:szCs w:val="22"/>
                <w:lang w:eastAsia="en-GB"/>
              </w:rPr>
            </w:pPr>
            <w:r w:rsidRPr="007F16E0">
              <w:rPr>
                <w:rFonts w:cs="Arial"/>
                <w:b/>
                <w:bCs/>
                <w:color w:val="FFFFFF"/>
                <w:sz w:val="22"/>
                <w:szCs w:val="22"/>
                <w:lang w:eastAsia="en-GB"/>
              </w:rPr>
              <w:t>Tenure</w:t>
            </w:r>
          </w:p>
        </w:tc>
        <w:tc>
          <w:tcPr>
            <w:tcW w:w="2300" w:type="dxa"/>
            <w:tcBorders>
              <w:top w:val="single" w:sz="4" w:space="0" w:color="auto"/>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b/>
                <w:bCs/>
                <w:color w:val="FFFFFF"/>
                <w:sz w:val="22"/>
                <w:szCs w:val="22"/>
                <w:lang w:eastAsia="en-GB"/>
              </w:rPr>
            </w:pPr>
            <w:r w:rsidRPr="007F16E0">
              <w:rPr>
                <w:rFonts w:cs="Arial"/>
                <w:b/>
                <w:bCs/>
                <w:color w:val="FFFFFF"/>
                <w:sz w:val="22"/>
                <w:szCs w:val="22"/>
                <w:lang w:eastAsia="en-GB"/>
              </w:rPr>
              <w:t>Existing households in need</w:t>
            </w:r>
          </w:p>
        </w:tc>
        <w:tc>
          <w:tcPr>
            <w:tcW w:w="1780" w:type="dxa"/>
            <w:tcBorders>
              <w:top w:val="single" w:sz="4" w:space="0" w:color="auto"/>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b/>
                <w:bCs/>
                <w:color w:val="FFFFFF"/>
                <w:sz w:val="22"/>
                <w:szCs w:val="22"/>
                <w:lang w:eastAsia="en-GB"/>
              </w:rPr>
            </w:pPr>
            <w:r w:rsidRPr="007F16E0">
              <w:rPr>
                <w:rFonts w:cs="Arial"/>
                <w:b/>
                <w:bCs/>
                <w:color w:val="FFFFFF"/>
                <w:sz w:val="22"/>
                <w:szCs w:val="22"/>
                <w:lang w:eastAsia="en-GB"/>
              </w:rPr>
              <w:t xml:space="preserve">Newly-forming households </w:t>
            </w:r>
          </w:p>
        </w:tc>
        <w:tc>
          <w:tcPr>
            <w:tcW w:w="1080" w:type="dxa"/>
            <w:tcBorders>
              <w:top w:val="single" w:sz="4" w:space="0" w:color="auto"/>
              <w:left w:val="nil"/>
              <w:bottom w:val="single" w:sz="4" w:space="0" w:color="auto"/>
              <w:right w:val="single" w:sz="4" w:space="0" w:color="auto"/>
            </w:tcBorders>
            <w:shd w:val="clear" w:color="000000" w:fill="008080"/>
            <w:vAlign w:val="bottom"/>
            <w:hideMark/>
          </w:tcPr>
          <w:p w:rsidR="007F16E0" w:rsidRPr="007F16E0" w:rsidRDefault="007F16E0" w:rsidP="007F16E0">
            <w:pPr>
              <w:spacing w:before="0" w:after="0"/>
              <w:jc w:val="center"/>
              <w:rPr>
                <w:rFonts w:cs="Arial"/>
                <w:b/>
                <w:bCs/>
                <w:color w:val="FFFFFF"/>
                <w:sz w:val="22"/>
                <w:szCs w:val="22"/>
                <w:lang w:eastAsia="en-GB"/>
              </w:rPr>
            </w:pPr>
            <w:r w:rsidRPr="007F16E0">
              <w:rPr>
                <w:rFonts w:cs="Arial"/>
                <w:b/>
                <w:bCs/>
                <w:color w:val="FFFFFF"/>
                <w:sz w:val="22"/>
                <w:szCs w:val="22"/>
                <w:lang w:eastAsia="en-GB"/>
              </w:rPr>
              <w:t>Total</w:t>
            </w:r>
          </w:p>
        </w:tc>
      </w:tr>
      <w:tr w:rsidR="007F16E0" w:rsidRPr="007F16E0" w:rsidTr="007F16E0">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Affordable (Social) Rent</w:t>
            </w:r>
          </w:p>
        </w:tc>
        <w:tc>
          <w:tcPr>
            <w:tcW w:w="230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82.6</w:t>
            </w:r>
          </w:p>
        </w:tc>
        <w:tc>
          <w:tcPr>
            <w:tcW w:w="17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72.2</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76.7</w:t>
            </w:r>
          </w:p>
        </w:tc>
      </w:tr>
      <w:tr w:rsidR="007F16E0" w:rsidRPr="007F16E0" w:rsidTr="007F16E0">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Intermediate Tenure</w:t>
            </w:r>
          </w:p>
        </w:tc>
        <w:tc>
          <w:tcPr>
            <w:tcW w:w="230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17.4</w:t>
            </w:r>
          </w:p>
        </w:tc>
        <w:tc>
          <w:tcPr>
            <w:tcW w:w="17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27.8</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23.3</w:t>
            </w:r>
          </w:p>
        </w:tc>
      </w:tr>
      <w:tr w:rsidR="007F16E0" w:rsidRPr="007F16E0" w:rsidTr="007F16E0">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Total</w:t>
            </w:r>
          </w:p>
        </w:tc>
        <w:tc>
          <w:tcPr>
            <w:tcW w:w="230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100.0</w:t>
            </w:r>
          </w:p>
        </w:tc>
        <w:tc>
          <w:tcPr>
            <w:tcW w:w="17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100.0</w:t>
            </w:r>
          </w:p>
        </w:tc>
      </w:tr>
      <w:tr w:rsidR="007F16E0" w:rsidRPr="007F16E0" w:rsidTr="007F16E0">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rPr>
                <w:rFonts w:cs="Arial"/>
                <w:color w:val="000000"/>
                <w:sz w:val="22"/>
                <w:szCs w:val="22"/>
                <w:lang w:eastAsia="en-GB"/>
              </w:rPr>
            </w:pPr>
            <w:r w:rsidRPr="007F16E0">
              <w:rPr>
                <w:rFonts w:cs="Arial"/>
                <w:color w:val="000000"/>
                <w:sz w:val="22"/>
                <w:szCs w:val="22"/>
                <w:lang w:eastAsia="en-GB"/>
              </w:rPr>
              <w:t>Base (annual requirement)</w:t>
            </w:r>
          </w:p>
        </w:tc>
        <w:tc>
          <w:tcPr>
            <w:tcW w:w="230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980</w:t>
            </w:r>
          </w:p>
        </w:tc>
        <w:tc>
          <w:tcPr>
            <w:tcW w:w="17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1274</w:t>
            </w:r>
          </w:p>
        </w:tc>
        <w:tc>
          <w:tcPr>
            <w:tcW w:w="1080" w:type="dxa"/>
            <w:tcBorders>
              <w:top w:val="nil"/>
              <w:left w:val="nil"/>
              <w:bottom w:val="single" w:sz="4" w:space="0" w:color="auto"/>
              <w:right w:val="single" w:sz="4" w:space="0" w:color="auto"/>
            </w:tcBorders>
            <w:shd w:val="clear" w:color="auto" w:fill="auto"/>
            <w:noWrap/>
            <w:vAlign w:val="bottom"/>
            <w:hideMark/>
          </w:tcPr>
          <w:p w:rsidR="007F16E0" w:rsidRPr="007F16E0" w:rsidRDefault="007F16E0" w:rsidP="007F16E0">
            <w:pPr>
              <w:spacing w:before="0" w:after="0"/>
              <w:jc w:val="center"/>
              <w:rPr>
                <w:rFonts w:cs="Arial"/>
                <w:color w:val="000000"/>
                <w:sz w:val="22"/>
                <w:szCs w:val="22"/>
                <w:lang w:eastAsia="en-GB"/>
              </w:rPr>
            </w:pPr>
            <w:r w:rsidRPr="007F16E0">
              <w:rPr>
                <w:rFonts w:cs="Arial"/>
                <w:color w:val="000000"/>
                <w:sz w:val="22"/>
                <w:szCs w:val="22"/>
                <w:lang w:eastAsia="en-GB"/>
              </w:rPr>
              <w:t>2254</w:t>
            </w:r>
          </w:p>
        </w:tc>
      </w:tr>
    </w:tbl>
    <w:p w:rsidR="00F17D4E" w:rsidRPr="004243C6" w:rsidRDefault="00F17D4E" w:rsidP="00F17D4E">
      <w:pPr>
        <w:pStyle w:val="Maintext"/>
        <w:numPr>
          <w:ilvl w:val="0"/>
          <w:numId w:val="0"/>
        </w:numPr>
        <w:ind w:left="709"/>
        <w:rPr>
          <w:bCs/>
          <w:sz w:val="20"/>
          <w:szCs w:val="20"/>
        </w:rPr>
      </w:pPr>
      <w:r w:rsidRPr="004243C6">
        <w:rPr>
          <w:bCs/>
          <w:sz w:val="20"/>
          <w:szCs w:val="20"/>
        </w:rPr>
        <w:t>Source: 2012 household survey</w:t>
      </w:r>
    </w:p>
    <w:p w:rsidR="00F17D4E" w:rsidRDefault="00F17D4E" w:rsidP="00EE6B85">
      <w:pPr>
        <w:ind w:firstLine="709"/>
        <w:rPr>
          <w:b/>
        </w:rPr>
      </w:pPr>
    </w:p>
    <w:p w:rsidR="00F17D4E" w:rsidRPr="004243C6" w:rsidRDefault="00F17D4E" w:rsidP="00F17D4E">
      <w:pPr>
        <w:pStyle w:val="Maintext"/>
        <w:rPr>
          <w:bCs/>
        </w:rPr>
      </w:pPr>
      <w:r w:rsidRPr="004243C6">
        <w:rPr>
          <w:bCs/>
        </w:rPr>
        <w:t xml:space="preserve">An analysis of the ability of existing households in need and newly-forming households to afford intermediate tenure </w:t>
      </w:r>
      <w:r w:rsidR="00C66F41">
        <w:rPr>
          <w:bCs/>
        </w:rPr>
        <w:t>is summarised in Table D10</w:t>
      </w:r>
      <w:r w:rsidRPr="004243C6">
        <w:rPr>
          <w:bCs/>
        </w:rPr>
        <w:t xml:space="preserve">. Analysis suggests that intermediate tenure options remain relatively affordable to households in need and newly-forming households, with 38.6% able to afford a property </w:t>
      </w:r>
    </w:p>
    <w:p w:rsidR="005D7D0B" w:rsidRDefault="005D7D0B" w:rsidP="005D7D0B">
      <w:pPr>
        <w:pStyle w:val="Maintext"/>
        <w:numPr>
          <w:ilvl w:val="0"/>
          <w:numId w:val="0"/>
        </w:numPr>
        <w:ind w:left="709"/>
        <w:rPr>
          <w:b/>
          <w:bCs/>
        </w:rPr>
      </w:pPr>
    </w:p>
    <w:p w:rsidR="00F17D4E" w:rsidRDefault="00F17D4E" w:rsidP="005D7D0B">
      <w:pPr>
        <w:pStyle w:val="Maintext"/>
        <w:numPr>
          <w:ilvl w:val="0"/>
          <w:numId w:val="0"/>
        </w:numPr>
        <w:ind w:left="709"/>
        <w:rPr>
          <w:bCs/>
        </w:rPr>
      </w:pPr>
      <w:r>
        <w:rPr>
          <w:b/>
          <w:bCs/>
        </w:rPr>
        <w:t>Table D1</w:t>
      </w:r>
      <w:r w:rsidR="00C66F41">
        <w:rPr>
          <w:b/>
          <w:bCs/>
        </w:rPr>
        <w:t>0</w:t>
      </w:r>
      <w:r w:rsidRPr="004243C6">
        <w:rPr>
          <w:bCs/>
        </w:rPr>
        <w:tab/>
        <w:t>Ability of existing households in need and newly-forming households requiring affordable housing to afford intermediate tenure dwellings</w:t>
      </w:r>
    </w:p>
    <w:tbl>
      <w:tblPr>
        <w:tblW w:w="7271" w:type="dxa"/>
        <w:tblInd w:w="720" w:type="dxa"/>
        <w:tblLook w:val="04A0" w:firstRow="1" w:lastRow="0" w:firstColumn="1" w:lastColumn="0" w:noHBand="0" w:noVBand="1"/>
      </w:tblPr>
      <w:tblGrid>
        <w:gridCol w:w="3260"/>
        <w:gridCol w:w="1451"/>
        <w:gridCol w:w="1480"/>
        <w:gridCol w:w="1080"/>
      </w:tblGrid>
      <w:tr w:rsidR="00A909F6" w:rsidRPr="00A909F6" w:rsidTr="00A909F6">
        <w:trPr>
          <w:trHeight w:val="300"/>
        </w:trPr>
        <w:tc>
          <w:tcPr>
            <w:tcW w:w="3260" w:type="dxa"/>
            <w:tcBorders>
              <w:top w:val="single" w:sz="4" w:space="0" w:color="auto"/>
              <w:left w:val="single" w:sz="4" w:space="0" w:color="auto"/>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Price</w:t>
            </w:r>
          </w:p>
        </w:tc>
        <w:tc>
          <w:tcPr>
            <w:tcW w:w="2931" w:type="dxa"/>
            <w:gridSpan w:val="2"/>
            <w:tcBorders>
              <w:top w:val="single" w:sz="4" w:space="0" w:color="auto"/>
              <w:left w:val="single" w:sz="4" w:space="0" w:color="auto"/>
              <w:bottom w:val="single" w:sz="4" w:space="0" w:color="auto"/>
              <w:right w:val="nil"/>
            </w:tcBorders>
            <w:shd w:val="clear" w:color="000000" w:fill="008080"/>
            <w:noWrap/>
            <w:vAlign w:val="bottom"/>
            <w:hideMark/>
          </w:tcPr>
          <w:p w:rsidR="00A909F6" w:rsidRPr="00A909F6" w:rsidRDefault="00A909F6" w:rsidP="00A909F6">
            <w:pPr>
              <w:spacing w:before="0" w:after="0"/>
              <w:rPr>
                <w:rFonts w:cs="Arial"/>
                <w:b/>
                <w:bCs/>
                <w:color w:val="FFFFFF"/>
                <w:sz w:val="22"/>
                <w:szCs w:val="22"/>
                <w:lang w:eastAsia="en-GB"/>
              </w:rPr>
            </w:pPr>
            <w:r w:rsidRPr="00A909F6">
              <w:rPr>
                <w:rFonts w:cs="Arial"/>
                <w:b/>
                <w:bCs/>
                <w:color w:val="FFFFFF"/>
                <w:sz w:val="22"/>
                <w:szCs w:val="22"/>
                <w:lang w:eastAsia="en-GB"/>
              </w:rPr>
              <w:t>% could afford</w:t>
            </w:r>
          </w:p>
        </w:tc>
        <w:tc>
          <w:tcPr>
            <w:tcW w:w="1080" w:type="dxa"/>
            <w:tcBorders>
              <w:top w:val="single" w:sz="4" w:space="0" w:color="auto"/>
              <w:left w:val="nil"/>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 </w:t>
            </w:r>
          </w:p>
        </w:tc>
      </w:tr>
      <w:tr w:rsidR="00A909F6" w:rsidRPr="00A909F6" w:rsidTr="00A909F6">
        <w:trPr>
          <w:trHeight w:val="894"/>
        </w:trPr>
        <w:tc>
          <w:tcPr>
            <w:tcW w:w="3260" w:type="dxa"/>
            <w:tcBorders>
              <w:top w:val="nil"/>
              <w:left w:val="single" w:sz="4" w:space="0" w:color="auto"/>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 </w:t>
            </w:r>
          </w:p>
        </w:tc>
        <w:tc>
          <w:tcPr>
            <w:tcW w:w="1451" w:type="dxa"/>
            <w:tcBorders>
              <w:top w:val="nil"/>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Existing households in need</w:t>
            </w:r>
          </w:p>
        </w:tc>
        <w:tc>
          <w:tcPr>
            <w:tcW w:w="1480" w:type="dxa"/>
            <w:tcBorders>
              <w:top w:val="nil"/>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 xml:space="preserve">Newly-forming households </w:t>
            </w:r>
          </w:p>
        </w:tc>
        <w:tc>
          <w:tcPr>
            <w:tcW w:w="1080" w:type="dxa"/>
            <w:tcBorders>
              <w:top w:val="nil"/>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Total</w:t>
            </w:r>
          </w:p>
        </w:tc>
      </w:tr>
      <w:tr w:rsidR="00A909F6" w:rsidRPr="00A909F6" w:rsidTr="00A909F6">
        <w:trPr>
          <w:trHeight w:val="28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£80,000 up to £100,000</w:t>
            </w:r>
          </w:p>
        </w:tc>
        <w:tc>
          <w:tcPr>
            <w:tcW w:w="1451"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37.8</w:t>
            </w:r>
          </w:p>
        </w:tc>
        <w:tc>
          <w:tcPr>
            <w:tcW w:w="14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29.1</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32.9</w:t>
            </w:r>
          </w:p>
        </w:tc>
      </w:tr>
      <w:tr w:rsidR="00A909F6" w:rsidRPr="00A909F6" w:rsidTr="00A909F6">
        <w:trPr>
          <w:trHeight w:val="28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£100,000 up to £120,000</w:t>
            </w:r>
          </w:p>
        </w:tc>
        <w:tc>
          <w:tcPr>
            <w:tcW w:w="1451"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33.7</w:t>
            </w:r>
          </w:p>
        </w:tc>
        <w:tc>
          <w:tcPr>
            <w:tcW w:w="14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24.0</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28.2</w:t>
            </w:r>
          </w:p>
        </w:tc>
      </w:tr>
      <w:tr w:rsidR="00A909F6" w:rsidRPr="00A909F6" w:rsidTr="00A909F6">
        <w:trPr>
          <w:trHeight w:val="28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£120,000 up to £150,000</w:t>
            </w:r>
          </w:p>
        </w:tc>
        <w:tc>
          <w:tcPr>
            <w:tcW w:w="1451"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27.7</w:t>
            </w:r>
          </w:p>
        </w:tc>
        <w:tc>
          <w:tcPr>
            <w:tcW w:w="14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16.8</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21.6</w:t>
            </w:r>
          </w:p>
        </w:tc>
      </w:tr>
      <w:tr w:rsidR="00A909F6" w:rsidRPr="00A909F6" w:rsidTr="00A909F6">
        <w:trPr>
          <w:trHeight w:val="28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Base</w:t>
            </w:r>
          </w:p>
        </w:tc>
        <w:tc>
          <w:tcPr>
            <w:tcW w:w="1451"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980</w:t>
            </w:r>
          </w:p>
        </w:tc>
        <w:tc>
          <w:tcPr>
            <w:tcW w:w="14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1274</w:t>
            </w:r>
          </w:p>
        </w:tc>
        <w:tc>
          <w:tcPr>
            <w:tcW w:w="10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2254</w:t>
            </w:r>
          </w:p>
        </w:tc>
      </w:tr>
    </w:tbl>
    <w:p w:rsidR="00F17D4E" w:rsidRPr="004243C6" w:rsidRDefault="00F17D4E" w:rsidP="00F17D4E">
      <w:pPr>
        <w:pStyle w:val="Maintext"/>
        <w:numPr>
          <w:ilvl w:val="0"/>
          <w:numId w:val="0"/>
        </w:numPr>
        <w:ind w:left="709"/>
        <w:rPr>
          <w:bCs/>
          <w:sz w:val="20"/>
          <w:szCs w:val="20"/>
        </w:rPr>
      </w:pPr>
      <w:r w:rsidRPr="004243C6">
        <w:rPr>
          <w:bCs/>
          <w:sz w:val="20"/>
          <w:szCs w:val="20"/>
        </w:rPr>
        <w:t>Source: 2012 household survey</w:t>
      </w:r>
    </w:p>
    <w:p w:rsidR="00EE6B85" w:rsidRDefault="00EE6B85" w:rsidP="00EE6B85">
      <w:pPr>
        <w:pStyle w:val="Maintext"/>
        <w:numPr>
          <w:ilvl w:val="0"/>
          <w:numId w:val="0"/>
        </w:numPr>
        <w:ind w:left="709"/>
        <w:rPr>
          <w:rFonts w:cs="Arial"/>
        </w:rPr>
      </w:pPr>
    </w:p>
    <w:p w:rsidR="00EE6B85" w:rsidRPr="00813960" w:rsidRDefault="00EE6B85" w:rsidP="00C76826">
      <w:pPr>
        <w:pStyle w:val="Maintext"/>
        <w:numPr>
          <w:ilvl w:val="1"/>
          <w:numId w:val="11"/>
        </w:numPr>
        <w:rPr>
          <w:rFonts w:cs="Arial"/>
        </w:rPr>
      </w:pPr>
      <w:r w:rsidRPr="00813960">
        <w:rPr>
          <w:rFonts w:cs="Arial"/>
        </w:rPr>
        <w:t xml:space="preserve">There is clearly scope for an intermediate tenure market in </w:t>
      </w:r>
      <w:r w:rsidR="00F17D4E">
        <w:rPr>
          <w:rFonts w:cs="Arial"/>
        </w:rPr>
        <w:t>County Durham</w:t>
      </w:r>
      <w:r w:rsidRPr="00813960">
        <w:rPr>
          <w:rFonts w:cs="Arial"/>
        </w:rPr>
        <w:t xml:space="preserve">.  The final proportion of intermediate tenure dwellings to be delivered needs to be reconciled with the economic viability of delivering affordable housing on sites; the appetite of the HCA to fund intermediate tenure dwellings; and the ability of households to secure mortgages. </w:t>
      </w:r>
    </w:p>
    <w:p w:rsidR="00EE6B85" w:rsidRDefault="00EE6B85" w:rsidP="00EE6B85">
      <w:pPr>
        <w:pStyle w:val="Maintext"/>
        <w:numPr>
          <w:ilvl w:val="0"/>
          <w:numId w:val="0"/>
        </w:numPr>
        <w:rPr>
          <w:rFonts w:cs="Arial"/>
          <w:b/>
        </w:rPr>
      </w:pPr>
    </w:p>
    <w:p w:rsidR="00F17D4E" w:rsidRDefault="00F17D4E" w:rsidP="00EE6B85">
      <w:pPr>
        <w:pStyle w:val="Heading4"/>
      </w:pPr>
    </w:p>
    <w:p w:rsidR="00EE6B85" w:rsidRDefault="00EE6B85" w:rsidP="00EE6B85">
      <w:pPr>
        <w:pStyle w:val="Heading4"/>
      </w:pPr>
      <w:r>
        <w:t>Dwelling type</w:t>
      </w:r>
    </w:p>
    <w:p w:rsidR="00F17D4E" w:rsidRPr="00010F68" w:rsidRDefault="00C66F41" w:rsidP="00C76826">
      <w:pPr>
        <w:pStyle w:val="Maintext"/>
        <w:numPr>
          <w:ilvl w:val="1"/>
          <w:numId w:val="11"/>
        </w:numPr>
      </w:pPr>
      <w:r>
        <w:t>Table D11</w:t>
      </w:r>
      <w:r w:rsidR="00EE6B85">
        <w:t xml:space="preserve"> considers the range of affordable property types households would consider, based on the aspirations of existing households in need and newly-forming households requiring affordable accommodation.  </w:t>
      </w:r>
      <w:r w:rsidR="00F17D4E" w:rsidRPr="00010F68">
        <w:t>Analysis of property typ</w:t>
      </w:r>
      <w:r w:rsidR="00537291">
        <w:t xml:space="preserve">e preferences </w:t>
      </w:r>
      <w:r w:rsidR="00F17D4E" w:rsidRPr="00010F68">
        <w:t xml:space="preserve">suggests that, primarily, delivery </w:t>
      </w:r>
      <w:r w:rsidR="007C0D8D">
        <w:t>of houses is a priority (with 62</w:t>
      </w:r>
      <w:r w:rsidR="00F17D4E" w:rsidRPr="00010F68">
        <w:t>.8% stating an expectation of moving to a ho</w:t>
      </w:r>
      <w:r w:rsidR="007C0D8D">
        <w:t>use), followed by bungalows (27.2</w:t>
      </w:r>
      <w:r w:rsidR="007C0D8D" w:rsidRPr="00010F68">
        <w:t xml:space="preserve"> </w:t>
      </w:r>
      <w:r w:rsidR="007C0D8D">
        <w:t>%) and flats (10</w:t>
      </w:r>
      <w:r w:rsidR="00F17D4E" w:rsidRPr="00010F68">
        <w:t xml:space="preserve">%). </w:t>
      </w:r>
    </w:p>
    <w:p w:rsidR="00F17D4E" w:rsidRPr="009651D1" w:rsidRDefault="00F17D4E" w:rsidP="00F17D4E">
      <w:pPr>
        <w:pStyle w:val="Maintext"/>
        <w:numPr>
          <w:ilvl w:val="0"/>
          <w:numId w:val="0"/>
        </w:numPr>
        <w:rPr>
          <w:b/>
        </w:rPr>
      </w:pPr>
    </w:p>
    <w:p w:rsidR="00F17D4E" w:rsidRDefault="00C66F41" w:rsidP="00F17D4E">
      <w:pPr>
        <w:pStyle w:val="Maintext"/>
        <w:numPr>
          <w:ilvl w:val="0"/>
          <w:numId w:val="0"/>
        </w:numPr>
        <w:ind w:left="709"/>
      </w:pPr>
      <w:r>
        <w:rPr>
          <w:b/>
        </w:rPr>
        <w:t>Table D11</w:t>
      </w:r>
      <w:r w:rsidR="00F17D4E" w:rsidRPr="009651D1">
        <w:rPr>
          <w:b/>
        </w:rPr>
        <w:tab/>
      </w:r>
      <w:r w:rsidR="00F17D4E" w:rsidRPr="00010F68">
        <w:t>Property type preferences</w:t>
      </w:r>
    </w:p>
    <w:tbl>
      <w:tblPr>
        <w:tblW w:w="6500" w:type="dxa"/>
        <w:tblInd w:w="720" w:type="dxa"/>
        <w:tblLook w:val="04A0" w:firstRow="1" w:lastRow="0" w:firstColumn="1" w:lastColumn="0" w:noHBand="0" w:noVBand="1"/>
      </w:tblPr>
      <w:tblGrid>
        <w:gridCol w:w="2980"/>
        <w:gridCol w:w="1280"/>
        <w:gridCol w:w="1420"/>
        <w:gridCol w:w="820"/>
      </w:tblGrid>
      <w:tr w:rsidR="00A909F6" w:rsidRPr="00A909F6" w:rsidTr="00A909F6">
        <w:trPr>
          <w:trHeight w:val="915"/>
        </w:trPr>
        <w:tc>
          <w:tcPr>
            <w:tcW w:w="2980"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rsidR="00A909F6" w:rsidRPr="00A909F6" w:rsidRDefault="00A909F6" w:rsidP="00A909F6">
            <w:pPr>
              <w:spacing w:before="0" w:after="0"/>
              <w:rPr>
                <w:rFonts w:cs="Arial"/>
                <w:b/>
                <w:bCs/>
                <w:color w:val="FFFFFF"/>
                <w:sz w:val="22"/>
                <w:szCs w:val="22"/>
                <w:lang w:eastAsia="en-GB"/>
              </w:rPr>
            </w:pPr>
            <w:r w:rsidRPr="00A909F6">
              <w:rPr>
                <w:rFonts w:cs="Arial"/>
                <w:b/>
                <w:bCs/>
                <w:color w:val="FFFFFF"/>
                <w:sz w:val="22"/>
                <w:szCs w:val="22"/>
                <w:lang w:eastAsia="en-GB"/>
              </w:rPr>
              <w:t>Type preferences</w:t>
            </w:r>
          </w:p>
        </w:tc>
        <w:tc>
          <w:tcPr>
            <w:tcW w:w="1280" w:type="dxa"/>
            <w:tcBorders>
              <w:top w:val="single" w:sz="4" w:space="0" w:color="auto"/>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Existing (%)</w:t>
            </w:r>
          </w:p>
        </w:tc>
        <w:tc>
          <w:tcPr>
            <w:tcW w:w="1420" w:type="dxa"/>
            <w:tcBorders>
              <w:top w:val="single" w:sz="4" w:space="0" w:color="auto"/>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Newly-forming (%)</w:t>
            </w:r>
          </w:p>
        </w:tc>
        <w:tc>
          <w:tcPr>
            <w:tcW w:w="820" w:type="dxa"/>
            <w:tcBorders>
              <w:top w:val="single" w:sz="4" w:space="0" w:color="auto"/>
              <w:left w:val="nil"/>
              <w:bottom w:val="single" w:sz="4" w:space="0" w:color="auto"/>
              <w:right w:val="single" w:sz="4" w:space="0" w:color="auto"/>
            </w:tcBorders>
            <w:shd w:val="clear" w:color="000000" w:fill="008080"/>
            <w:vAlign w:val="bottom"/>
            <w:hideMark/>
          </w:tcPr>
          <w:p w:rsidR="00A909F6" w:rsidRPr="00A909F6" w:rsidRDefault="00A909F6" w:rsidP="00A909F6">
            <w:pPr>
              <w:spacing w:before="0" w:after="0"/>
              <w:jc w:val="center"/>
              <w:rPr>
                <w:rFonts w:cs="Arial"/>
                <w:b/>
                <w:bCs/>
                <w:color w:val="FFFFFF"/>
                <w:sz w:val="22"/>
                <w:szCs w:val="22"/>
                <w:lang w:eastAsia="en-GB"/>
              </w:rPr>
            </w:pPr>
            <w:r w:rsidRPr="00A909F6">
              <w:rPr>
                <w:rFonts w:cs="Arial"/>
                <w:b/>
                <w:bCs/>
                <w:color w:val="FFFFFF"/>
                <w:sz w:val="22"/>
                <w:szCs w:val="22"/>
                <w:lang w:eastAsia="en-GB"/>
              </w:rPr>
              <w:t>Total (%)</w:t>
            </w:r>
          </w:p>
        </w:tc>
      </w:tr>
      <w:tr w:rsidR="00A909F6" w:rsidRPr="00A909F6" w:rsidTr="00A909F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Detached</w:t>
            </w:r>
          </w:p>
        </w:tc>
        <w:tc>
          <w:tcPr>
            <w:tcW w:w="12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15.0</w:t>
            </w:r>
          </w:p>
        </w:tc>
        <w:tc>
          <w:tcPr>
            <w:tcW w:w="14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6.8</w:t>
            </w:r>
          </w:p>
        </w:tc>
        <w:tc>
          <w:tcPr>
            <w:tcW w:w="8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10.4</w:t>
            </w:r>
          </w:p>
        </w:tc>
      </w:tr>
      <w:tr w:rsidR="00A909F6" w:rsidRPr="00A909F6" w:rsidTr="00A909F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Semi-detached</w:t>
            </w:r>
          </w:p>
        </w:tc>
        <w:tc>
          <w:tcPr>
            <w:tcW w:w="12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19.9</w:t>
            </w:r>
          </w:p>
        </w:tc>
        <w:tc>
          <w:tcPr>
            <w:tcW w:w="14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32.0</w:t>
            </w:r>
          </w:p>
        </w:tc>
        <w:tc>
          <w:tcPr>
            <w:tcW w:w="8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26.7</w:t>
            </w:r>
          </w:p>
        </w:tc>
      </w:tr>
      <w:tr w:rsidR="00A909F6" w:rsidRPr="00A909F6" w:rsidTr="00A909F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Terraced</w:t>
            </w:r>
          </w:p>
        </w:tc>
        <w:tc>
          <w:tcPr>
            <w:tcW w:w="12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13.4</w:t>
            </w:r>
          </w:p>
        </w:tc>
        <w:tc>
          <w:tcPr>
            <w:tcW w:w="14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35.2</w:t>
            </w:r>
          </w:p>
        </w:tc>
        <w:tc>
          <w:tcPr>
            <w:tcW w:w="8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25.7</w:t>
            </w:r>
          </w:p>
        </w:tc>
      </w:tr>
      <w:tr w:rsidR="00A909F6" w:rsidRPr="00A909F6" w:rsidTr="00A909F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Flat</w:t>
            </w:r>
          </w:p>
        </w:tc>
        <w:tc>
          <w:tcPr>
            <w:tcW w:w="12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12.8</w:t>
            </w:r>
          </w:p>
        </w:tc>
        <w:tc>
          <w:tcPr>
            <w:tcW w:w="14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7.9</w:t>
            </w:r>
          </w:p>
        </w:tc>
        <w:tc>
          <w:tcPr>
            <w:tcW w:w="8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10.0</w:t>
            </w:r>
          </w:p>
        </w:tc>
      </w:tr>
      <w:tr w:rsidR="00A909F6" w:rsidRPr="00A909F6" w:rsidTr="00A909F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Bungalow</w:t>
            </w:r>
          </w:p>
        </w:tc>
        <w:tc>
          <w:tcPr>
            <w:tcW w:w="12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39.0</w:t>
            </w:r>
          </w:p>
        </w:tc>
        <w:tc>
          <w:tcPr>
            <w:tcW w:w="14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18.1</w:t>
            </w:r>
          </w:p>
        </w:tc>
        <w:tc>
          <w:tcPr>
            <w:tcW w:w="8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27.2</w:t>
            </w:r>
          </w:p>
        </w:tc>
      </w:tr>
      <w:tr w:rsidR="00A909F6" w:rsidRPr="00A909F6" w:rsidTr="00A909F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Total</w:t>
            </w:r>
          </w:p>
        </w:tc>
        <w:tc>
          <w:tcPr>
            <w:tcW w:w="12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100.0</w:t>
            </w:r>
          </w:p>
        </w:tc>
        <w:tc>
          <w:tcPr>
            <w:tcW w:w="14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100.0</w:t>
            </w:r>
          </w:p>
        </w:tc>
        <w:tc>
          <w:tcPr>
            <w:tcW w:w="8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100.0</w:t>
            </w:r>
          </w:p>
        </w:tc>
      </w:tr>
      <w:tr w:rsidR="00A909F6" w:rsidRPr="00A909F6" w:rsidTr="00A909F6">
        <w:trPr>
          <w:trHeight w:val="315"/>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rPr>
                <w:rFonts w:cs="Arial"/>
                <w:color w:val="000000"/>
                <w:sz w:val="22"/>
                <w:szCs w:val="22"/>
                <w:lang w:eastAsia="en-GB"/>
              </w:rPr>
            </w:pPr>
            <w:r w:rsidRPr="00A909F6">
              <w:rPr>
                <w:rFonts w:cs="Arial"/>
                <w:color w:val="000000"/>
                <w:sz w:val="22"/>
                <w:szCs w:val="22"/>
                <w:lang w:eastAsia="en-GB"/>
              </w:rPr>
              <w:t>Base (annual requirement)</w:t>
            </w:r>
          </w:p>
        </w:tc>
        <w:tc>
          <w:tcPr>
            <w:tcW w:w="128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980</w:t>
            </w:r>
          </w:p>
        </w:tc>
        <w:tc>
          <w:tcPr>
            <w:tcW w:w="14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1274</w:t>
            </w:r>
          </w:p>
        </w:tc>
        <w:tc>
          <w:tcPr>
            <w:tcW w:w="820" w:type="dxa"/>
            <w:tcBorders>
              <w:top w:val="nil"/>
              <w:left w:val="nil"/>
              <w:bottom w:val="single" w:sz="4" w:space="0" w:color="auto"/>
              <w:right w:val="single" w:sz="4" w:space="0" w:color="auto"/>
            </w:tcBorders>
            <w:shd w:val="clear" w:color="auto" w:fill="auto"/>
            <w:noWrap/>
            <w:vAlign w:val="bottom"/>
            <w:hideMark/>
          </w:tcPr>
          <w:p w:rsidR="00A909F6" w:rsidRPr="00A909F6" w:rsidRDefault="00A909F6" w:rsidP="00A909F6">
            <w:pPr>
              <w:spacing w:before="0" w:after="0"/>
              <w:jc w:val="center"/>
              <w:rPr>
                <w:rFonts w:cs="Arial"/>
                <w:color w:val="000000"/>
                <w:sz w:val="22"/>
                <w:szCs w:val="22"/>
                <w:lang w:eastAsia="en-GB"/>
              </w:rPr>
            </w:pPr>
            <w:r w:rsidRPr="00A909F6">
              <w:rPr>
                <w:rFonts w:cs="Arial"/>
                <w:color w:val="000000"/>
                <w:sz w:val="22"/>
                <w:szCs w:val="22"/>
                <w:lang w:eastAsia="en-GB"/>
              </w:rPr>
              <w:t>2254</w:t>
            </w:r>
          </w:p>
        </w:tc>
      </w:tr>
    </w:tbl>
    <w:p w:rsidR="00F17D4E" w:rsidRPr="00010F68" w:rsidRDefault="00F17D4E" w:rsidP="00F17D4E">
      <w:pPr>
        <w:pStyle w:val="Maintext"/>
        <w:numPr>
          <w:ilvl w:val="0"/>
          <w:numId w:val="0"/>
        </w:numPr>
        <w:ind w:left="709"/>
        <w:rPr>
          <w:sz w:val="20"/>
          <w:szCs w:val="20"/>
        </w:rPr>
      </w:pPr>
      <w:r w:rsidRPr="00010F68">
        <w:rPr>
          <w:sz w:val="20"/>
          <w:szCs w:val="20"/>
        </w:rPr>
        <w:t>Based on expectations of existing households in need and what newly-formed households have moved to in the past 5 years</w:t>
      </w:r>
    </w:p>
    <w:p w:rsidR="00F17D4E" w:rsidRPr="00010F68" w:rsidRDefault="00F17D4E" w:rsidP="00F17D4E">
      <w:pPr>
        <w:pStyle w:val="Maintext"/>
        <w:numPr>
          <w:ilvl w:val="0"/>
          <w:numId w:val="0"/>
        </w:numPr>
        <w:ind w:firstLine="709"/>
        <w:rPr>
          <w:sz w:val="20"/>
          <w:szCs w:val="20"/>
        </w:rPr>
      </w:pPr>
      <w:r w:rsidRPr="00010F68">
        <w:rPr>
          <w:sz w:val="20"/>
          <w:szCs w:val="20"/>
        </w:rPr>
        <w:t>Source: 2012 household survey</w:t>
      </w:r>
    </w:p>
    <w:p w:rsidR="00F17D4E" w:rsidRDefault="00F17D4E" w:rsidP="00EE6B85">
      <w:pPr>
        <w:pStyle w:val="Heading4"/>
      </w:pPr>
    </w:p>
    <w:p w:rsidR="00EE6B85" w:rsidRDefault="00EE6B85" w:rsidP="00EE6B85">
      <w:pPr>
        <w:pStyle w:val="Heading4"/>
      </w:pPr>
      <w:r>
        <w:t xml:space="preserve">Implications for planning </w:t>
      </w:r>
    </w:p>
    <w:p w:rsidR="00EE6B85" w:rsidRDefault="00EE6B85" w:rsidP="00C76826">
      <w:pPr>
        <w:pStyle w:val="Maintext"/>
        <w:numPr>
          <w:ilvl w:val="1"/>
          <w:numId w:val="11"/>
        </w:numPr>
      </w:pPr>
      <w:r>
        <w:t>There is an ongoing need for affordable housin</w:t>
      </w:r>
      <w:r w:rsidR="00F17D4E">
        <w:t xml:space="preserve">g delivery within County Durham. </w:t>
      </w:r>
      <w:r w:rsidR="00A07667">
        <w:t>Appendix G</w:t>
      </w:r>
      <w:r>
        <w:t xml:space="preserve"> provides further information on how information presented in this research can be used to strengthen existing planning policies and ensure a continued supply of affordable housing in the future.</w:t>
      </w:r>
    </w:p>
    <w:p w:rsidR="00EE6B85" w:rsidRDefault="00EE6B85" w:rsidP="00EE6B85"/>
    <w:p w:rsidR="00EE6B85" w:rsidRPr="008D4CBD" w:rsidRDefault="00EE6B85" w:rsidP="00537291">
      <w:pPr>
        <w:pStyle w:val="Heading1"/>
        <w:numPr>
          <w:ilvl w:val="0"/>
          <w:numId w:val="0"/>
        </w:numPr>
        <w:rPr>
          <w:i/>
        </w:rPr>
      </w:pPr>
      <w:bookmarkStart w:id="372" w:name="_Toc214433461"/>
      <w:bookmarkStart w:id="373" w:name="_Toc273708393"/>
      <w:bookmarkStart w:id="374" w:name="_Toc280272463"/>
    </w:p>
    <w:p w:rsidR="00EE6B85" w:rsidRDefault="00EE6B85" w:rsidP="00CA67D2">
      <w:pPr>
        <w:pStyle w:val="Maintext"/>
        <w:numPr>
          <w:ilvl w:val="0"/>
          <w:numId w:val="0"/>
        </w:numPr>
        <w:ind w:left="2160" w:hanging="1451"/>
      </w:pPr>
      <w:r>
        <w:rPr>
          <w:rFonts w:cs="Arial"/>
          <w:b/>
          <w:bCs/>
        </w:rPr>
        <w:br w:type="page"/>
      </w:r>
    </w:p>
    <w:p w:rsidR="00EE6B85" w:rsidRDefault="00537291" w:rsidP="00EE6B85">
      <w:pPr>
        <w:pStyle w:val="Heading1"/>
        <w:numPr>
          <w:ilvl w:val="0"/>
          <w:numId w:val="0"/>
        </w:numPr>
        <w:ind w:left="709"/>
      </w:pPr>
      <w:bookmarkStart w:id="375" w:name="_Toc259024899"/>
      <w:bookmarkStart w:id="376" w:name="_Toc259025711"/>
      <w:bookmarkStart w:id="377" w:name="_Toc273098596"/>
      <w:bookmarkStart w:id="378" w:name="_Toc273698066"/>
      <w:bookmarkStart w:id="379" w:name="_Toc273708398"/>
      <w:bookmarkStart w:id="380" w:name="_Toc273708399"/>
      <w:bookmarkStart w:id="381" w:name="_Toc276144657"/>
      <w:bookmarkStart w:id="382" w:name="_Toc279671524"/>
      <w:bookmarkStart w:id="383" w:name="_Toc280272468"/>
      <w:bookmarkStart w:id="384" w:name="_Toc280272469"/>
      <w:bookmarkStart w:id="385" w:name="_Toc318323498"/>
      <w:bookmarkStart w:id="386" w:name="_Toc333507798"/>
      <w:bookmarkStart w:id="387" w:name="_Toc199848568"/>
      <w:bookmarkStart w:id="388" w:name="_Toc209254591"/>
      <w:bookmarkStart w:id="389" w:name="_Toc210728255"/>
      <w:bookmarkEnd w:id="372"/>
      <w:bookmarkEnd w:id="373"/>
      <w:bookmarkEnd w:id="374"/>
      <w:r>
        <w:t>Technical Appendix E</w:t>
      </w:r>
      <w:r w:rsidR="00EE6B85">
        <w:t>: Monitoring and updating</w:t>
      </w:r>
      <w:bookmarkEnd w:id="375"/>
      <w:bookmarkEnd w:id="376"/>
      <w:bookmarkEnd w:id="377"/>
      <w:bookmarkEnd w:id="378"/>
      <w:bookmarkEnd w:id="379"/>
      <w:bookmarkEnd w:id="380"/>
      <w:bookmarkEnd w:id="381"/>
      <w:bookmarkEnd w:id="382"/>
      <w:bookmarkEnd w:id="383"/>
      <w:bookmarkEnd w:id="384"/>
      <w:bookmarkEnd w:id="385"/>
      <w:bookmarkEnd w:id="386"/>
    </w:p>
    <w:p w:rsidR="00EE6B85" w:rsidRDefault="00EE6B85" w:rsidP="00EE6B85"/>
    <w:p w:rsidR="00EE6B85" w:rsidRDefault="00EE6B85" w:rsidP="00EE6B85">
      <w:pPr>
        <w:pStyle w:val="Heading2"/>
      </w:pPr>
      <w:bookmarkStart w:id="390" w:name="_Toc202845332"/>
      <w:bookmarkStart w:id="391" w:name="_Toc209254585"/>
      <w:bookmarkStart w:id="392" w:name="_Toc210552145"/>
      <w:bookmarkStart w:id="393" w:name="_Toc210726990"/>
      <w:bookmarkStart w:id="394" w:name="_Toc210728249"/>
      <w:bookmarkStart w:id="395" w:name="_Toc273698067"/>
      <w:bookmarkStart w:id="396" w:name="_Toc273708400"/>
      <w:bookmarkStart w:id="397" w:name="_Toc276144658"/>
      <w:bookmarkStart w:id="398" w:name="_Toc280272470"/>
      <w:bookmarkStart w:id="399" w:name="_Toc318323499"/>
      <w:bookmarkStart w:id="400" w:name="_Toc320271467"/>
      <w:bookmarkStart w:id="401" w:name="_Toc321323400"/>
      <w:bookmarkStart w:id="402" w:name="_Toc326077262"/>
      <w:bookmarkStart w:id="403" w:name="_Toc333507799"/>
      <w:r>
        <w:t>A framework for updating the housing needs model and assessment of affordable housing requirements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EE6B85" w:rsidRDefault="00EE6B85" w:rsidP="00EE6B85"/>
    <w:p w:rsidR="00EE6B85" w:rsidRDefault="00EE6B85" w:rsidP="00EE6B85">
      <w:pPr>
        <w:pStyle w:val="Heading3"/>
      </w:pPr>
      <w:bookmarkStart w:id="404" w:name="_Toc209254586"/>
      <w:bookmarkStart w:id="405" w:name="_Toc210552146"/>
      <w:bookmarkStart w:id="406" w:name="_Toc210726991"/>
      <w:bookmarkStart w:id="407" w:name="_Toc210728250"/>
      <w:bookmarkStart w:id="408" w:name="_Toc318323500"/>
      <w:bookmarkStart w:id="409" w:name="_Toc193022157"/>
      <w:r>
        <w:t>Introduction</w:t>
      </w:r>
      <w:bookmarkEnd w:id="404"/>
      <w:bookmarkEnd w:id="405"/>
      <w:bookmarkEnd w:id="406"/>
      <w:bookmarkEnd w:id="407"/>
      <w:bookmarkEnd w:id="408"/>
    </w:p>
    <w:p w:rsidR="00EE6B85" w:rsidRDefault="00EE6B85" w:rsidP="00EE6B85"/>
    <w:bookmarkEnd w:id="409"/>
    <w:p w:rsidR="00537291" w:rsidRPr="00537291" w:rsidRDefault="00537291" w:rsidP="00C76826">
      <w:pPr>
        <w:pStyle w:val="ListParagraph"/>
        <w:numPr>
          <w:ilvl w:val="0"/>
          <w:numId w:val="11"/>
        </w:numPr>
        <w:jc w:val="both"/>
        <w:rPr>
          <w:vanish/>
        </w:rPr>
      </w:pPr>
    </w:p>
    <w:p w:rsidR="00EE6B85" w:rsidRDefault="00EE6B85" w:rsidP="00C76826">
      <w:pPr>
        <w:pStyle w:val="Maintext"/>
        <w:numPr>
          <w:ilvl w:val="1"/>
          <w:numId w:val="11"/>
        </w:numPr>
      </w:pPr>
      <w:r>
        <w:t>Having invested considerable resources in obtaining an excellent range of primary and secondary data, it is vital that this information be used to the maximum effect and updated on a regular basis.  The purpose of this appendix is to establish a framework for updating the housing needs model and affordable housing requirements.  In addition, it recommends the regular monitoring and review of housing market activity and regular reflections on the wider strategic context.</w:t>
      </w:r>
    </w:p>
    <w:p w:rsidR="00EE6B85" w:rsidRDefault="00EE6B85" w:rsidP="00EE6B85"/>
    <w:p w:rsidR="00EE6B85" w:rsidRDefault="00EE6B85" w:rsidP="00EE6B85">
      <w:pPr>
        <w:pStyle w:val="Heading3"/>
      </w:pPr>
      <w:bookmarkStart w:id="410" w:name="_Toc209254587"/>
      <w:bookmarkStart w:id="411" w:name="_Toc210552147"/>
      <w:bookmarkStart w:id="412" w:name="_Toc210726992"/>
      <w:bookmarkStart w:id="413" w:name="_Toc210728251"/>
      <w:bookmarkStart w:id="414" w:name="_Toc318323501"/>
      <w:bookmarkStart w:id="415" w:name="_Toc193022158"/>
      <w:r>
        <w:t>Updating of baseline housing needs and affordable housing requirements</w:t>
      </w:r>
      <w:bookmarkEnd w:id="410"/>
      <w:bookmarkEnd w:id="411"/>
      <w:bookmarkEnd w:id="412"/>
      <w:bookmarkEnd w:id="413"/>
      <w:bookmarkEnd w:id="414"/>
    </w:p>
    <w:p w:rsidR="00EE6B85" w:rsidRDefault="00EE6B85" w:rsidP="00EE6B85"/>
    <w:bookmarkEnd w:id="415"/>
    <w:p w:rsidR="00412F63" w:rsidRDefault="00EE6B85" w:rsidP="00C76826">
      <w:pPr>
        <w:pStyle w:val="Maintext"/>
        <w:numPr>
          <w:ilvl w:val="1"/>
          <w:numId w:val="11"/>
        </w:numPr>
      </w:pPr>
      <w:r>
        <w:t xml:space="preserve">A baseline assessment of housing need across </w:t>
      </w:r>
      <w:r w:rsidR="00717558">
        <w:t xml:space="preserve">County Durham </w:t>
      </w:r>
      <w:r>
        <w:t xml:space="preserve">has been derived from the household survey.  This information should be taken as a baseline from which annual reviews of key aspects of the model proceed.  It is recommended that the baseline information has a shelf-life of three to five years (with a recommended refresh of household information after 2015/16 through primary surveying).  </w:t>
      </w:r>
    </w:p>
    <w:p w:rsidR="00EE6B85" w:rsidRDefault="00EE6B85" w:rsidP="00C76826">
      <w:pPr>
        <w:pStyle w:val="Maintext"/>
        <w:numPr>
          <w:ilvl w:val="1"/>
          <w:numId w:val="11"/>
        </w:numPr>
      </w:pPr>
      <w:r>
        <w:t>Key elements of the needs assessment model can be readily updated on an annual basis to reflect:</w:t>
      </w:r>
    </w:p>
    <w:p w:rsidR="00EE6B85" w:rsidRDefault="00EE6B85" w:rsidP="007E46FA">
      <w:pPr>
        <w:numPr>
          <w:ilvl w:val="2"/>
          <w:numId w:val="23"/>
        </w:numPr>
        <w:spacing w:before="0"/>
      </w:pPr>
      <w:r>
        <w:t>changes in house prices and rental costs;</w:t>
      </w:r>
    </w:p>
    <w:p w:rsidR="00EE6B85" w:rsidRDefault="00EE6B85" w:rsidP="007E46FA">
      <w:pPr>
        <w:numPr>
          <w:ilvl w:val="2"/>
          <w:numId w:val="23"/>
        </w:numPr>
        <w:spacing w:before="0"/>
      </w:pPr>
      <w:r>
        <w:t>capacity of the social rented sector;</w:t>
      </w:r>
    </w:p>
    <w:p w:rsidR="00EE6B85" w:rsidRDefault="00EE6B85" w:rsidP="007E46FA">
      <w:pPr>
        <w:numPr>
          <w:ilvl w:val="2"/>
          <w:numId w:val="23"/>
        </w:numPr>
        <w:spacing w:before="0"/>
      </w:pPr>
      <w:r>
        <w:t>availability of intermediate tenure housing.</w:t>
      </w:r>
    </w:p>
    <w:p w:rsidR="00EE6B85" w:rsidRDefault="00EE6B85" w:rsidP="00EE6B85">
      <w:pPr>
        <w:pStyle w:val="Maintext"/>
        <w:numPr>
          <w:ilvl w:val="0"/>
          <w:numId w:val="0"/>
        </w:numPr>
        <w:ind w:firstLine="709"/>
        <w:rPr>
          <w:i/>
        </w:rPr>
      </w:pPr>
    </w:p>
    <w:p w:rsidR="00EE6B85" w:rsidRDefault="00EE6B85" w:rsidP="00EE6B85">
      <w:pPr>
        <w:pStyle w:val="Heading3"/>
        <w:rPr>
          <w:sz w:val="24"/>
        </w:rPr>
      </w:pPr>
      <w:bookmarkStart w:id="416" w:name="_Toc318323502"/>
      <w:r>
        <w:rPr>
          <w:sz w:val="24"/>
        </w:rPr>
        <w:t>Changes in house prices and rental costs</w:t>
      </w:r>
      <w:bookmarkEnd w:id="416"/>
    </w:p>
    <w:p w:rsidR="00412F63" w:rsidRDefault="00EE6B85" w:rsidP="00C76826">
      <w:pPr>
        <w:pStyle w:val="Maintext"/>
        <w:numPr>
          <w:ilvl w:val="1"/>
          <w:numId w:val="11"/>
        </w:numPr>
      </w:pPr>
      <w:r>
        <w:t xml:space="preserve">It is recommended that the annual purchase of address-level house prices to complement the existing dataset continues.  This will result in an annual refresh of house price data by </w:t>
      </w:r>
      <w:r w:rsidR="0083534C">
        <w:t>survey area</w:t>
      </w:r>
      <w:r>
        <w:t xml:space="preserve"> and provide an indication of changing lower quartile prices.  In turn, these can be applied to </w:t>
      </w:r>
      <w:r>
        <w:rPr>
          <w:b/>
        </w:rPr>
        <w:t xml:space="preserve">Step 1.4 </w:t>
      </w:r>
      <w:r>
        <w:t xml:space="preserve">of the needs assessment model which considers the extent to which households in need can afford open market prices.  As part of this analysis, updated information on private rented sector rents needs to be secured.  Several websites can provide a snapshot of private rents and help inform this element of the update. </w:t>
      </w:r>
    </w:p>
    <w:p w:rsidR="00EE6B85" w:rsidRDefault="00EE6B85" w:rsidP="00C76826">
      <w:pPr>
        <w:pStyle w:val="Maintext"/>
        <w:numPr>
          <w:ilvl w:val="1"/>
          <w:numId w:val="11"/>
        </w:numPr>
      </w:pPr>
      <w:r>
        <w:t xml:space="preserve">Lower quartile prices and private sector rents should also be compared with the income profile of newly-forming households at </w:t>
      </w:r>
      <w:r w:rsidRPr="00412F63">
        <w:rPr>
          <w:b/>
        </w:rPr>
        <w:t>Step 2.2</w:t>
      </w:r>
      <w:r>
        <w:t xml:space="preserve"> of the needs assessment model.</w:t>
      </w:r>
    </w:p>
    <w:p w:rsidR="00EE6B85" w:rsidRDefault="00EE6B85" w:rsidP="00EE6B85">
      <w:pPr>
        <w:pStyle w:val="Maintext"/>
        <w:numPr>
          <w:ilvl w:val="0"/>
          <w:numId w:val="0"/>
        </w:numPr>
        <w:ind w:firstLine="709"/>
        <w:rPr>
          <w:i/>
        </w:rPr>
      </w:pPr>
    </w:p>
    <w:p w:rsidR="00EE6B85" w:rsidRDefault="00EE6B85" w:rsidP="00EE6B85">
      <w:pPr>
        <w:pStyle w:val="Heading3"/>
        <w:ind w:firstLine="11"/>
        <w:rPr>
          <w:sz w:val="24"/>
        </w:rPr>
      </w:pPr>
      <w:bookmarkStart w:id="417" w:name="_Toc318323503"/>
      <w:r>
        <w:rPr>
          <w:sz w:val="24"/>
        </w:rPr>
        <w:t>Capacity of the social rented sector</w:t>
      </w:r>
      <w:bookmarkEnd w:id="417"/>
    </w:p>
    <w:p w:rsidR="00EE6B85" w:rsidRDefault="00EE6B85" w:rsidP="00C76826">
      <w:pPr>
        <w:pStyle w:val="Maintext"/>
        <w:numPr>
          <w:ilvl w:val="1"/>
          <w:numId w:val="11"/>
        </w:numPr>
      </w:pPr>
      <w:r>
        <w:t>The capacity of the social rented sector needs to be reviewed annually using RSL CORE lettings data (</w:t>
      </w:r>
      <w:r>
        <w:rPr>
          <w:b/>
        </w:rPr>
        <w:t>Step 3.6)</w:t>
      </w:r>
      <w:r>
        <w:t xml:space="preserve">. </w:t>
      </w:r>
    </w:p>
    <w:p w:rsidR="00EE6B85" w:rsidRDefault="00EE6B85" w:rsidP="00C76826">
      <w:pPr>
        <w:pStyle w:val="Maintext"/>
        <w:numPr>
          <w:ilvl w:val="1"/>
          <w:numId w:val="11"/>
        </w:numPr>
      </w:pPr>
      <w:r>
        <w:t>A dataset has been pre</w:t>
      </w:r>
      <w:r w:rsidR="00A909F6">
        <w:t>pared for RSL CORE data for 2009/10, 2010/11 and 2011/12</w:t>
      </w:r>
      <w:r>
        <w:t xml:space="preserve"> as part of this research.  This includes some additional variables identifying the characteristics of househol</w:t>
      </w:r>
      <w:r w:rsidR="00A909F6">
        <w:t>ds (by designation i.e. under 65 or over 65</w:t>
      </w:r>
      <w:r>
        <w:t>) and previous housing circumstances (from out of area, previously social renter, previously other tenure and from supported/specialist accommodation).  The capacity of the social rented sector is based on the number of lett</w:t>
      </w:r>
      <w:r w:rsidR="00717558">
        <w:t>ings to households from within the</w:t>
      </w:r>
      <w:r>
        <w:t xml:space="preserve"> Local Authority District who were previously living in (non social rented or intermediate) tenure.</w:t>
      </w:r>
    </w:p>
    <w:p w:rsidR="00EE6B85" w:rsidRDefault="00EE6B85" w:rsidP="00EE6B85"/>
    <w:p w:rsidR="00EE6B85" w:rsidRDefault="00EE6B85" w:rsidP="00EE6B85">
      <w:pPr>
        <w:pStyle w:val="Heading3"/>
        <w:ind w:firstLine="11"/>
        <w:rPr>
          <w:sz w:val="24"/>
        </w:rPr>
      </w:pPr>
      <w:bookmarkStart w:id="418" w:name="_Toc318323504"/>
      <w:r>
        <w:rPr>
          <w:sz w:val="24"/>
        </w:rPr>
        <w:t>Availability of intermediate tenure housing</w:t>
      </w:r>
      <w:bookmarkEnd w:id="418"/>
    </w:p>
    <w:p w:rsidR="00EE6B85" w:rsidRDefault="00EE6B85" w:rsidP="00C76826">
      <w:pPr>
        <w:pStyle w:val="Maintext"/>
        <w:numPr>
          <w:ilvl w:val="1"/>
          <w:numId w:val="11"/>
        </w:numPr>
      </w:pPr>
      <w:r>
        <w:t xml:space="preserve">CORE Sales data can identify the availability of intermediate tenure housing </w:t>
      </w:r>
      <w:r>
        <w:rPr>
          <w:b/>
        </w:rPr>
        <w:t>(Step 3.7)</w:t>
      </w:r>
      <w:r>
        <w:t xml:space="preserve">.  </w:t>
      </w:r>
      <w:r w:rsidR="00632FF2">
        <w:t xml:space="preserve">Data has been assembled for </w:t>
      </w:r>
      <w:r w:rsidR="00A909F6">
        <w:t>2009/10, 2010/11 and 2011/12</w:t>
      </w:r>
      <w:r>
        <w:t xml:space="preserve">. </w:t>
      </w:r>
    </w:p>
    <w:p w:rsidR="00EE6B85" w:rsidRDefault="00EE6B85" w:rsidP="00EE6B85"/>
    <w:p w:rsidR="00EE6B85" w:rsidRDefault="00EE6B85" w:rsidP="00EE6B85">
      <w:pPr>
        <w:pStyle w:val="Heading3"/>
        <w:ind w:firstLine="11"/>
        <w:rPr>
          <w:sz w:val="24"/>
        </w:rPr>
      </w:pPr>
      <w:bookmarkStart w:id="419" w:name="_Toc318323505"/>
      <w:r>
        <w:rPr>
          <w:sz w:val="24"/>
        </w:rPr>
        <w:t>Annual adjustments to affordable requirements</w:t>
      </w:r>
      <w:bookmarkEnd w:id="419"/>
    </w:p>
    <w:p w:rsidR="00EE6B85" w:rsidRDefault="00EE6B85" w:rsidP="00C76826">
      <w:pPr>
        <w:pStyle w:val="Maintext"/>
        <w:numPr>
          <w:ilvl w:val="1"/>
          <w:numId w:val="11"/>
        </w:numPr>
      </w:pPr>
      <w:r>
        <w:t xml:space="preserve">Datasets can be provided from which annual reviews of affordable requirements can proceed.  This will point to any adjustment in net requirements by </w:t>
      </w:r>
      <w:r w:rsidR="0083534C">
        <w:t>survey area</w:t>
      </w:r>
      <w:r>
        <w:t>, designation and property size.</w:t>
      </w:r>
    </w:p>
    <w:p w:rsidR="00EE6B85" w:rsidRDefault="00EE6B85" w:rsidP="00EE6B85">
      <w:bookmarkStart w:id="420" w:name="_Toc193022159"/>
    </w:p>
    <w:p w:rsidR="00EE6B85" w:rsidRDefault="00EE6B85" w:rsidP="00EE6B85">
      <w:pPr>
        <w:pStyle w:val="Heading2"/>
        <w:ind w:hanging="1418"/>
        <w:rPr>
          <w:b w:val="0"/>
          <w:iCs w:val="0"/>
          <w:sz w:val="24"/>
        </w:rPr>
      </w:pPr>
      <w:bookmarkStart w:id="421" w:name="_Toc209254588"/>
      <w:bookmarkStart w:id="422" w:name="_Toc210552148"/>
      <w:bookmarkStart w:id="423" w:name="_Toc210726993"/>
      <w:bookmarkStart w:id="424" w:name="_Toc210728252"/>
      <w:r>
        <w:rPr>
          <w:b w:val="0"/>
          <w:iCs w:val="0"/>
          <w:sz w:val="24"/>
        </w:rPr>
        <w:tab/>
      </w:r>
      <w:bookmarkStart w:id="425" w:name="_Toc273698068"/>
      <w:bookmarkStart w:id="426" w:name="_Toc273708401"/>
      <w:bookmarkStart w:id="427" w:name="_Toc276144659"/>
      <w:bookmarkStart w:id="428" w:name="_Toc280272471"/>
      <w:bookmarkStart w:id="429" w:name="_Toc318323506"/>
      <w:bookmarkStart w:id="430" w:name="_Toc320271468"/>
      <w:bookmarkStart w:id="431" w:name="_Toc321323401"/>
      <w:bookmarkStart w:id="432" w:name="_Toc326077263"/>
      <w:bookmarkStart w:id="433" w:name="_Toc333507800"/>
      <w:r>
        <w:rPr>
          <w:b w:val="0"/>
          <w:iCs w:val="0"/>
          <w:sz w:val="24"/>
        </w:rPr>
        <w:t>Updating of contextual information</w:t>
      </w:r>
      <w:bookmarkEnd w:id="421"/>
      <w:bookmarkEnd w:id="422"/>
      <w:bookmarkEnd w:id="423"/>
      <w:bookmarkEnd w:id="424"/>
      <w:bookmarkEnd w:id="425"/>
      <w:bookmarkEnd w:id="426"/>
      <w:bookmarkEnd w:id="427"/>
      <w:bookmarkEnd w:id="428"/>
      <w:bookmarkEnd w:id="429"/>
      <w:bookmarkEnd w:id="430"/>
      <w:bookmarkEnd w:id="431"/>
      <w:bookmarkEnd w:id="432"/>
      <w:bookmarkEnd w:id="433"/>
    </w:p>
    <w:bookmarkEnd w:id="420"/>
    <w:p w:rsidR="00EE6B85" w:rsidRDefault="00EE6B85" w:rsidP="00C76826">
      <w:pPr>
        <w:pStyle w:val="Maintext"/>
        <w:numPr>
          <w:ilvl w:val="1"/>
          <w:numId w:val="11"/>
        </w:numPr>
      </w:pPr>
      <w:r>
        <w:t xml:space="preserve">This report has presented a range of contextual information relating to the economy, demography (including population projections and migration) and dwelling stock.  This information should be updated where possible and in particular progression with economic growth and diversification should be carefully monitored. </w:t>
      </w:r>
    </w:p>
    <w:p w:rsidR="00EE6B85" w:rsidRDefault="00EE6B85" w:rsidP="00EE6B85"/>
    <w:p w:rsidR="00EE6B85" w:rsidRDefault="00EE6B85" w:rsidP="00EE6B85">
      <w:pPr>
        <w:pStyle w:val="Heading2"/>
        <w:tabs>
          <w:tab w:val="clear" w:pos="709"/>
          <w:tab w:val="left" w:pos="0"/>
        </w:tabs>
        <w:ind w:left="0"/>
        <w:rPr>
          <w:b w:val="0"/>
          <w:iCs w:val="0"/>
          <w:sz w:val="24"/>
        </w:rPr>
      </w:pPr>
      <w:bookmarkStart w:id="434" w:name="_Toc209254589"/>
      <w:bookmarkStart w:id="435" w:name="_Toc210552149"/>
      <w:bookmarkStart w:id="436" w:name="_Toc210726994"/>
      <w:bookmarkStart w:id="437" w:name="_Toc210728253"/>
      <w:bookmarkStart w:id="438" w:name="_Toc193022160"/>
      <w:r>
        <w:rPr>
          <w:b w:val="0"/>
          <w:iCs w:val="0"/>
          <w:sz w:val="24"/>
        </w:rPr>
        <w:tab/>
      </w:r>
      <w:bookmarkStart w:id="439" w:name="_Toc273698069"/>
      <w:bookmarkStart w:id="440" w:name="_Toc273708402"/>
      <w:bookmarkStart w:id="441" w:name="_Toc276144660"/>
      <w:bookmarkStart w:id="442" w:name="_Toc280272472"/>
      <w:bookmarkStart w:id="443" w:name="_Toc318323507"/>
      <w:bookmarkStart w:id="444" w:name="_Toc320271469"/>
      <w:bookmarkStart w:id="445" w:name="_Toc321323402"/>
      <w:bookmarkStart w:id="446" w:name="_Toc326077264"/>
      <w:bookmarkStart w:id="447" w:name="_Toc333507801"/>
      <w:r>
        <w:rPr>
          <w:b w:val="0"/>
          <w:iCs w:val="0"/>
          <w:sz w:val="24"/>
        </w:rPr>
        <w:t>Reflections on the general strategic context and emerging issues</w:t>
      </w:r>
      <w:bookmarkEnd w:id="434"/>
      <w:bookmarkEnd w:id="435"/>
      <w:bookmarkEnd w:id="436"/>
      <w:bookmarkEnd w:id="437"/>
      <w:bookmarkEnd w:id="439"/>
      <w:bookmarkEnd w:id="440"/>
      <w:bookmarkEnd w:id="441"/>
      <w:bookmarkEnd w:id="442"/>
      <w:bookmarkEnd w:id="443"/>
      <w:bookmarkEnd w:id="444"/>
      <w:bookmarkEnd w:id="445"/>
      <w:bookmarkEnd w:id="446"/>
      <w:bookmarkEnd w:id="447"/>
    </w:p>
    <w:bookmarkEnd w:id="438"/>
    <w:p w:rsidR="00EE6B85" w:rsidRDefault="00EE6B85" w:rsidP="00C76826">
      <w:pPr>
        <w:pStyle w:val="Maintext"/>
        <w:numPr>
          <w:ilvl w:val="1"/>
          <w:numId w:val="11"/>
        </w:numPr>
      </w:pPr>
      <w:r>
        <w:t xml:space="preserve">As part of its strategic housing function, all LAs need to understand the general strategic housing market context and respond to emerging issues.  Given the dynamic nature of housing markets, the Central and Local Government policy agenda and bidding for resources, any update of housing needs must be positioned within a wider strategic context. </w:t>
      </w:r>
    </w:p>
    <w:p w:rsidR="00EE6B85" w:rsidRDefault="00EE6B85" w:rsidP="00C76826">
      <w:pPr>
        <w:pStyle w:val="Maintext"/>
        <w:numPr>
          <w:ilvl w:val="1"/>
          <w:numId w:val="11"/>
        </w:numPr>
      </w:pPr>
      <w:r>
        <w:t>Ongoing stakeholder consultation and engagement with local communities is also vital to maintain up-to-date intelligence on housing market issues.</w:t>
      </w:r>
    </w:p>
    <w:p w:rsidR="00EE6B85" w:rsidRDefault="00EE6B85" w:rsidP="00EE6B85"/>
    <w:p w:rsidR="007C0D8D" w:rsidRDefault="007C0D8D" w:rsidP="007C0D8D">
      <w:pPr>
        <w:pStyle w:val="Heading2"/>
        <w:tabs>
          <w:tab w:val="clear" w:pos="709"/>
          <w:tab w:val="left" w:pos="0"/>
        </w:tabs>
        <w:ind w:left="0"/>
        <w:rPr>
          <w:b w:val="0"/>
          <w:iCs w:val="0"/>
          <w:sz w:val="24"/>
        </w:rPr>
      </w:pPr>
      <w:bookmarkStart w:id="448" w:name="_Toc209254590"/>
      <w:bookmarkStart w:id="449" w:name="_Toc210552150"/>
      <w:bookmarkStart w:id="450" w:name="_Toc210726995"/>
      <w:bookmarkStart w:id="451" w:name="_Toc210728254"/>
      <w:bookmarkStart w:id="452" w:name="_Toc273698070"/>
      <w:bookmarkStart w:id="453" w:name="_Toc273708403"/>
      <w:bookmarkStart w:id="454" w:name="_Toc276144661"/>
      <w:bookmarkStart w:id="455" w:name="_Toc280272473"/>
      <w:bookmarkStart w:id="456" w:name="_Toc318323508"/>
      <w:bookmarkStart w:id="457" w:name="_Toc320271470"/>
      <w:bookmarkStart w:id="458" w:name="_Toc321323403"/>
      <w:bookmarkStart w:id="459" w:name="_Toc326077265"/>
      <w:r>
        <w:rPr>
          <w:b w:val="0"/>
          <w:iCs w:val="0"/>
          <w:sz w:val="24"/>
        </w:rPr>
        <w:tab/>
        <w:t>Additional census data releases</w:t>
      </w:r>
    </w:p>
    <w:p w:rsidR="007C0D8D" w:rsidRDefault="007C0D8D" w:rsidP="007C0D8D">
      <w:pPr>
        <w:pStyle w:val="Maintext"/>
        <w:numPr>
          <w:ilvl w:val="1"/>
          <w:numId w:val="11"/>
        </w:numPr>
      </w:pPr>
      <w:r>
        <w:t>2011 Census data relating to travel to work and migration patterns is due for publication during 2013 and this should be considered in any further updates of the SHMA.</w:t>
      </w:r>
    </w:p>
    <w:p w:rsidR="007C0D8D" w:rsidRDefault="007C0D8D" w:rsidP="00412F63">
      <w:pPr>
        <w:pStyle w:val="Heading2"/>
        <w:ind w:left="0"/>
      </w:pPr>
    </w:p>
    <w:p w:rsidR="00EE6B85" w:rsidRDefault="00412F63" w:rsidP="00412F63">
      <w:pPr>
        <w:pStyle w:val="Heading2"/>
        <w:ind w:left="0"/>
      </w:pPr>
      <w:r>
        <w:tab/>
      </w:r>
      <w:bookmarkStart w:id="460" w:name="_Toc333507802"/>
      <w:r w:rsidR="00EE6B85">
        <w:t>Concluding comments</w:t>
      </w:r>
      <w:bookmarkEnd w:id="448"/>
      <w:bookmarkEnd w:id="449"/>
      <w:bookmarkEnd w:id="450"/>
      <w:bookmarkEnd w:id="451"/>
      <w:bookmarkEnd w:id="452"/>
      <w:bookmarkEnd w:id="453"/>
      <w:bookmarkEnd w:id="454"/>
      <w:bookmarkEnd w:id="455"/>
      <w:bookmarkEnd w:id="456"/>
      <w:bookmarkEnd w:id="457"/>
      <w:bookmarkEnd w:id="458"/>
      <w:bookmarkEnd w:id="459"/>
      <w:bookmarkEnd w:id="460"/>
    </w:p>
    <w:p w:rsidR="00EE6B85" w:rsidRDefault="00EE6B85" w:rsidP="00EE6B85"/>
    <w:p w:rsidR="00412F63" w:rsidRDefault="00EE6B85" w:rsidP="00C76826">
      <w:pPr>
        <w:pStyle w:val="Maintext"/>
        <w:numPr>
          <w:ilvl w:val="1"/>
          <w:numId w:val="11"/>
        </w:numPr>
      </w:pPr>
      <w:r>
        <w:t xml:space="preserve">It is vital that mechanisms are in place to derive robust, credible and defensible estimates of housing need and affordable requirements across </w:t>
      </w:r>
      <w:r w:rsidR="00717558">
        <w:t>County Durham</w:t>
      </w:r>
      <w:r>
        <w:t xml:space="preserve">  We believe that this study provides a robust evidence base which has the capacity to be updated. </w:t>
      </w:r>
    </w:p>
    <w:p w:rsidR="00EE6B85" w:rsidRDefault="00EE6B85" w:rsidP="00C76826">
      <w:pPr>
        <w:pStyle w:val="Maintext"/>
        <w:numPr>
          <w:ilvl w:val="1"/>
          <w:numId w:val="11"/>
        </w:numPr>
      </w:pPr>
      <w:r>
        <w:t>Having established a baseline position on affordable housing and advice on open market provision to reflect aspirations, it is essential that housing market activity is regularly monitored.  This is highly relevant given current housing market uncertainty.  A range of methods have been suggested to ensure that housing need and affordability modelling is revised on an annual basis.  Annual reviews should also take into account the changing strategic context and impact on housing market activity.</w:t>
      </w:r>
    </w:p>
    <w:p w:rsidR="00EE6B85" w:rsidRDefault="00EE6B85" w:rsidP="00EE6B85">
      <w:pPr>
        <w:pStyle w:val="Heading1"/>
        <w:numPr>
          <w:ilvl w:val="0"/>
          <w:numId w:val="0"/>
        </w:numPr>
      </w:pPr>
      <w:r>
        <w:br w:type="page"/>
      </w:r>
      <w:bookmarkStart w:id="461" w:name="_Toc273708404"/>
      <w:bookmarkStart w:id="462" w:name="_Toc280272474"/>
      <w:bookmarkStart w:id="463" w:name="_Toc318323509"/>
      <w:bookmarkStart w:id="464" w:name="_Toc333507803"/>
      <w:r w:rsidR="00412F63">
        <w:t>Technical Appendix F</w:t>
      </w:r>
      <w:r>
        <w:t>: Statement of conformity to SHMA guidance</w:t>
      </w:r>
      <w:bookmarkEnd w:id="387"/>
      <w:bookmarkEnd w:id="388"/>
      <w:bookmarkEnd w:id="389"/>
      <w:bookmarkEnd w:id="461"/>
      <w:bookmarkEnd w:id="462"/>
      <w:bookmarkEnd w:id="463"/>
      <w:bookmarkEnd w:id="464"/>
    </w:p>
    <w:p w:rsidR="00EE6B85" w:rsidRDefault="00EE6B85" w:rsidP="00EE6B85"/>
    <w:p w:rsidR="00412F63" w:rsidRPr="00412F63" w:rsidRDefault="00412F63" w:rsidP="00C76826">
      <w:pPr>
        <w:pStyle w:val="ListParagraph"/>
        <w:numPr>
          <w:ilvl w:val="0"/>
          <w:numId w:val="11"/>
        </w:numPr>
        <w:jc w:val="both"/>
        <w:rPr>
          <w:vanish/>
        </w:rPr>
      </w:pPr>
    </w:p>
    <w:p w:rsidR="00412F63" w:rsidRDefault="00EE6B85" w:rsidP="00C76826">
      <w:pPr>
        <w:pStyle w:val="Maintext"/>
        <w:numPr>
          <w:ilvl w:val="1"/>
          <w:numId w:val="11"/>
        </w:numPr>
      </w:pPr>
      <w:r>
        <w:t>In order for a Strategic Housing Market Assessment to be deemed robust and credible, it needs to provide, as a minimum, all of the core outputs and meets the requirements of all of the process criteria (these were presented in Tables 1.1 and 1.2 of this report).</w:t>
      </w:r>
    </w:p>
    <w:p w:rsidR="00EE6B85" w:rsidRDefault="00EE6B85" w:rsidP="00C76826">
      <w:pPr>
        <w:pStyle w:val="Maintext"/>
        <w:numPr>
          <w:ilvl w:val="1"/>
          <w:numId w:val="11"/>
        </w:numPr>
      </w:pPr>
      <w:r>
        <w:t>This Statement of Conformity confirms that in delivering the eight core SHMA outputs, the process criteria outlined in the SHMA guidance has been adhered to.  Further details are now provided.</w:t>
      </w:r>
    </w:p>
    <w:p w:rsidR="00EE6B85" w:rsidRDefault="00EE6B85" w:rsidP="00EE6B85">
      <w:pPr>
        <w:tabs>
          <w:tab w:val="num" w:pos="709"/>
        </w:tabs>
        <w:ind w:left="709" w:hanging="709"/>
      </w:pPr>
      <w:r>
        <w:t xml:space="preserve"> </w:t>
      </w:r>
    </w:p>
    <w:p w:rsidR="00EE6B85" w:rsidRDefault="00EE6B85" w:rsidP="00EE6B85">
      <w:pPr>
        <w:ind w:left="709"/>
        <w:jc w:val="both"/>
        <w:rPr>
          <w:color w:val="008080"/>
        </w:rPr>
      </w:pPr>
      <w:bookmarkStart w:id="465" w:name="_Toc199848569"/>
      <w:r>
        <w:rPr>
          <w:color w:val="008080"/>
        </w:rPr>
        <w:t xml:space="preserve">Approach to identifying </w:t>
      </w:r>
      <w:r w:rsidR="00B440F0">
        <w:rPr>
          <w:color w:val="008080"/>
        </w:rPr>
        <w:t>Market area</w:t>
      </w:r>
      <w:r>
        <w:rPr>
          <w:color w:val="008080"/>
        </w:rPr>
        <w:t xml:space="preserve">(s) is consistent with other approaches to identifying </w:t>
      </w:r>
      <w:r w:rsidR="00B440F0">
        <w:rPr>
          <w:color w:val="008080"/>
        </w:rPr>
        <w:t>Market area</w:t>
      </w:r>
      <w:r>
        <w:rPr>
          <w:color w:val="008080"/>
        </w:rPr>
        <w:t>s within the region</w:t>
      </w:r>
      <w:bookmarkEnd w:id="465"/>
    </w:p>
    <w:p w:rsidR="00EE6B85" w:rsidRDefault="00EE6B85" w:rsidP="00C76826">
      <w:pPr>
        <w:pStyle w:val="Maintext"/>
        <w:numPr>
          <w:ilvl w:val="1"/>
          <w:numId w:val="11"/>
        </w:numPr>
      </w:pPr>
      <w:r>
        <w:t xml:space="preserve">In considering </w:t>
      </w:r>
      <w:r w:rsidR="00B440F0">
        <w:t>delivery area</w:t>
      </w:r>
      <w:r>
        <w:t xml:space="preserve">s, the starting point of the SHMA was the existing SHMA evidence base.  The 2012 SHMA has used migration, travel to work and house price analysis (in accordance with CLG advice note on defining market areas).  The approach to define market areas has therefore been consistent with other approaches to identifying markets and follows national best practice. </w:t>
      </w:r>
    </w:p>
    <w:p w:rsidR="00EE6B85" w:rsidRDefault="00EE6B85" w:rsidP="00EE6B85"/>
    <w:p w:rsidR="00EE6B85" w:rsidRDefault="00EE6B85" w:rsidP="00EE6B85">
      <w:pPr>
        <w:ind w:left="709"/>
        <w:jc w:val="both"/>
        <w:rPr>
          <w:color w:val="008080"/>
        </w:rPr>
      </w:pPr>
      <w:bookmarkStart w:id="466" w:name="_Toc199848570"/>
      <w:r>
        <w:rPr>
          <w:color w:val="008080"/>
        </w:rPr>
        <w:t xml:space="preserve">Housing market conditions are assessed within the context of the </w:t>
      </w:r>
      <w:r w:rsidR="00B440F0">
        <w:rPr>
          <w:color w:val="008080"/>
        </w:rPr>
        <w:t>delivery area</w:t>
      </w:r>
      <w:bookmarkEnd w:id="466"/>
    </w:p>
    <w:p w:rsidR="00EE6B85" w:rsidRDefault="00EE6B85" w:rsidP="00C76826">
      <w:pPr>
        <w:pStyle w:val="Maintext"/>
        <w:numPr>
          <w:ilvl w:val="1"/>
          <w:numId w:val="11"/>
        </w:numPr>
      </w:pPr>
      <w:r>
        <w:t xml:space="preserve">Although specific focus of this research has been </w:t>
      </w:r>
      <w:r w:rsidR="00717558">
        <w:t>County Durham</w:t>
      </w:r>
      <w:r>
        <w:t xml:space="preserve">, research has considered inter-relationships with other areas, notably with </w:t>
      </w:r>
      <w:r w:rsidR="00717558">
        <w:t xml:space="preserve">Tyne and Wear,  Tees Valley </w:t>
      </w:r>
      <w:r>
        <w:t xml:space="preserve">and North Yorkshire. This has been achieved through a review of migration, travel-to-work, house prices and household aspirations. </w:t>
      </w:r>
    </w:p>
    <w:p w:rsidR="00EE6B85" w:rsidRDefault="00EE6B85" w:rsidP="00EE6B85">
      <w:pPr>
        <w:tabs>
          <w:tab w:val="num" w:pos="709"/>
        </w:tabs>
        <w:ind w:left="709" w:hanging="709"/>
      </w:pPr>
    </w:p>
    <w:p w:rsidR="00EE6B85" w:rsidRDefault="00EE6B85" w:rsidP="00EE6B85">
      <w:pPr>
        <w:ind w:firstLine="709"/>
        <w:rPr>
          <w:color w:val="008080"/>
        </w:rPr>
      </w:pPr>
      <w:bookmarkStart w:id="467" w:name="_Toc199848571"/>
      <w:r>
        <w:rPr>
          <w:color w:val="008080"/>
        </w:rPr>
        <w:t>Involves key stakeholders, including house builders</w:t>
      </w:r>
      <w:bookmarkEnd w:id="467"/>
    </w:p>
    <w:p w:rsidR="00EE6B85" w:rsidRDefault="00EE6B85" w:rsidP="00C76826">
      <w:pPr>
        <w:pStyle w:val="Maintext"/>
        <w:numPr>
          <w:ilvl w:val="1"/>
          <w:numId w:val="11"/>
        </w:numPr>
      </w:pPr>
      <w:r>
        <w:t>The research has been overseen by a steering group comprising Local Authority housing and planning officers. During the course of the research, stakeholder interviews have been carried out with a wide-range of interest groups including estate agents, supporting people representatives, house builders and private lettings agents.  The research has therefore ensured that the views of a range of key stakeholders are represented in the study.</w:t>
      </w:r>
    </w:p>
    <w:p w:rsidR="00EE6B85" w:rsidRDefault="00EE6B85" w:rsidP="00EE6B85">
      <w:pPr>
        <w:tabs>
          <w:tab w:val="num" w:pos="709"/>
        </w:tabs>
        <w:ind w:left="709" w:hanging="709"/>
      </w:pPr>
    </w:p>
    <w:p w:rsidR="00EE6B85" w:rsidRDefault="00EE6B85" w:rsidP="00EE6B85">
      <w:pPr>
        <w:ind w:left="709"/>
        <w:jc w:val="both"/>
        <w:rPr>
          <w:color w:val="008080"/>
        </w:rPr>
      </w:pPr>
      <w:bookmarkStart w:id="468" w:name="_Toc199848572"/>
      <w:r>
        <w:rPr>
          <w:color w:val="008080"/>
        </w:rPr>
        <w:t>Contains a full technical justification of the methods employed, with any limitations noted</w:t>
      </w:r>
      <w:bookmarkEnd w:id="468"/>
    </w:p>
    <w:p w:rsidR="00EE6B85" w:rsidRDefault="00EE6B85" w:rsidP="00C76826">
      <w:pPr>
        <w:pStyle w:val="Maintext"/>
        <w:numPr>
          <w:ilvl w:val="1"/>
          <w:numId w:val="11"/>
        </w:numPr>
      </w:pPr>
      <w:r>
        <w:t>The research has been multi-method and involved secondary data analysis, a major household survey and stakeholder consultation.  The study methodology was summarised in Chapter 1.  The range of data assembled is in accordance with the SHMA guidance.  In order to understand housing market dynamics more fully, the research has placed a particular emphasis on primary fieldwork to enhance and supplement the review of secondary data sources.  Within the text of the report, any particular observations relating to data including limitations and interpretation have been presented.</w:t>
      </w:r>
    </w:p>
    <w:p w:rsidR="00EE6B85" w:rsidRDefault="00EE6B85" w:rsidP="00EE6B85">
      <w:pPr>
        <w:tabs>
          <w:tab w:val="num" w:pos="709"/>
        </w:tabs>
        <w:ind w:left="709" w:hanging="709"/>
      </w:pPr>
    </w:p>
    <w:p w:rsidR="00EE6B85" w:rsidRDefault="00EE6B85" w:rsidP="00EE6B85">
      <w:pPr>
        <w:ind w:left="709"/>
        <w:jc w:val="both"/>
        <w:rPr>
          <w:color w:val="008080"/>
        </w:rPr>
      </w:pPr>
      <w:bookmarkStart w:id="469" w:name="_Toc199848573"/>
      <w:r>
        <w:rPr>
          <w:color w:val="008080"/>
        </w:rPr>
        <w:t>Assumptions, judgements and findings are fully justified and presented in an open and transparent manner.</w:t>
      </w:r>
      <w:bookmarkEnd w:id="469"/>
      <w:r>
        <w:rPr>
          <w:color w:val="008080"/>
        </w:rPr>
        <w:t xml:space="preserve"> </w:t>
      </w:r>
    </w:p>
    <w:p w:rsidR="00EE6B85" w:rsidRDefault="00EE6B85" w:rsidP="00C76826">
      <w:pPr>
        <w:pStyle w:val="Maintext"/>
        <w:numPr>
          <w:ilvl w:val="1"/>
          <w:numId w:val="11"/>
        </w:numPr>
      </w:pPr>
      <w:r>
        <w:t>Given our expertise and understanding of housing research, the strategic housing agenda and affordability issues, we believe that any assumptions, judgements and findings are fully justified and have been presented in an open and transparent manner.  In particular, we have ensured that robust data has been presented and interpreted based on our understanding of general market drivers and the wider sub-regional, regional and national strategic context.</w:t>
      </w:r>
    </w:p>
    <w:p w:rsidR="00EE6B85" w:rsidRDefault="00EE6B85" w:rsidP="00EE6B85">
      <w:pPr>
        <w:tabs>
          <w:tab w:val="num" w:pos="709"/>
        </w:tabs>
        <w:ind w:left="709" w:hanging="709"/>
      </w:pPr>
      <w:bookmarkStart w:id="470" w:name="_Toc199848574"/>
    </w:p>
    <w:p w:rsidR="00EE6B85" w:rsidRDefault="00EE6B85" w:rsidP="00EE6B85">
      <w:pPr>
        <w:ind w:firstLine="709"/>
        <w:rPr>
          <w:color w:val="008080"/>
        </w:rPr>
      </w:pPr>
      <w:r>
        <w:rPr>
          <w:color w:val="008080"/>
        </w:rPr>
        <w:t>Uses and reports upon effective quality control mechanisms</w:t>
      </w:r>
      <w:bookmarkEnd w:id="470"/>
    </w:p>
    <w:p w:rsidR="00EE6B85" w:rsidRDefault="00EE6B85" w:rsidP="00C76826">
      <w:pPr>
        <w:pStyle w:val="Maintext"/>
        <w:numPr>
          <w:ilvl w:val="1"/>
          <w:numId w:val="11"/>
        </w:numPr>
      </w:pPr>
      <w:r>
        <w:t xml:space="preserve">Throughout the research process, we have ensured that the most up-to-date and robust data sources have been used.  Most notably, data from </w:t>
      </w:r>
      <w:r w:rsidR="00717558">
        <w:t>6,216</w:t>
      </w:r>
      <w:r>
        <w:t xml:space="preserve"> households was secured through primary fieldwork.  This data was appropriately weighted (to address response bias) and grossed (to reflect total households).  We have a series of internal quality control mechanisms relating to data analysis and interpretation; project management; and client liaison.  By having these quality control mechanisms in place, we trust that this is evidenced in the quality of research and output we produce.</w:t>
      </w:r>
    </w:p>
    <w:p w:rsidR="00EE6B85" w:rsidRDefault="00EE6B85" w:rsidP="00EE6B85">
      <w:pPr>
        <w:tabs>
          <w:tab w:val="num" w:pos="709"/>
        </w:tabs>
        <w:ind w:left="709" w:hanging="709"/>
      </w:pPr>
    </w:p>
    <w:p w:rsidR="00EE6B85" w:rsidRDefault="00EE6B85" w:rsidP="00EE6B85">
      <w:pPr>
        <w:ind w:left="709"/>
        <w:rPr>
          <w:color w:val="008080"/>
        </w:rPr>
      </w:pPr>
      <w:bookmarkStart w:id="471" w:name="_Toc199848575"/>
      <w:r>
        <w:rPr>
          <w:color w:val="008080"/>
        </w:rPr>
        <w:t>Explains how the assessment findings can been monitored and updated since it was originally undertaken.</w:t>
      </w:r>
      <w:bookmarkEnd w:id="471"/>
      <w:r>
        <w:rPr>
          <w:color w:val="008080"/>
        </w:rPr>
        <w:t xml:space="preserve"> </w:t>
      </w:r>
    </w:p>
    <w:p w:rsidR="00EE6B85" w:rsidRDefault="00EE6B85" w:rsidP="00C76826">
      <w:pPr>
        <w:pStyle w:val="Maintext"/>
        <w:numPr>
          <w:ilvl w:val="1"/>
          <w:numId w:val="11"/>
        </w:numPr>
      </w:pPr>
      <w:r>
        <w:t>A series of recommendations for updating the study h</w:t>
      </w:r>
      <w:r w:rsidR="00412F63">
        <w:t>ave been presented at Appendix E</w:t>
      </w:r>
      <w:r>
        <w:t>.</w:t>
      </w:r>
    </w:p>
    <w:p w:rsidR="00EE6B85" w:rsidRDefault="00EE6B85" w:rsidP="00EE6B85"/>
    <w:p w:rsidR="00EE6B85" w:rsidRDefault="00EE6B85" w:rsidP="00EE6B85"/>
    <w:p w:rsidR="00EE6B85" w:rsidRDefault="00EE6B85" w:rsidP="00EE6B85">
      <w:pPr>
        <w:pStyle w:val="Maintext"/>
        <w:numPr>
          <w:ilvl w:val="0"/>
          <w:numId w:val="0"/>
        </w:numPr>
        <w:ind w:left="709" w:hanging="709"/>
      </w:pPr>
    </w:p>
    <w:p w:rsidR="00EE6B85" w:rsidRDefault="00EE6B85" w:rsidP="00EE6B85"/>
    <w:p w:rsidR="00EE6B85" w:rsidRDefault="00EE6B85" w:rsidP="00EE6B85">
      <w:pPr>
        <w:pStyle w:val="Heading1"/>
        <w:numPr>
          <w:ilvl w:val="0"/>
          <w:numId w:val="0"/>
        </w:numPr>
      </w:pPr>
      <w:r>
        <w:br w:type="page"/>
      </w:r>
      <w:bookmarkStart w:id="472" w:name="_Toc318323510"/>
      <w:bookmarkStart w:id="473" w:name="_Toc333507804"/>
      <w:r w:rsidR="00412F63">
        <w:t>Technical Appendix G</w:t>
      </w:r>
      <w:r>
        <w:t>: Affordable housing policy considerations</w:t>
      </w:r>
      <w:bookmarkEnd w:id="472"/>
      <w:bookmarkEnd w:id="473"/>
    </w:p>
    <w:p w:rsidR="00EE6B85" w:rsidRPr="0037368A" w:rsidRDefault="00EE6B85" w:rsidP="00EE6B85">
      <w:pPr>
        <w:pStyle w:val="Heading2"/>
      </w:pPr>
      <w:bookmarkStart w:id="474" w:name="_Toc318323511"/>
      <w:bookmarkStart w:id="475" w:name="_Toc320271473"/>
      <w:bookmarkStart w:id="476" w:name="_Toc321323406"/>
      <w:bookmarkStart w:id="477" w:name="_Toc326077268"/>
      <w:bookmarkStart w:id="478" w:name="_Toc333507805"/>
      <w:bookmarkStart w:id="479" w:name="_Toc280272476"/>
      <w:r>
        <w:t>Introduction</w:t>
      </w:r>
      <w:bookmarkEnd w:id="474"/>
      <w:bookmarkEnd w:id="475"/>
      <w:bookmarkEnd w:id="476"/>
      <w:bookmarkEnd w:id="477"/>
      <w:bookmarkEnd w:id="478"/>
    </w:p>
    <w:p w:rsidR="00412F63" w:rsidRPr="00CD1ECC" w:rsidRDefault="00412F63" w:rsidP="00CD1ECC">
      <w:pPr>
        <w:pStyle w:val="ListParagraph"/>
        <w:ind w:left="709"/>
        <w:jc w:val="both"/>
      </w:pPr>
    </w:p>
    <w:p w:rsidR="00412F63" w:rsidRPr="00CD1ECC" w:rsidRDefault="00412F63" w:rsidP="00CD1ECC">
      <w:pPr>
        <w:pStyle w:val="ListParagraph"/>
        <w:ind w:left="709"/>
        <w:jc w:val="both"/>
      </w:pPr>
    </w:p>
    <w:p w:rsidR="00CD1ECC" w:rsidRPr="00CD1ECC" w:rsidRDefault="00CD1ECC" w:rsidP="00C76826">
      <w:pPr>
        <w:pStyle w:val="ListParagraph"/>
        <w:numPr>
          <w:ilvl w:val="0"/>
          <w:numId w:val="11"/>
        </w:numPr>
        <w:jc w:val="both"/>
        <w:rPr>
          <w:vanish/>
        </w:rPr>
      </w:pPr>
    </w:p>
    <w:p w:rsidR="00CD1ECC" w:rsidRDefault="00CD1ECC" w:rsidP="00C76826">
      <w:pPr>
        <w:pStyle w:val="Maintext"/>
        <w:numPr>
          <w:ilvl w:val="1"/>
          <w:numId w:val="11"/>
        </w:numPr>
      </w:pPr>
      <w:r w:rsidRPr="00CD1ECC">
        <w:t>T</w:t>
      </w:r>
      <w:r w:rsidR="00EE6B85" w:rsidRPr="00CD1ECC">
        <w:t>his</w:t>
      </w:r>
      <w:r w:rsidR="00EE6B85">
        <w:rPr>
          <w:rFonts w:cs="Arial"/>
        </w:rPr>
        <w:t xml:space="preserve"> research provides the </w:t>
      </w:r>
      <w:r w:rsidR="00717558">
        <w:rPr>
          <w:rFonts w:cs="Arial"/>
        </w:rPr>
        <w:t>Council</w:t>
      </w:r>
      <w:r w:rsidR="00EE6B85">
        <w:rPr>
          <w:rFonts w:cs="Arial"/>
        </w:rPr>
        <w:t xml:space="preserve"> with comprehensive information in respect of current and projected future affordable housing needs and requirements within their respective areas. This information will enable the </w:t>
      </w:r>
      <w:r w:rsidR="00717558">
        <w:rPr>
          <w:rFonts w:cs="Arial"/>
        </w:rPr>
        <w:t>Council to review its</w:t>
      </w:r>
      <w:r w:rsidR="00EE6B85">
        <w:rPr>
          <w:rFonts w:cs="Arial"/>
        </w:rPr>
        <w:t xml:space="preserve"> current affordable housing policies and practices to ensure that all opportunities to address identified shortfalls are explored - e</w:t>
      </w:r>
      <w:r w:rsidR="00EE6B85">
        <w:t>vidence from t</w:t>
      </w:r>
      <w:r w:rsidR="00717558">
        <w:t>his study will help the Council</w:t>
      </w:r>
      <w:r w:rsidR="00EE6B85">
        <w:t xml:space="preserve"> when making decisions about their housing numbers and how best to tackle their respective affordable housing shortfalls.      </w:t>
      </w:r>
    </w:p>
    <w:p w:rsidR="00EE6B85" w:rsidRPr="00CD1ECC" w:rsidRDefault="00EE6B85" w:rsidP="00C76826">
      <w:pPr>
        <w:pStyle w:val="Maintext"/>
        <w:numPr>
          <w:ilvl w:val="1"/>
          <w:numId w:val="11"/>
        </w:numPr>
      </w:pPr>
      <w:r w:rsidRPr="00D9765C">
        <w:t xml:space="preserve">When </w:t>
      </w:r>
      <w:r>
        <w:t>reviewing affordable housing policies and planning guidance other key local and sub regional strategic priorities</w:t>
      </w:r>
      <w:r w:rsidRPr="00D9765C">
        <w:t xml:space="preserve"> </w:t>
      </w:r>
      <w:r>
        <w:t xml:space="preserve">will need to be considered, as will the evolving national </w:t>
      </w:r>
      <w:r w:rsidRPr="00D9765C">
        <w:t>strategic housing</w:t>
      </w:r>
      <w:r>
        <w:t xml:space="preserve"> and planning</w:t>
      </w:r>
      <w:r w:rsidRPr="00D9765C">
        <w:t xml:space="preserve"> context</w:t>
      </w:r>
      <w:r>
        <w:t>, including:</w:t>
      </w:r>
    </w:p>
    <w:p w:rsidR="00EE6B85" w:rsidRPr="0042043B" w:rsidRDefault="00EE6B85" w:rsidP="007E46FA">
      <w:pPr>
        <w:numPr>
          <w:ilvl w:val="2"/>
          <w:numId w:val="25"/>
        </w:numPr>
        <w:rPr>
          <w:rFonts w:cs="Arial"/>
        </w:rPr>
      </w:pPr>
      <w:r>
        <w:t xml:space="preserve">Implications of the Localism Act; </w:t>
      </w:r>
    </w:p>
    <w:p w:rsidR="00EE6B85" w:rsidRPr="0042043B" w:rsidRDefault="00EE6B85" w:rsidP="007E46FA">
      <w:pPr>
        <w:numPr>
          <w:ilvl w:val="2"/>
          <w:numId w:val="25"/>
        </w:numPr>
        <w:rPr>
          <w:rFonts w:cs="Arial"/>
        </w:rPr>
      </w:pPr>
      <w:r>
        <w:t xml:space="preserve">Pending publication of the National Planning Framework; </w:t>
      </w:r>
    </w:p>
    <w:p w:rsidR="00EE6B85" w:rsidRPr="00236CF8" w:rsidRDefault="00EE6B85" w:rsidP="007E46FA">
      <w:pPr>
        <w:numPr>
          <w:ilvl w:val="2"/>
          <w:numId w:val="25"/>
        </w:numPr>
        <w:rPr>
          <w:rFonts w:cs="Arial"/>
        </w:rPr>
      </w:pPr>
      <w:r>
        <w:t>Impact of the affordable rent model; and</w:t>
      </w:r>
    </w:p>
    <w:p w:rsidR="00CD1ECC" w:rsidRDefault="00EE6B85" w:rsidP="007E46FA">
      <w:pPr>
        <w:numPr>
          <w:ilvl w:val="2"/>
          <w:numId w:val="25"/>
        </w:numPr>
        <w:rPr>
          <w:rFonts w:cs="Arial"/>
        </w:rPr>
      </w:pPr>
      <w:r>
        <w:t xml:space="preserve">Government priorities set out within the National Housing Strategy. </w:t>
      </w:r>
    </w:p>
    <w:p w:rsidR="00CD1ECC" w:rsidRPr="00CD1ECC" w:rsidRDefault="00EE6B85" w:rsidP="00C76826">
      <w:pPr>
        <w:pStyle w:val="Maintext"/>
        <w:numPr>
          <w:ilvl w:val="1"/>
          <w:numId w:val="11"/>
        </w:numPr>
        <w:rPr>
          <w:rFonts w:cs="Arial"/>
        </w:rPr>
      </w:pPr>
      <w:r w:rsidRPr="00CD1ECC">
        <w:rPr>
          <w:rFonts w:cs="Arial"/>
        </w:rPr>
        <w:t>Combine with these factors</w:t>
      </w:r>
      <w:r>
        <w:t xml:space="preserve"> the current economic climate, and it is clear that the context for affordable housing delivery in </w:t>
      </w:r>
      <w:r w:rsidR="00717558">
        <w:t>County Durham</w:t>
      </w:r>
      <w:r>
        <w:t xml:space="preserve"> is both challenging and evolving. </w:t>
      </w:r>
    </w:p>
    <w:p w:rsidR="00CD1ECC" w:rsidRPr="00CD1ECC" w:rsidRDefault="00EE6B85" w:rsidP="00C76826">
      <w:pPr>
        <w:pStyle w:val="Maintext"/>
        <w:numPr>
          <w:ilvl w:val="1"/>
          <w:numId w:val="11"/>
        </w:numPr>
        <w:rPr>
          <w:rFonts w:cs="Arial"/>
        </w:rPr>
      </w:pPr>
      <w:r>
        <w:t>In these circumstances robust and up to date evidence of the need for affordable housing, which can be used to support appropriate planning policy responses, is particularly important. Given the availability of this up to date evidence</w:t>
      </w:r>
      <w:r w:rsidR="00717558">
        <w:t>, there is merit in the Council reviewing its</w:t>
      </w:r>
      <w:r>
        <w:t xml:space="preserve"> existing mechanisms and considering new options and approaches to affordable housing delivery in the future, this includes exploring the potential for increased flexibility within planning policy approaches.</w:t>
      </w:r>
    </w:p>
    <w:p w:rsidR="00EE6B85" w:rsidRPr="00CD1ECC" w:rsidRDefault="00EE6B85" w:rsidP="00C76826">
      <w:pPr>
        <w:pStyle w:val="Maintext"/>
        <w:numPr>
          <w:ilvl w:val="1"/>
          <w:numId w:val="11"/>
        </w:numPr>
        <w:rPr>
          <w:rFonts w:cs="Arial"/>
        </w:rPr>
      </w:pPr>
      <w:r>
        <w:t xml:space="preserve">Any review of affordable housing policy will also need to be mindful of issues of economic viability, an assessment of which does not form part of this research. </w:t>
      </w:r>
    </w:p>
    <w:p w:rsidR="00EE6B85" w:rsidRDefault="00EE6B85" w:rsidP="00EE6B85">
      <w:pPr>
        <w:pStyle w:val="Maintext"/>
        <w:numPr>
          <w:ilvl w:val="0"/>
          <w:numId w:val="0"/>
        </w:numPr>
        <w:ind w:left="709"/>
      </w:pPr>
    </w:p>
    <w:p w:rsidR="00EE6B85" w:rsidRDefault="00EE6B85" w:rsidP="00EE6B85">
      <w:pPr>
        <w:pStyle w:val="Heading2"/>
      </w:pPr>
      <w:bookmarkStart w:id="480" w:name="_Toc318323512"/>
      <w:bookmarkStart w:id="481" w:name="_Toc320271474"/>
      <w:bookmarkStart w:id="482" w:name="_Toc321323407"/>
      <w:bookmarkStart w:id="483" w:name="_Toc326077269"/>
      <w:bookmarkStart w:id="484" w:name="_Toc333507806"/>
      <w:r>
        <w:t>Local Planning Policy Context</w:t>
      </w:r>
      <w:bookmarkEnd w:id="480"/>
      <w:bookmarkEnd w:id="481"/>
      <w:bookmarkEnd w:id="482"/>
      <w:bookmarkEnd w:id="483"/>
      <w:bookmarkEnd w:id="484"/>
    </w:p>
    <w:p w:rsidR="00EE6B85" w:rsidRPr="00717558" w:rsidRDefault="00EE6B85" w:rsidP="00C76826">
      <w:pPr>
        <w:pStyle w:val="Maintext"/>
        <w:numPr>
          <w:ilvl w:val="1"/>
          <w:numId w:val="11"/>
        </w:numPr>
        <w:rPr>
          <w:rFonts w:cs="Arial"/>
        </w:rPr>
      </w:pPr>
      <w:r w:rsidRPr="00D9765C">
        <w:rPr>
          <w:rFonts w:cs="Arial"/>
        </w:rPr>
        <w:t xml:space="preserve">There is a comprehensive summary of </w:t>
      </w:r>
      <w:r>
        <w:rPr>
          <w:rFonts w:cs="Arial"/>
        </w:rPr>
        <w:t xml:space="preserve">the policy context </w:t>
      </w:r>
      <w:r w:rsidRPr="00D9765C">
        <w:rPr>
          <w:rFonts w:cs="Arial"/>
        </w:rPr>
        <w:t>set out in Section Two of this report</w:t>
      </w:r>
      <w:r>
        <w:rPr>
          <w:rFonts w:cs="Arial"/>
        </w:rPr>
        <w:t>, and the affordable housing requirements need to be reviewed within this context</w:t>
      </w:r>
      <w:r w:rsidRPr="00D9765C">
        <w:rPr>
          <w:rFonts w:cs="Arial"/>
        </w:rPr>
        <w:t xml:space="preserve">. </w:t>
      </w:r>
      <w:r w:rsidR="00717558">
        <w:rPr>
          <w:rFonts w:cs="Arial"/>
        </w:rPr>
        <w:t xml:space="preserve">The Durham Local Plan is currently being prepared and </w:t>
      </w:r>
      <w:r w:rsidR="00717558">
        <w:t>t</w:t>
      </w:r>
      <w:r w:rsidRPr="000D38F5">
        <w:t xml:space="preserve">he 2012 SHMA demonstrates an ongoing requirement for affordable housing across </w:t>
      </w:r>
      <w:r w:rsidR="00717558">
        <w:t>County Durham.</w:t>
      </w:r>
    </w:p>
    <w:p w:rsidR="00717558" w:rsidRPr="00717558" w:rsidRDefault="00717558" w:rsidP="00717558">
      <w:pPr>
        <w:ind w:left="709"/>
        <w:rPr>
          <w:rFonts w:cs="Arial"/>
        </w:rPr>
      </w:pPr>
    </w:p>
    <w:p w:rsidR="00EE6B85" w:rsidRPr="00D9765C" w:rsidRDefault="00EE6B85" w:rsidP="00EE6B85">
      <w:pPr>
        <w:pStyle w:val="Heading2"/>
      </w:pPr>
      <w:bookmarkStart w:id="485" w:name="_Toc318323513"/>
      <w:bookmarkStart w:id="486" w:name="_Toc320271475"/>
      <w:bookmarkStart w:id="487" w:name="_Toc321323408"/>
      <w:bookmarkStart w:id="488" w:name="_Toc326077270"/>
      <w:bookmarkStart w:id="489" w:name="_Toc333507807"/>
      <w:r>
        <w:t>Planning Policy Considerations</w:t>
      </w:r>
      <w:bookmarkEnd w:id="485"/>
      <w:bookmarkEnd w:id="486"/>
      <w:bookmarkEnd w:id="487"/>
      <w:bookmarkEnd w:id="488"/>
      <w:bookmarkEnd w:id="489"/>
    </w:p>
    <w:p w:rsidR="00EE6B85" w:rsidRPr="00DB42E2" w:rsidRDefault="00EE6B85" w:rsidP="00C76826">
      <w:pPr>
        <w:pStyle w:val="Maintext"/>
        <w:numPr>
          <w:ilvl w:val="1"/>
          <w:numId w:val="11"/>
        </w:numPr>
        <w:rPr>
          <w:rFonts w:cs="Arial"/>
          <w:i/>
        </w:rPr>
      </w:pPr>
      <w:r>
        <w:rPr>
          <w:rFonts w:cs="Arial"/>
        </w:rPr>
        <w:t>The</w:t>
      </w:r>
      <w:r w:rsidR="00E42499">
        <w:rPr>
          <w:rFonts w:cs="Arial"/>
        </w:rPr>
        <w:t>re are areas that the Council</w:t>
      </w:r>
      <w:r>
        <w:rPr>
          <w:rFonts w:cs="Arial"/>
        </w:rPr>
        <w:t xml:space="preserve"> may wish to consider, these include reviewing:</w:t>
      </w:r>
    </w:p>
    <w:p w:rsidR="00EE6B85" w:rsidRPr="00DB42E2" w:rsidRDefault="00EE6B85" w:rsidP="007E46FA">
      <w:pPr>
        <w:numPr>
          <w:ilvl w:val="2"/>
          <w:numId w:val="25"/>
        </w:numPr>
        <w:rPr>
          <w:rFonts w:cs="Arial"/>
          <w:i/>
        </w:rPr>
      </w:pPr>
      <w:r>
        <w:rPr>
          <w:rFonts w:cs="Arial"/>
        </w:rPr>
        <w:t>Targets and tenure;</w:t>
      </w:r>
    </w:p>
    <w:p w:rsidR="00EE6B85" w:rsidRPr="00DB42E2" w:rsidRDefault="00EE6B85" w:rsidP="007E46FA">
      <w:pPr>
        <w:numPr>
          <w:ilvl w:val="2"/>
          <w:numId w:val="25"/>
        </w:numPr>
        <w:rPr>
          <w:rFonts w:cs="Arial"/>
          <w:i/>
        </w:rPr>
      </w:pPr>
      <w:r>
        <w:rPr>
          <w:rFonts w:cs="Arial"/>
        </w:rPr>
        <w:t>Type of housing;</w:t>
      </w:r>
      <w:r w:rsidR="00E0599C">
        <w:rPr>
          <w:rFonts w:cs="Arial"/>
        </w:rPr>
        <w:t xml:space="preserve"> and</w:t>
      </w:r>
    </w:p>
    <w:p w:rsidR="00EE6B85" w:rsidRPr="00E0599C" w:rsidRDefault="00EE6B85" w:rsidP="007E46FA">
      <w:pPr>
        <w:numPr>
          <w:ilvl w:val="2"/>
          <w:numId w:val="25"/>
        </w:numPr>
        <w:rPr>
          <w:rFonts w:cs="Arial"/>
          <w:i/>
        </w:rPr>
      </w:pPr>
      <w:r>
        <w:rPr>
          <w:rFonts w:cs="Arial"/>
        </w:rPr>
        <w:t>Use of fun</w:t>
      </w:r>
      <w:r w:rsidR="00E0599C">
        <w:rPr>
          <w:rFonts w:cs="Arial"/>
        </w:rPr>
        <w:t>ding.</w:t>
      </w:r>
      <w:r w:rsidRPr="00E0599C">
        <w:rPr>
          <w:rFonts w:cs="Arial"/>
        </w:rPr>
        <w:t xml:space="preserve"> </w:t>
      </w:r>
    </w:p>
    <w:p w:rsidR="00EE6B85" w:rsidRDefault="00EE6B85" w:rsidP="00EE6B85">
      <w:pPr>
        <w:pStyle w:val="Heading3"/>
      </w:pPr>
    </w:p>
    <w:p w:rsidR="00EE6B85" w:rsidRPr="00D96AD5" w:rsidRDefault="00EE6B85" w:rsidP="00EE6B85">
      <w:pPr>
        <w:pStyle w:val="Heading3"/>
      </w:pPr>
      <w:bookmarkStart w:id="490" w:name="_Toc318323514"/>
      <w:r>
        <w:t>Targets and tenure</w:t>
      </w:r>
      <w:bookmarkEnd w:id="490"/>
    </w:p>
    <w:p w:rsidR="00EE6B85" w:rsidRPr="00F678ED" w:rsidRDefault="00EE6B85" w:rsidP="00C76826">
      <w:pPr>
        <w:pStyle w:val="Maintext"/>
        <w:numPr>
          <w:ilvl w:val="1"/>
          <w:numId w:val="11"/>
        </w:numPr>
        <w:rPr>
          <w:rFonts w:cs="Arial"/>
          <w:i/>
        </w:rPr>
      </w:pPr>
      <w:r>
        <w:rPr>
          <w:rFonts w:cs="Arial"/>
        </w:rPr>
        <w:t>Evidence from this research indicates that there remains a sustained and unmet need for affordable housing both for social rent and for intermediate tenure. Survey evidence sugg</w:t>
      </w:r>
      <w:r w:rsidR="00A909F6">
        <w:rPr>
          <w:rFonts w:cs="Arial"/>
        </w:rPr>
        <w:t>ests a tenure split of 76.7</w:t>
      </w:r>
      <w:r>
        <w:rPr>
          <w:rFonts w:cs="Arial"/>
        </w:rPr>
        <w:t>%</w:t>
      </w:r>
      <w:r w:rsidR="00717558">
        <w:rPr>
          <w:rFonts w:cs="Arial"/>
        </w:rPr>
        <w:t xml:space="preserve"> s</w:t>
      </w:r>
      <w:r w:rsidR="00A909F6">
        <w:rPr>
          <w:rFonts w:cs="Arial"/>
        </w:rPr>
        <w:t>ocial (affordable) rent and 23.3</w:t>
      </w:r>
      <w:r>
        <w:rPr>
          <w:rFonts w:cs="Arial"/>
        </w:rPr>
        <w:t>% intermediate tenure would reflect household aspirations. However, any site by site assessment would require an economic viability assessment to establish an appropriate tenure split for a particular development.</w:t>
      </w:r>
    </w:p>
    <w:p w:rsidR="00EE6B85" w:rsidRDefault="00EE6B85" w:rsidP="00EE6B85">
      <w:pPr>
        <w:pStyle w:val="Heading3"/>
      </w:pPr>
    </w:p>
    <w:p w:rsidR="00EE6B85" w:rsidRPr="00DA2F95" w:rsidRDefault="00EE6B85" w:rsidP="00EE6B85">
      <w:pPr>
        <w:pStyle w:val="Heading3"/>
      </w:pPr>
      <w:bookmarkStart w:id="491" w:name="_Toc318323515"/>
      <w:r>
        <w:t>Type</w:t>
      </w:r>
      <w:bookmarkEnd w:id="491"/>
    </w:p>
    <w:p w:rsidR="00EE6B85" w:rsidRDefault="00EE6B85" w:rsidP="00C76826">
      <w:pPr>
        <w:pStyle w:val="Maintext"/>
        <w:numPr>
          <w:ilvl w:val="1"/>
          <w:numId w:val="11"/>
        </w:numPr>
        <w:rPr>
          <w:rFonts w:cs="Arial"/>
        </w:rPr>
      </w:pPr>
      <w:r w:rsidRPr="00D9765C">
        <w:rPr>
          <w:rFonts w:cs="Arial"/>
        </w:rPr>
        <w:t xml:space="preserve">In terms of property type, the </w:t>
      </w:r>
      <w:r>
        <w:rPr>
          <w:rFonts w:cs="Arial"/>
        </w:rPr>
        <w:t xml:space="preserve">affordable housing </w:t>
      </w:r>
      <w:r w:rsidRPr="00D9765C">
        <w:rPr>
          <w:rFonts w:cs="Arial"/>
        </w:rPr>
        <w:t xml:space="preserve">requirements identified indicate a range of needs. </w:t>
      </w:r>
      <w:r>
        <w:rPr>
          <w:rFonts w:cs="Arial"/>
        </w:rPr>
        <w:t xml:space="preserve">It is important to review these requirements against </w:t>
      </w:r>
      <w:r w:rsidRPr="00D9765C">
        <w:rPr>
          <w:rFonts w:cs="Arial"/>
        </w:rPr>
        <w:t xml:space="preserve">potential development capacity across the </w:t>
      </w:r>
      <w:r w:rsidR="00717558">
        <w:rPr>
          <w:rFonts w:cs="Arial"/>
        </w:rPr>
        <w:t>County</w:t>
      </w:r>
      <w:r w:rsidRPr="00D9765C">
        <w:rPr>
          <w:rFonts w:cs="Arial"/>
        </w:rPr>
        <w:t xml:space="preserve">, </w:t>
      </w:r>
      <w:r>
        <w:rPr>
          <w:rFonts w:cs="Arial"/>
        </w:rPr>
        <w:t>before deciding whether to</w:t>
      </w:r>
      <w:r w:rsidRPr="00D9765C">
        <w:rPr>
          <w:rFonts w:cs="Arial"/>
        </w:rPr>
        <w:t xml:space="preserve"> seek a pro-rata match of private housing on all new developments</w:t>
      </w:r>
      <w:r>
        <w:rPr>
          <w:rFonts w:cs="Arial"/>
        </w:rPr>
        <w:t xml:space="preserve">, or stipulate specific property size requirements on a site by site basis. </w:t>
      </w:r>
    </w:p>
    <w:p w:rsidR="00EE6B85" w:rsidRDefault="00EE6B85" w:rsidP="00C76826">
      <w:pPr>
        <w:pStyle w:val="Maintext"/>
        <w:numPr>
          <w:ilvl w:val="1"/>
          <w:numId w:val="11"/>
        </w:numPr>
        <w:rPr>
          <w:rFonts w:cs="Arial"/>
        </w:rPr>
      </w:pPr>
      <w:r>
        <w:rPr>
          <w:rFonts w:cs="Arial"/>
        </w:rPr>
        <w:t xml:space="preserve">Whichever approach is adopted, it will </w:t>
      </w:r>
      <w:r w:rsidRPr="00D9765C">
        <w:rPr>
          <w:rFonts w:cs="Arial"/>
        </w:rPr>
        <w:t>need to be viabl</w:t>
      </w:r>
      <w:r>
        <w:rPr>
          <w:rFonts w:cs="Arial"/>
        </w:rPr>
        <w:t>e</w:t>
      </w:r>
      <w:r w:rsidRPr="00D9765C">
        <w:rPr>
          <w:rFonts w:cs="Arial"/>
        </w:rPr>
        <w:t xml:space="preserve"> on individual sites, with some developments providing greater opportunities to deliver certain types of homes than others. Given the identified </w:t>
      </w:r>
      <w:r w:rsidR="007C0D8D">
        <w:rPr>
          <w:rFonts w:cs="Arial"/>
        </w:rPr>
        <w:t>property preferences (house 62.</w:t>
      </w:r>
      <w:r w:rsidR="00A909F6">
        <w:rPr>
          <w:rFonts w:cs="Arial"/>
        </w:rPr>
        <w:t>8</w:t>
      </w:r>
      <w:r>
        <w:rPr>
          <w:rFonts w:cs="Arial"/>
        </w:rPr>
        <w:t xml:space="preserve">%, </w:t>
      </w:r>
      <w:r w:rsidR="007C0D8D">
        <w:rPr>
          <w:rFonts w:cs="Arial"/>
        </w:rPr>
        <w:t>bungalow 27.2</w:t>
      </w:r>
      <w:r w:rsidR="00A909F6">
        <w:rPr>
          <w:rFonts w:cs="Arial"/>
        </w:rPr>
        <w:t>%</w:t>
      </w:r>
      <w:r w:rsidR="007C0D8D">
        <w:rPr>
          <w:rFonts w:cs="Arial"/>
        </w:rPr>
        <w:t xml:space="preserve"> and flats (10</w:t>
      </w:r>
      <w:r w:rsidR="00717558">
        <w:rPr>
          <w:rFonts w:cs="Arial"/>
        </w:rPr>
        <w:t>%)</w:t>
      </w:r>
      <w:r>
        <w:rPr>
          <w:rFonts w:cs="Arial"/>
        </w:rPr>
        <w:t xml:space="preserve">, </w:t>
      </w:r>
      <w:r w:rsidRPr="00D9765C">
        <w:rPr>
          <w:rFonts w:cs="Arial"/>
        </w:rPr>
        <w:t>the Council could consider adopting a plan, monitor, manage approach to the type of affordable housing delivered, setting targets for individual property types</w:t>
      </w:r>
      <w:r>
        <w:rPr>
          <w:rFonts w:cs="Arial"/>
        </w:rPr>
        <w:t xml:space="preserve"> within specific areas</w:t>
      </w:r>
      <w:r w:rsidRPr="00D9765C">
        <w:rPr>
          <w:rFonts w:cs="Arial"/>
        </w:rPr>
        <w:t xml:space="preserve">.  </w:t>
      </w:r>
    </w:p>
    <w:p w:rsidR="00EE6B85" w:rsidRDefault="00EE6B85" w:rsidP="00EE6B85">
      <w:pPr>
        <w:pStyle w:val="Heading3"/>
      </w:pPr>
    </w:p>
    <w:p w:rsidR="00EE6B85" w:rsidRPr="006D7683" w:rsidRDefault="00EE6B85" w:rsidP="00EE6B85">
      <w:pPr>
        <w:pStyle w:val="Heading3"/>
      </w:pPr>
      <w:bookmarkStart w:id="492" w:name="_Toc318323516"/>
      <w:r>
        <w:t>Use of HCA funding</w:t>
      </w:r>
      <w:bookmarkEnd w:id="492"/>
    </w:p>
    <w:p w:rsidR="00CD1ECC" w:rsidRPr="00CD1ECC" w:rsidRDefault="00EE6B85" w:rsidP="00C76826">
      <w:pPr>
        <w:pStyle w:val="Maintext"/>
        <w:numPr>
          <w:ilvl w:val="1"/>
          <w:numId w:val="11"/>
        </w:numPr>
        <w:rPr>
          <w:rFonts w:cs="Arial"/>
          <w:b/>
          <w:iCs/>
          <w:color w:val="008080"/>
        </w:rPr>
      </w:pPr>
      <w:r w:rsidRPr="00D9765C">
        <w:rPr>
          <w:rFonts w:cs="Arial"/>
        </w:rPr>
        <w:t xml:space="preserve">This policy advice is based on an assumption that affordable housing will need to be delivered without grant or other public subsidy. </w:t>
      </w:r>
      <w:r>
        <w:rPr>
          <w:rFonts w:cs="Arial"/>
        </w:rPr>
        <w:t xml:space="preserve">Indeed, the 2010 Comprehensive Spending Review saw a drastic cut in the housing capital budget (in excess of 60%), and the advent of the affordable rent model. It is not yet clear what the impact of the affordable rent model will be within </w:t>
      </w:r>
      <w:r w:rsidR="00717558">
        <w:rPr>
          <w:rFonts w:cs="Arial"/>
        </w:rPr>
        <w:t>County Durham</w:t>
      </w:r>
      <w:r>
        <w:rPr>
          <w:rFonts w:cs="Arial"/>
        </w:rPr>
        <w:t xml:space="preserve">. </w:t>
      </w:r>
    </w:p>
    <w:p w:rsidR="00EE6B85" w:rsidRPr="00CD1ECC" w:rsidRDefault="00EE6B85" w:rsidP="00C76826">
      <w:pPr>
        <w:pStyle w:val="Maintext"/>
        <w:numPr>
          <w:ilvl w:val="1"/>
          <w:numId w:val="11"/>
        </w:numPr>
        <w:rPr>
          <w:rFonts w:cs="Arial"/>
          <w:b/>
          <w:iCs/>
          <w:color w:val="008080"/>
        </w:rPr>
      </w:pPr>
      <w:r w:rsidRPr="00CD1ECC">
        <w:rPr>
          <w:rFonts w:cs="Arial"/>
        </w:rPr>
        <w:t xml:space="preserve">Resources under the Affordable Homes Programme have now been allocated by the HCA, and Registered Providers have identified the sites and schemes on which they anticipate investing these resources, it is not clear to what extent these resources will be available to subsidise social rented housing planning obligations in the future. </w:t>
      </w:r>
    </w:p>
    <w:p w:rsidR="00EE6B85" w:rsidRPr="00D9765C" w:rsidRDefault="00EE6B85" w:rsidP="00EE6B85">
      <w:pPr>
        <w:ind w:left="709"/>
        <w:rPr>
          <w:rFonts w:cs="Arial"/>
          <w:b/>
          <w:iCs/>
          <w:color w:val="008080"/>
        </w:rPr>
      </w:pPr>
    </w:p>
    <w:p w:rsidR="00EE6B85" w:rsidRPr="00D9765C" w:rsidRDefault="00EE6B85" w:rsidP="00EE6B85">
      <w:pPr>
        <w:pStyle w:val="Heading2"/>
      </w:pPr>
      <w:bookmarkStart w:id="493" w:name="_Toc318323517"/>
      <w:bookmarkStart w:id="494" w:name="_Toc320271476"/>
      <w:bookmarkStart w:id="495" w:name="_Toc321323409"/>
      <w:bookmarkStart w:id="496" w:name="_Toc326077271"/>
      <w:bookmarkStart w:id="497" w:name="_Toc333507808"/>
      <w:r w:rsidRPr="00D9765C">
        <w:t>Policy</w:t>
      </w:r>
      <w:r>
        <w:t xml:space="preserve"> Recommendations</w:t>
      </w:r>
      <w:bookmarkEnd w:id="493"/>
      <w:bookmarkEnd w:id="494"/>
      <w:bookmarkEnd w:id="495"/>
      <w:bookmarkEnd w:id="496"/>
      <w:bookmarkEnd w:id="497"/>
    </w:p>
    <w:p w:rsidR="00CD1ECC" w:rsidRDefault="00EE6B85" w:rsidP="00C76826">
      <w:pPr>
        <w:pStyle w:val="Maintext"/>
        <w:numPr>
          <w:ilvl w:val="1"/>
          <w:numId w:val="11"/>
        </w:numPr>
        <w:rPr>
          <w:rFonts w:cs="Arial"/>
        </w:rPr>
      </w:pPr>
      <w:r w:rsidRPr="00D9765C">
        <w:rPr>
          <w:rFonts w:cs="Arial"/>
        </w:rPr>
        <w:t xml:space="preserve">This research has identified </w:t>
      </w:r>
      <w:r>
        <w:rPr>
          <w:rFonts w:cs="Arial"/>
        </w:rPr>
        <w:t xml:space="preserve">shortfalls in affordable housing </w:t>
      </w:r>
      <w:r w:rsidR="00717558">
        <w:rPr>
          <w:rFonts w:cs="Arial"/>
        </w:rPr>
        <w:t>across County Durham</w:t>
      </w:r>
      <w:r w:rsidRPr="00D9765C">
        <w:rPr>
          <w:rFonts w:cs="Arial"/>
        </w:rPr>
        <w:t xml:space="preserve"> which </w:t>
      </w:r>
      <w:r w:rsidR="00582920" w:rsidRPr="00D9765C">
        <w:rPr>
          <w:rFonts w:cs="Arial"/>
        </w:rPr>
        <w:t>needs</w:t>
      </w:r>
      <w:r w:rsidRPr="00D9765C">
        <w:rPr>
          <w:rFonts w:cs="Arial"/>
        </w:rPr>
        <w:t xml:space="preserve"> to be addressed if the Council</w:t>
      </w:r>
      <w:r w:rsidR="00717558">
        <w:rPr>
          <w:rFonts w:cs="Arial"/>
        </w:rPr>
        <w:t xml:space="preserve"> is</w:t>
      </w:r>
      <w:r w:rsidRPr="00D9765C">
        <w:rPr>
          <w:rFonts w:cs="Arial"/>
        </w:rPr>
        <w:t xml:space="preserve"> to deliver balanced and sustainable communities</w:t>
      </w:r>
      <w:r>
        <w:rPr>
          <w:rFonts w:cs="Arial"/>
        </w:rPr>
        <w:t xml:space="preserve"> over the long-term</w:t>
      </w:r>
      <w:r w:rsidRPr="00D9765C">
        <w:rPr>
          <w:rFonts w:cs="Arial"/>
        </w:rPr>
        <w:t xml:space="preserve">. </w:t>
      </w:r>
      <w:r>
        <w:rPr>
          <w:rFonts w:cs="Arial"/>
        </w:rPr>
        <w:t>This research can further help enhance the Council</w:t>
      </w:r>
      <w:r w:rsidR="00717558">
        <w:rPr>
          <w:rFonts w:cs="Arial"/>
        </w:rPr>
        <w:t>’s</w:t>
      </w:r>
      <w:r>
        <w:rPr>
          <w:rFonts w:cs="Arial"/>
        </w:rPr>
        <w:t xml:space="preserve"> affordable housing planning policy approaches through provision of up-to-date information on housing need and demand, affordability, and property type and tenure requirements. </w:t>
      </w:r>
    </w:p>
    <w:p w:rsidR="00EE6B85" w:rsidRPr="00CD1ECC" w:rsidRDefault="00EE6B85" w:rsidP="00C76826">
      <w:pPr>
        <w:pStyle w:val="Maintext"/>
        <w:numPr>
          <w:ilvl w:val="1"/>
          <w:numId w:val="11"/>
        </w:numPr>
        <w:rPr>
          <w:rFonts w:cs="Arial"/>
        </w:rPr>
      </w:pPr>
      <w:r w:rsidRPr="00D9765C">
        <w:t>It is recommended that the Council</w:t>
      </w:r>
      <w:r>
        <w:t xml:space="preserve"> consider</w:t>
      </w:r>
      <w:r w:rsidR="00E42499">
        <w:t>s</w:t>
      </w:r>
      <w:r>
        <w:t xml:space="preserve"> and further explor</w:t>
      </w:r>
      <w:r w:rsidR="00E42499">
        <w:t>es</w:t>
      </w:r>
      <w:r w:rsidRPr="00D9765C">
        <w:t>:</w:t>
      </w:r>
    </w:p>
    <w:p w:rsidR="003D43F1" w:rsidRDefault="003D43F1" w:rsidP="007E46FA">
      <w:pPr>
        <w:numPr>
          <w:ilvl w:val="2"/>
          <w:numId w:val="25"/>
        </w:numPr>
      </w:pPr>
      <w:r>
        <w:t>Applying affordable housing requirements with flexibility whilst the market is in recession subject to the provision of robust viability evidence from developers when flexibility is sought;</w:t>
      </w:r>
    </w:p>
    <w:p w:rsidR="00EE6B85" w:rsidRPr="00977303" w:rsidRDefault="00EE6B85" w:rsidP="007E46FA">
      <w:pPr>
        <w:numPr>
          <w:ilvl w:val="2"/>
          <w:numId w:val="25"/>
        </w:numPr>
        <w:rPr>
          <w:rFonts w:cs="Arial"/>
        </w:rPr>
      </w:pPr>
      <w:r>
        <w:t xml:space="preserve">Working with developers to explore innovative ways to deliver affordable housing in their areas; </w:t>
      </w:r>
    </w:p>
    <w:p w:rsidR="00EE6B85" w:rsidRPr="00977303" w:rsidRDefault="00EE6B85" w:rsidP="007E46FA">
      <w:pPr>
        <w:numPr>
          <w:ilvl w:val="2"/>
          <w:numId w:val="25"/>
        </w:numPr>
        <w:rPr>
          <w:rFonts w:cs="Arial"/>
        </w:rPr>
      </w:pPr>
      <w:r w:rsidRPr="00D9765C">
        <w:t>Discuss with the HCA and R</w:t>
      </w:r>
      <w:r>
        <w:t>egistered Provider</w:t>
      </w:r>
      <w:r w:rsidRPr="00D9765C">
        <w:t xml:space="preserve"> partners options to maximise and  facilitate affordable housing delivery in current market conditions, including investment opportunities and the</w:t>
      </w:r>
      <w:r>
        <w:t xml:space="preserve"> future</w:t>
      </w:r>
      <w:r w:rsidRPr="00D9765C">
        <w:t xml:space="preserve"> use of funding; </w:t>
      </w:r>
    </w:p>
    <w:p w:rsidR="00EE6B85" w:rsidRDefault="00EE6B85" w:rsidP="007E46FA">
      <w:pPr>
        <w:numPr>
          <w:ilvl w:val="2"/>
          <w:numId w:val="25"/>
        </w:numPr>
        <w:rPr>
          <w:rFonts w:cs="Arial"/>
        </w:rPr>
      </w:pPr>
      <w:r>
        <w:t>Monitoring, reviewing and responding to the changing national policy agenda to be implemented through the National Planning Framework</w:t>
      </w:r>
      <w:r>
        <w:rPr>
          <w:rFonts w:cs="Arial"/>
        </w:rPr>
        <w:t>; and</w:t>
      </w:r>
    </w:p>
    <w:p w:rsidR="003A6F13" w:rsidRPr="00C92F5C" w:rsidRDefault="00EE6B85" w:rsidP="007E46FA">
      <w:pPr>
        <w:numPr>
          <w:ilvl w:val="2"/>
          <w:numId w:val="25"/>
        </w:numPr>
        <w:rPr>
          <w:rFonts w:cs="Arial"/>
        </w:rPr>
      </w:pPr>
      <w:r w:rsidRPr="0037368A">
        <w:rPr>
          <w:rFonts w:cs="Arial"/>
        </w:rPr>
        <w:t>Continued monitoring of affordable housing delivery (effective monitoring of delivery is increasingly important when applying policy flexibly)</w:t>
      </w:r>
      <w:bookmarkEnd w:id="479"/>
      <w:r>
        <w:t xml:space="preserve"> </w:t>
      </w:r>
    </w:p>
    <w:sectPr w:rsidR="003A6F13" w:rsidRPr="00C92F5C" w:rsidSect="008A78C8">
      <w:footerReference w:type="even" r:id="rId34"/>
      <w:footerReference w:type="default" r:id="rId35"/>
      <w:pgSz w:w="11907" w:h="16840" w:code="9"/>
      <w:pgMar w:top="1304" w:right="1304" w:bottom="1559" w:left="1304" w:header="720" w:footer="567" w:gutter="0"/>
      <w:cols w:space="708"/>
      <w:noEndnote/>
      <w:docGrid w:linePitch="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A6F" w:rsidRDefault="00034A6F">
      <w:r>
        <w:separator/>
      </w:r>
    </w:p>
  </w:endnote>
  <w:endnote w:type="continuationSeparator" w:id="0">
    <w:p w:rsidR="00034A6F" w:rsidRDefault="0003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llSans">
    <w:panose1 w:val="00000000000000000000"/>
    <w:charset w:val="00"/>
    <w:family w:val="swiss"/>
    <w:notTrueType/>
    <w:pitch w:val="variable"/>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Pr="00495843" w:rsidRDefault="007F16E0">
    <w:pPr>
      <w:pStyle w:val="Footer-Abra"/>
      <w:pBdr>
        <w:top w:val="single" w:sz="4" w:space="1" w:color="008080"/>
      </w:pBdr>
      <w:tabs>
        <w:tab w:val="clear" w:pos="8640"/>
        <w:tab w:val="right" w:pos="9214"/>
      </w:tabs>
      <w:rPr>
        <w:rFonts w:ascii="Arial" w:hAnsi="Arial" w:cs="Arial"/>
        <w:sz w:val="24"/>
        <w:szCs w:val="24"/>
      </w:rPr>
    </w:pPr>
    <w:r w:rsidRPr="00495843">
      <w:rPr>
        <w:rFonts w:ascii="Arial" w:hAnsi="Arial" w:cs="Arial"/>
        <w:sz w:val="24"/>
        <w:szCs w:val="24"/>
      </w:rPr>
      <w:t>arc</w:t>
    </w:r>
    <w:r w:rsidRPr="00495843">
      <w:rPr>
        <w:rFonts w:ascii="Arial" w:hAnsi="Arial" w:cs="Arial"/>
        <w:sz w:val="24"/>
        <w:szCs w:val="24"/>
        <w:vertAlign w:val="superscript"/>
      </w:rPr>
      <w:t>4</w:t>
    </w:r>
    <w:r w:rsidR="00660470">
      <w:rPr>
        <w:rFonts w:ascii="Arial" w:hAnsi="Arial" w:cs="Arial"/>
        <w:noProof/>
        <w:sz w:val="24"/>
        <w:szCs w:val="24"/>
        <w:lang w:eastAsia="en-GB"/>
      </w:rPr>
      <mc:AlternateContent>
        <mc:Choice Requires="wps">
          <w:drawing>
            <wp:anchor distT="0" distB="0" distL="114300" distR="114300" simplePos="0" relativeHeight="251656192" behindDoc="0" locked="0" layoutInCell="1" allowOverlap="1">
              <wp:simplePos x="0" y="0"/>
              <wp:positionH relativeFrom="column">
                <wp:posOffset>660400</wp:posOffset>
              </wp:positionH>
              <wp:positionV relativeFrom="paragraph">
                <wp:posOffset>3716020</wp:posOffset>
              </wp:positionV>
              <wp:extent cx="1753870" cy="722630"/>
              <wp:effectExtent l="12700" t="10795" r="5080" b="952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rsidR="007F16E0" w:rsidRDefault="007F16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52pt;margin-top:292.6pt;width:138.1pt;height:5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">
              <v:textbox>
                <w:txbxContent>
                  <w:p w:rsidR="007F16E0" w:rsidRDefault="007F16E0"/>
                </w:txbxContent>
              </v:textbox>
            </v:shape>
          </w:pict>
        </mc:Fallback>
      </mc:AlternateContent>
    </w:r>
    <w:r w:rsidRPr="00495843">
      <w:rPr>
        <w:rFonts w:ascii="Arial" w:hAnsi="Arial" w:cs="Arial"/>
        <w:sz w:val="24"/>
        <w:szCs w:val="24"/>
        <w:vertAlign w:val="superscript"/>
      </w:rPr>
      <w:tab/>
    </w:r>
    <w:r w:rsidRPr="00495843">
      <w:rPr>
        <w:rFonts w:ascii="Arial" w:hAnsi="Arial" w:cs="Arial"/>
        <w:sz w:val="24"/>
        <w:szCs w:val="24"/>
      </w:rPr>
      <w:tab/>
    </w:r>
    <w:r w:rsidR="0013742C" w:rsidRPr="00495843">
      <w:rPr>
        <w:rStyle w:val="PageNumber"/>
        <w:rFonts w:ascii="Arial" w:hAnsi="Arial" w:cs="Arial"/>
        <w:color w:val="008080"/>
        <w:sz w:val="24"/>
        <w:szCs w:val="24"/>
      </w:rPr>
      <w:fldChar w:fldCharType="begin"/>
    </w:r>
    <w:r w:rsidRPr="00495843">
      <w:rPr>
        <w:rStyle w:val="PageNumber"/>
        <w:rFonts w:ascii="Arial" w:hAnsi="Arial" w:cs="Arial"/>
        <w:color w:val="008080"/>
        <w:sz w:val="24"/>
        <w:szCs w:val="24"/>
      </w:rPr>
      <w:instrText xml:space="preserve"> PAGE </w:instrText>
    </w:r>
    <w:r w:rsidR="0013742C" w:rsidRPr="00495843">
      <w:rPr>
        <w:rStyle w:val="PageNumber"/>
        <w:rFonts w:ascii="Arial" w:hAnsi="Arial" w:cs="Arial"/>
        <w:color w:val="008080"/>
        <w:sz w:val="24"/>
        <w:szCs w:val="24"/>
      </w:rPr>
      <w:fldChar w:fldCharType="separate"/>
    </w:r>
    <w:r w:rsidR="00D35BA6">
      <w:rPr>
        <w:rStyle w:val="PageNumber"/>
        <w:rFonts w:ascii="Arial" w:hAnsi="Arial" w:cs="Arial"/>
        <w:noProof/>
        <w:color w:val="008080"/>
        <w:sz w:val="24"/>
        <w:szCs w:val="24"/>
      </w:rPr>
      <w:t>3</w:t>
    </w:r>
    <w:r w:rsidR="0013742C" w:rsidRPr="00495843">
      <w:rPr>
        <w:rStyle w:val="PageNumber"/>
        <w:rFonts w:ascii="Arial" w:hAnsi="Arial" w:cs="Arial"/>
        <w:color w:val="008080"/>
        <w:sz w:val="24"/>
        <w:szCs w:val="24"/>
      </w:rPr>
      <w:fldChar w:fldCharType="end"/>
    </w:r>
  </w:p>
  <w:p w:rsidR="007F16E0" w:rsidRDefault="007C0D8D" w:rsidP="007C0D8D">
    <w:pPr>
      <w:pStyle w:val="Footer"/>
      <w:rPr>
        <w:color w:val="008080"/>
        <w:sz w:val="20"/>
        <w:szCs w:val="20"/>
      </w:rPr>
    </w:pPr>
    <w:r>
      <w:rPr>
        <w:color w:val="008080"/>
        <w:sz w:val="20"/>
        <w:szCs w:val="20"/>
      </w:rPr>
      <w:t>County Durham 2013 Strategic Housing Assessment Draft Final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Pr="00495843" w:rsidRDefault="007F16E0">
    <w:pPr>
      <w:pStyle w:val="Footer-Abra"/>
      <w:pBdr>
        <w:top w:val="single" w:sz="4" w:space="1" w:color="008080"/>
      </w:pBdr>
      <w:tabs>
        <w:tab w:val="clear" w:pos="8640"/>
        <w:tab w:val="right" w:pos="9214"/>
      </w:tabs>
      <w:rPr>
        <w:rFonts w:ascii="Arial" w:hAnsi="Arial" w:cs="Arial"/>
        <w:sz w:val="24"/>
        <w:szCs w:val="24"/>
      </w:rPr>
    </w:pPr>
    <w:r w:rsidRPr="00495843">
      <w:rPr>
        <w:rFonts w:ascii="Arial" w:hAnsi="Arial" w:cs="Arial"/>
        <w:sz w:val="24"/>
        <w:szCs w:val="24"/>
      </w:rPr>
      <w:t>arc</w:t>
    </w:r>
    <w:r w:rsidRPr="00495843">
      <w:rPr>
        <w:rFonts w:ascii="Arial" w:hAnsi="Arial" w:cs="Arial"/>
        <w:sz w:val="24"/>
        <w:szCs w:val="24"/>
        <w:vertAlign w:val="superscript"/>
      </w:rPr>
      <w:t>4</w:t>
    </w:r>
    <w:r w:rsidR="00660470">
      <w:rPr>
        <w:rFonts w:ascii="Arial" w:hAnsi="Arial" w:cs="Arial"/>
        <w:noProof/>
        <w:sz w:val="24"/>
        <w:szCs w:val="24"/>
        <w:lang w:eastAsia="en-GB"/>
      </w:rPr>
      <mc:AlternateContent>
        <mc:Choice Requires="wps">
          <w:drawing>
            <wp:anchor distT="0" distB="0" distL="114300" distR="114300" simplePos="0" relativeHeight="251655168" behindDoc="0" locked="0" layoutInCell="1" allowOverlap="1">
              <wp:simplePos x="0" y="0"/>
              <wp:positionH relativeFrom="column">
                <wp:posOffset>660400</wp:posOffset>
              </wp:positionH>
              <wp:positionV relativeFrom="paragraph">
                <wp:posOffset>3716020</wp:posOffset>
              </wp:positionV>
              <wp:extent cx="1753870" cy="722630"/>
              <wp:effectExtent l="12700" t="10795" r="5080" b="952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rsidR="007F16E0" w:rsidRDefault="007F16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52pt;margin-top:292.6pt;width:138.1pt;height:5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">
              <v:textbox>
                <w:txbxContent>
                  <w:p w:rsidR="007F16E0" w:rsidRDefault="007F16E0"/>
                </w:txbxContent>
              </v:textbox>
            </v:shape>
          </w:pict>
        </mc:Fallback>
      </mc:AlternateContent>
    </w:r>
    <w:r w:rsidRPr="00495843">
      <w:rPr>
        <w:rFonts w:ascii="Arial" w:hAnsi="Arial" w:cs="Arial"/>
        <w:sz w:val="24"/>
        <w:szCs w:val="24"/>
        <w:vertAlign w:val="superscript"/>
      </w:rPr>
      <w:tab/>
    </w:r>
    <w:r w:rsidRPr="00495843">
      <w:rPr>
        <w:rFonts w:ascii="Arial" w:hAnsi="Arial" w:cs="Arial"/>
        <w:sz w:val="24"/>
        <w:szCs w:val="24"/>
      </w:rPr>
      <w:tab/>
    </w:r>
    <w:r w:rsidR="0013742C" w:rsidRPr="00495843">
      <w:rPr>
        <w:rStyle w:val="PageNumber"/>
        <w:rFonts w:ascii="Arial" w:hAnsi="Arial" w:cs="Arial"/>
        <w:color w:val="008080"/>
        <w:sz w:val="24"/>
        <w:szCs w:val="24"/>
      </w:rPr>
      <w:fldChar w:fldCharType="begin"/>
    </w:r>
    <w:r w:rsidRPr="00495843">
      <w:rPr>
        <w:rStyle w:val="PageNumber"/>
        <w:rFonts w:ascii="Arial" w:hAnsi="Arial" w:cs="Arial"/>
        <w:color w:val="008080"/>
        <w:sz w:val="24"/>
        <w:szCs w:val="24"/>
      </w:rPr>
      <w:instrText xml:space="preserve"> PAGE </w:instrText>
    </w:r>
    <w:r w:rsidR="0013742C" w:rsidRPr="00495843">
      <w:rPr>
        <w:rStyle w:val="PageNumber"/>
        <w:rFonts w:ascii="Arial" w:hAnsi="Arial" w:cs="Arial"/>
        <w:color w:val="008080"/>
        <w:sz w:val="24"/>
        <w:szCs w:val="24"/>
      </w:rPr>
      <w:fldChar w:fldCharType="separate"/>
    </w:r>
    <w:r w:rsidR="00660470">
      <w:rPr>
        <w:rStyle w:val="PageNumber"/>
        <w:rFonts w:ascii="Arial" w:hAnsi="Arial" w:cs="Arial"/>
        <w:noProof/>
        <w:color w:val="008080"/>
        <w:sz w:val="24"/>
        <w:szCs w:val="24"/>
      </w:rPr>
      <w:t>76</w:t>
    </w:r>
    <w:r w:rsidR="0013742C" w:rsidRPr="00495843">
      <w:rPr>
        <w:rStyle w:val="PageNumber"/>
        <w:rFonts w:ascii="Arial" w:hAnsi="Arial" w:cs="Arial"/>
        <w:color w:val="008080"/>
        <w:sz w:val="24"/>
        <w:szCs w:val="24"/>
      </w:rPr>
      <w:fldChar w:fldCharType="end"/>
    </w:r>
  </w:p>
  <w:p w:rsidR="007F16E0" w:rsidRDefault="007F16E0">
    <w:pPr>
      <w:pStyle w:val="Footer"/>
      <w:rPr>
        <w:color w:val="008080"/>
        <w:sz w:val="20"/>
        <w:szCs w:val="20"/>
      </w:rPr>
    </w:pPr>
    <w:r>
      <w:rPr>
        <w:color w:val="008080"/>
        <w:sz w:val="20"/>
        <w:szCs w:val="20"/>
      </w:rPr>
      <w:t>County Durham 2013 Strategic Housing Assessment Update Report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Default="0013742C">
    <w:pPr>
      <w:pStyle w:val="Footer"/>
      <w:framePr w:wrap="around" w:vAnchor="text" w:hAnchor="margin" w:xAlign="right" w:y="1"/>
      <w:rPr>
        <w:rStyle w:val="PageNumber"/>
      </w:rPr>
    </w:pPr>
    <w:r>
      <w:rPr>
        <w:rStyle w:val="PageNumber"/>
      </w:rPr>
      <w:fldChar w:fldCharType="begin"/>
    </w:r>
    <w:r w:rsidR="007F16E0">
      <w:rPr>
        <w:rStyle w:val="PageNumber"/>
      </w:rPr>
      <w:instrText xml:space="preserve">PAGE  </w:instrText>
    </w:r>
    <w:r>
      <w:rPr>
        <w:rStyle w:val="PageNumber"/>
      </w:rPr>
      <w:fldChar w:fldCharType="end"/>
    </w:r>
  </w:p>
  <w:p w:rsidR="007F16E0" w:rsidRDefault="007F16E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Pr="00495843" w:rsidRDefault="007F16E0" w:rsidP="00D010A3">
    <w:pPr>
      <w:pStyle w:val="Footer-Abra"/>
      <w:pBdr>
        <w:top w:val="single" w:sz="4" w:space="1" w:color="008080"/>
      </w:pBdr>
      <w:tabs>
        <w:tab w:val="clear" w:pos="8640"/>
        <w:tab w:val="right" w:pos="9214"/>
      </w:tabs>
      <w:rPr>
        <w:rFonts w:ascii="Arial" w:hAnsi="Arial" w:cs="Arial"/>
        <w:sz w:val="24"/>
        <w:szCs w:val="24"/>
      </w:rPr>
    </w:pPr>
    <w:r w:rsidRPr="00495843">
      <w:rPr>
        <w:rFonts w:ascii="Arial" w:hAnsi="Arial" w:cs="Arial"/>
        <w:sz w:val="24"/>
        <w:szCs w:val="24"/>
      </w:rPr>
      <w:t>arc</w:t>
    </w:r>
    <w:r w:rsidRPr="00495843">
      <w:rPr>
        <w:rFonts w:ascii="Arial" w:hAnsi="Arial" w:cs="Arial"/>
        <w:sz w:val="24"/>
        <w:szCs w:val="24"/>
        <w:vertAlign w:val="superscript"/>
      </w:rPr>
      <w:t>4</w:t>
    </w:r>
    <w:r w:rsidR="00660470">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660400</wp:posOffset>
              </wp:positionH>
              <wp:positionV relativeFrom="paragraph">
                <wp:posOffset>3716020</wp:posOffset>
              </wp:positionV>
              <wp:extent cx="1753870" cy="722630"/>
              <wp:effectExtent l="12700" t="10795" r="5080" b="9525"/>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rsidR="007F16E0" w:rsidRDefault="007F16E0" w:rsidP="00D01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9" type="#_x0000_t202" style="position:absolute;margin-left:52pt;margin-top:292.6pt;width:138.1pt;height: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">
              <v:textbox>
                <w:txbxContent>
                  <w:p w:rsidR="007F16E0" w:rsidRDefault="007F16E0" w:rsidP="00D010A3"/>
                </w:txbxContent>
              </v:textbox>
            </v:shape>
          </w:pict>
        </mc:Fallback>
      </mc:AlternateContent>
    </w:r>
    <w:r w:rsidRPr="00495843">
      <w:rPr>
        <w:rFonts w:ascii="Arial" w:hAnsi="Arial" w:cs="Arial"/>
        <w:sz w:val="24"/>
        <w:szCs w:val="24"/>
        <w:vertAlign w:val="superscript"/>
      </w:rPr>
      <w:tab/>
    </w:r>
    <w:r w:rsidRPr="00495843">
      <w:rPr>
        <w:rFonts w:ascii="Arial" w:hAnsi="Arial" w:cs="Arial"/>
        <w:sz w:val="24"/>
        <w:szCs w:val="24"/>
      </w:rPr>
      <w:tab/>
    </w:r>
    <w:r w:rsidR="0013742C" w:rsidRPr="00495843">
      <w:rPr>
        <w:rStyle w:val="PageNumber"/>
        <w:rFonts w:ascii="Arial" w:hAnsi="Arial" w:cs="Arial"/>
        <w:color w:val="008080"/>
        <w:sz w:val="24"/>
        <w:szCs w:val="24"/>
      </w:rPr>
      <w:fldChar w:fldCharType="begin"/>
    </w:r>
    <w:r w:rsidRPr="00495843">
      <w:rPr>
        <w:rStyle w:val="PageNumber"/>
        <w:rFonts w:ascii="Arial" w:hAnsi="Arial" w:cs="Arial"/>
        <w:color w:val="008080"/>
        <w:sz w:val="24"/>
        <w:szCs w:val="24"/>
      </w:rPr>
      <w:instrText xml:space="preserve"> PAGE </w:instrText>
    </w:r>
    <w:r w:rsidR="0013742C" w:rsidRPr="00495843">
      <w:rPr>
        <w:rStyle w:val="PageNumber"/>
        <w:rFonts w:ascii="Arial" w:hAnsi="Arial" w:cs="Arial"/>
        <w:color w:val="008080"/>
        <w:sz w:val="24"/>
        <w:szCs w:val="24"/>
      </w:rPr>
      <w:fldChar w:fldCharType="separate"/>
    </w:r>
    <w:r w:rsidR="00660470">
      <w:rPr>
        <w:rStyle w:val="PageNumber"/>
        <w:rFonts w:ascii="Arial" w:hAnsi="Arial" w:cs="Arial"/>
        <w:noProof/>
        <w:color w:val="008080"/>
        <w:sz w:val="24"/>
        <w:szCs w:val="24"/>
      </w:rPr>
      <w:t>148</w:t>
    </w:r>
    <w:r w:rsidR="0013742C" w:rsidRPr="00495843">
      <w:rPr>
        <w:rStyle w:val="PageNumber"/>
        <w:rFonts w:ascii="Arial" w:hAnsi="Arial" w:cs="Arial"/>
        <w:color w:val="008080"/>
        <w:sz w:val="24"/>
        <w:szCs w:val="24"/>
      </w:rPr>
      <w:fldChar w:fldCharType="end"/>
    </w:r>
  </w:p>
  <w:p w:rsidR="007F16E0" w:rsidRPr="00D010A3" w:rsidRDefault="007F16E0" w:rsidP="00D010A3">
    <w:pPr>
      <w:pStyle w:val="Footer"/>
      <w:rPr>
        <w:color w:val="008080"/>
        <w:sz w:val="20"/>
        <w:szCs w:val="20"/>
      </w:rPr>
    </w:pPr>
    <w:r>
      <w:rPr>
        <w:color w:val="008080"/>
        <w:sz w:val="20"/>
        <w:szCs w:val="20"/>
      </w:rPr>
      <w:t>County Durham 2012 Strategic Housing Assessment Final Report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Default="0013742C">
    <w:pPr>
      <w:pStyle w:val="Footer"/>
      <w:framePr w:wrap="around" w:vAnchor="text" w:hAnchor="margin" w:xAlign="right" w:y="1"/>
      <w:rPr>
        <w:rStyle w:val="PageNumber"/>
      </w:rPr>
    </w:pPr>
    <w:r>
      <w:rPr>
        <w:rStyle w:val="PageNumber"/>
      </w:rPr>
      <w:fldChar w:fldCharType="begin"/>
    </w:r>
    <w:r w:rsidR="007F16E0">
      <w:rPr>
        <w:rStyle w:val="PageNumber"/>
      </w:rPr>
      <w:instrText xml:space="preserve">PAGE  </w:instrText>
    </w:r>
    <w:r>
      <w:rPr>
        <w:rStyle w:val="PageNumber"/>
      </w:rPr>
      <w:fldChar w:fldCharType="end"/>
    </w:r>
  </w:p>
  <w:p w:rsidR="007F16E0" w:rsidRDefault="007F16E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Pr="00495843" w:rsidRDefault="007F16E0" w:rsidP="001D7565">
    <w:pPr>
      <w:pStyle w:val="Footer-Abra"/>
      <w:pBdr>
        <w:top w:val="single" w:sz="4" w:space="1" w:color="008080"/>
      </w:pBdr>
      <w:tabs>
        <w:tab w:val="clear" w:pos="8640"/>
        <w:tab w:val="right" w:pos="9214"/>
      </w:tabs>
      <w:rPr>
        <w:rFonts w:ascii="Arial" w:hAnsi="Arial" w:cs="Arial"/>
        <w:sz w:val="24"/>
        <w:szCs w:val="24"/>
      </w:rPr>
    </w:pPr>
    <w:r w:rsidRPr="00495843">
      <w:rPr>
        <w:rFonts w:ascii="Arial" w:hAnsi="Arial" w:cs="Arial"/>
        <w:sz w:val="24"/>
        <w:szCs w:val="24"/>
      </w:rPr>
      <w:t>arc</w:t>
    </w:r>
    <w:r w:rsidRPr="00495843">
      <w:rPr>
        <w:rFonts w:ascii="Arial" w:hAnsi="Arial" w:cs="Arial"/>
        <w:sz w:val="24"/>
        <w:szCs w:val="24"/>
        <w:vertAlign w:val="superscript"/>
      </w:rPr>
      <w:t>4</w:t>
    </w:r>
    <w:r w:rsidR="00660470">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simplePos x="0" y="0"/>
              <wp:positionH relativeFrom="column">
                <wp:posOffset>660400</wp:posOffset>
              </wp:positionH>
              <wp:positionV relativeFrom="paragraph">
                <wp:posOffset>3716020</wp:posOffset>
              </wp:positionV>
              <wp:extent cx="1753870" cy="722630"/>
              <wp:effectExtent l="12700" t="10795" r="5080" b="9525"/>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22630"/>
                      </a:xfrm>
                      <a:prstGeom prst="rect">
                        <a:avLst/>
                      </a:prstGeom>
                      <a:solidFill>
                        <a:srgbClr val="FFFFFF"/>
                      </a:solidFill>
                      <a:ln w="9525">
                        <a:solidFill>
                          <a:srgbClr val="000000"/>
                        </a:solidFill>
                        <a:miter lim="800000"/>
                        <a:headEnd/>
                        <a:tailEnd/>
                      </a:ln>
                    </wps:spPr>
                    <wps:txbx>
                      <w:txbxContent>
                        <w:p w:rsidR="007F16E0" w:rsidRDefault="007F16E0" w:rsidP="001D75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margin-left:52pt;margin-top:292.6pt;width:138.1pt;height:5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">
              <v:textbox>
                <w:txbxContent>
                  <w:p w:rsidR="007F16E0" w:rsidRDefault="007F16E0" w:rsidP="001D7565"/>
                </w:txbxContent>
              </v:textbox>
            </v:shape>
          </w:pict>
        </mc:Fallback>
      </mc:AlternateContent>
    </w:r>
    <w:r w:rsidRPr="00495843">
      <w:rPr>
        <w:rFonts w:ascii="Arial" w:hAnsi="Arial" w:cs="Arial"/>
        <w:sz w:val="24"/>
        <w:szCs w:val="24"/>
        <w:vertAlign w:val="superscript"/>
      </w:rPr>
      <w:tab/>
    </w:r>
    <w:r w:rsidRPr="00495843">
      <w:rPr>
        <w:rFonts w:ascii="Arial" w:hAnsi="Arial" w:cs="Arial"/>
        <w:sz w:val="24"/>
        <w:szCs w:val="24"/>
      </w:rPr>
      <w:tab/>
    </w:r>
    <w:r w:rsidR="0013742C" w:rsidRPr="00495843">
      <w:rPr>
        <w:rStyle w:val="PageNumber"/>
        <w:rFonts w:ascii="Arial" w:hAnsi="Arial" w:cs="Arial"/>
        <w:color w:val="008080"/>
        <w:sz w:val="24"/>
        <w:szCs w:val="24"/>
      </w:rPr>
      <w:fldChar w:fldCharType="begin"/>
    </w:r>
    <w:r w:rsidRPr="00495843">
      <w:rPr>
        <w:rStyle w:val="PageNumber"/>
        <w:rFonts w:ascii="Arial" w:hAnsi="Arial" w:cs="Arial"/>
        <w:color w:val="008080"/>
        <w:sz w:val="24"/>
        <w:szCs w:val="24"/>
      </w:rPr>
      <w:instrText xml:space="preserve"> PAGE </w:instrText>
    </w:r>
    <w:r w:rsidR="0013742C" w:rsidRPr="00495843">
      <w:rPr>
        <w:rStyle w:val="PageNumber"/>
        <w:rFonts w:ascii="Arial" w:hAnsi="Arial" w:cs="Arial"/>
        <w:color w:val="008080"/>
        <w:sz w:val="24"/>
        <w:szCs w:val="24"/>
      </w:rPr>
      <w:fldChar w:fldCharType="separate"/>
    </w:r>
    <w:r w:rsidR="00660470">
      <w:rPr>
        <w:rStyle w:val="PageNumber"/>
        <w:rFonts w:ascii="Arial" w:hAnsi="Arial" w:cs="Arial"/>
        <w:noProof/>
        <w:color w:val="008080"/>
        <w:sz w:val="24"/>
        <w:szCs w:val="24"/>
      </w:rPr>
      <w:t>167</w:t>
    </w:r>
    <w:r w:rsidR="0013742C" w:rsidRPr="00495843">
      <w:rPr>
        <w:rStyle w:val="PageNumber"/>
        <w:rFonts w:ascii="Arial" w:hAnsi="Arial" w:cs="Arial"/>
        <w:color w:val="008080"/>
        <w:sz w:val="24"/>
        <w:szCs w:val="24"/>
      </w:rPr>
      <w:fldChar w:fldCharType="end"/>
    </w:r>
  </w:p>
  <w:p w:rsidR="007F16E0" w:rsidRPr="001D7565" w:rsidRDefault="007C0D8D" w:rsidP="00B82852">
    <w:pPr>
      <w:pStyle w:val="Footer"/>
      <w:rPr>
        <w:color w:val="008080"/>
        <w:sz w:val="20"/>
        <w:szCs w:val="20"/>
      </w:rPr>
    </w:pPr>
    <w:r>
      <w:rPr>
        <w:color w:val="008080"/>
        <w:sz w:val="20"/>
        <w:szCs w:val="20"/>
      </w:rPr>
      <w:t>County Durham 2013</w:t>
    </w:r>
    <w:r w:rsidR="007F16E0">
      <w:rPr>
        <w:color w:val="008080"/>
        <w:sz w:val="20"/>
        <w:szCs w:val="20"/>
      </w:rPr>
      <w:t xml:space="preserve"> Strategic Housing Assessment Draft Final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A6F" w:rsidRDefault="00034A6F">
      <w:r>
        <w:separator/>
      </w:r>
    </w:p>
  </w:footnote>
  <w:footnote w:type="continuationSeparator" w:id="0">
    <w:p w:rsidR="00034A6F" w:rsidRDefault="00034A6F">
      <w:r>
        <w:continuationSeparator/>
      </w:r>
    </w:p>
  </w:footnote>
  <w:footnote w:id="1">
    <w:p w:rsidR="007F16E0" w:rsidRDefault="007F16E0" w:rsidP="00AA55F1">
      <w:pPr>
        <w:pStyle w:val="FootnoteText"/>
      </w:pPr>
      <w:r>
        <w:rPr>
          <w:rStyle w:val="FootnoteReference"/>
        </w:rPr>
        <w:footnoteRef/>
      </w:r>
      <w:r>
        <w:t xml:space="preserve"> County Durham 2011-based Population Projections</w:t>
      </w:r>
    </w:p>
  </w:footnote>
  <w:footnote w:id="2">
    <w:p w:rsidR="007F16E0" w:rsidRDefault="007F16E0">
      <w:pPr>
        <w:pStyle w:val="FootnoteText"/>
      </w:pPr>
      <w:r>
        <w:rPr>
          <w:rStyle w:val="FootnoteReference"/>
        </w:rPr>
        <w:footnoteRef/>
      </w:r>
      <w:r>
        <w:t xml:space="preserve"> Regional Spatial Strategies have not yet formally been revoked but this is the Government’s intention</w:t>
      </w:r>
    </w:p>
  </w:footnote>
  <w:footnote w:id="3">
    <w:p w:rsidR="007F16E0" w:rsidRDefault="007F16E0" w:rsidP="00267853">
      <w:pPr>
        <w:pStyle w:val="FootnoteText"/>
      </w:pPr>
      <w:r>
        <w:rPr>
          <w:rStyle w:val="FootnoteReference"/>
        </w:rPr>
        <w:footnoteRef/>
      </w:r>
      <w:r>
        <w:t xml:space="preserve"> </w:t>
      </w:r>
      <w:hyperlink r:id="rId1" w:history="1">
        <w:r w:rsidRPr="006961BB">
          <w:rPr>
            <w:rStyle w:val="Hyperlink"/>
          </w:rPr>
          <w:t>http://www.homesandcommunities.co.uk/news/</w:t>
        </w:r>
        <w:r>
          <w:rPr>
            <w:rStyle w:val="Hyperlink"/>
          </w:rPr>
          <w:t>Homes and Communities Agency</w:t>
        </w:r>
        <w:r w:rsidRPr="006961BB">
          <w:rPr>
            <w:rStyle w:val="Hyperlink"/>
          </w:rPr>
          <w:t>-announces-successful-bidders-affordable-homes-funding</w:t>
        </w:r>
      </w:hyperlink>
    </w:p>
    <w:p w:rsidR="007F16E0" w:rsidRPr="00C670AE" w:rsidRDefault="007F16E0" w:rsidP="00267853">
      <w:pPr>
        <w:pStyle w:val="FootnoteText"/>
      </w:pPr>
    </w:p>
  </w:footnote>
  <w:footnote w:id="4">
    <w:p w:rsidR="007F16E0" w:rsidRPr="00EF3FDD" w:rsidRDefault="007F16E0" w:rsidP="00D42FF8">
      <w:pPr>
        <w:pStyle w:val="FootnoteText"/>
      </w:pPr>
      <w:r>
        <w:rPr>
          <w:rStyle w:val="FootnoteReference"/>
        </w:rPr>
        <w:footnoteRef/>
      </w:r>
      <w:r>
        <w:t xml:space="preserve"> CLG National Planning Policy Framework March 2012 para 7</w:t>
      </w:r>
    </w:p>
  </w:footnote>
  <w:footnote w:id="5">
    <w:p w:rsidR="007F16E0" w:rsidRPr="00E90DC6" w:rsidRDefault="007F16E0" w:rsidP="00D42FF8">
      <w:pPr>
        <w:pStyle w:val="FootnoteText"/>
      </w:pPr>
      <w:r>
        <w:rPr>
          <w:rStyle w:val="FootnoteReference"/>
        </w:rPr>
        <w:footnoteRef/>
      </w:r>
      <w:r>
        <w:t xml:space="preserve"> CLG National Planning Policy Framework March 2012 paras 12 and 13</w:t>
      </w:r>
    </w:p>
  </w:footnote>
  <w:footnote w:id="6">
    <w:p w:rsidR="007F16E0" w:rsidRPr="00E90DC6" w:rsidRDefault="007F16E0" w:rsidP="00D42FF8">
      <w:pPr>
        <w:pStyle w:val="FootnoteText"/>
      </w:pPr>
      <w:r>
        <w:rPr>
          <w:rStyle w:val="FootnoteReference"/>
        </w:rPr>
        <w:footnoteRef/>
      </w:r>
      <w:r>
        <w:t xml:space="preserve"> CLG National Planning Policy Framework March 2012 para 47</w:t>
      </w:r>
    </w:p>
    <w:p w:rsidR="007F16E0" w:rsidRPr="00022665" w:rsidRDefault="007F16E0" w:rsidP="00D42FF8">
      <w:pPr>
        <w:pStyle w:val="FootnoteText"/>
      </w:pPr>
    </w:p>
  </w:footnote>
  <w:footnote w:id="7">
    <w:p w:rsidR="007F16E0" w:rsidRPr="00E90DC6" w:rsidRDefault="007F16E0" w:rsidP="00D42FF8">
      <w:pPr>
        <w:pStyle w:val="FootnoteText"/>
      </w:pPr>
      <w:r>
        <w:rPr>
          <w:rStyle w:val="FootnoteReference"/>
        </w:rPr>
        <w:footnoteRef/>
      </w:r>
      <w:r>
        <w:t xml:space="preserve"> CLG National Planning Policy Framework March 2012 para 50</w:t>
      </w:r>
    </w:p>
    <w:p w:rsidR="007F16E0" w:rsidRPr="0057594D" w:rsidRDefault="007F16E0" w:rsidP="00D42FF8">
      <w:pPr>
        <w:pStyle w:val="FootnoteText"/>
      </w:pPr>
    </w:p>
  </w:footnote>
  <w:footnote w:id="8">
    <w:p w:rsidR="007F16E0" w:rsidRPr="008443C0" w:rsidRDefault="007F16E0" w:rsidP="00267853">
      <w:pPr>
        <w:pStyle w:val="FootnoteText"/>
        <w:rPr>
          <w:lang w:val="en-US"/>
        </w:rPr>
      </w:pPr>
      <w:r>
        <w:rPr>
          <w:rStyle w:val="FootnoteReference"/>
        </w:rPr>
        <w:footnoteRef/>
      </w:r>
      <w:r>
        <w:t xml:space="preserve"> </w:t>
      </w:r>
      <w:r>
        <w:rPr>
          <w:lang w:val="en-US"/>
        </w:rPr>
        <w:t xml:space="preserve">CIH </w:t>
      </w:r>
      <w:r w:rsidRPr="008443C0">
        <w:rPr>
          <w:i/>
          <w:lang w:val="en-US"/>
        </w:rPr>
        <w:t xml:space="preserve">Summary Laying the Foundations: A Housing Strategy for </w:t>
      </w:r>
      <w:smartTag w:uri="urn:schemas-microsoft-com:office:smarttags" w:element="country-region">
        <w:smartTag w:uri="urn:schemas-microsoft-com:office:smarttags" w:element="place">
          <w:r w:rsidRPr="008443C0">
            <w:rPr>
              <w:i/>
              <w:lang w:val="en-US"/>
            </w:rPr>
            <w:t>England</w:t>
          </w:r>
        </w:smartTag>
      </w:smartTag>
      <w:r>
        <w:rPr>
          <w:lang w:val="en-US"/>
        </w:rPr>
        <w:t xml:space="preserve"> November 2011 </w:t>
      </w:r>
    </w:p>
  </w:footnote>
  <w:footnote w:id="9">
    <w:p w:rsidR="007F16E0" w:rsidRDefault="007F16E0" w:rsidP="001A68A7">
      <w:pPr>
        <w:pStyle w:val="FootnoteText"/>
      </w:pPr>
      <w:r>
        <w:rPr>
          <w:rStyle w:val="FootnoteReference"/>
        </w:rPr>
        <w:footnoteRef/>
      </w:r>
      <w:r>
        <w:t xml:space="preserve"> The North Eastern Local Enterprise Partnership Proposal to the Secretaries of State for Business, Innovation and Skills and Communities and Local Government, Executive Summary</w:t>
      </w:r>
    </w:p>
  </w:footnote>
  <w:footnote w:id="10">
    <w:p w:rsidR="007F16E0" w:rsidRDefault="007F16E0">
      <w:pPr>
        <w:pStyle w:val="FootnoteText"/>
      </w:pPr>
      <w:r>
        <w:rPr>
          <w:rStyle w:val="FootnoteReference"/>
        </w:rPr>
        <w:footnoteRef/>
      </w:r>
      <w:r>
        <w:t xml:space="preserve"> County Durham 2011-based Population Projections </w:t>
      </w:r>
    </w:p>
  </w:footnote>
  <w:footnote w:id="11">
    <w:p w:rsidR="007F16E0" w:rsidRDefault="007F16E0">
      <w:pPr>
        <w:pStyle w:val="FootnoteText"/>
      </w:pPr>
      <w:r>
        <w:rPr>
          <w:rStyle w:val="FootnoteReference"/>
        </w:rPr>
        <w:footnoteRef/>
      </w:r>
      <w:r>
        <w:t xml:space="preserve"> Identifying sub-regional Delivery areas, CLG Advice Note April 2007</w:t>
      </w:r>
    </w:p>
  </w:footnote>
  <w:footnote w:id="12">
    <w:p w:rsidR="007F16E0" w:rsidRDefault="007F16E0">
      <w:pPr>
        <w:pStyle w:val="FootnoteText"/>
      </w:pPr>
      <w:r>
        <w:rPr>
          <w:rStyle w:val="FootnoteReference"/>
        </w:rPr>
        <w:footnoteRef/>
      </w:r>
      <w:r>
        <w:t xml:space="preserve"> This is based on the survey responses of the oldest and next oldest person in the household so excludes the workplace of others in the household</w:t>
      </w:r>
    </w:p>
  </w:footnote>
  <w:footnote w:id="13">
    <w:p w:rsidR="007F16E0" w:rsidRDefault="007F16E0" w:rsidP="00942F99">
      <w:pPr>
        <w:pStyle w:val="FootnoteText"/>
      </w:pPr>
      <w:r>
        <w:rPr>
          <w:rStyle w:val="FootnoteReference"/>
        </w:rPr>
        <w:footnoteRef/>
      </w:r>
      <w:r>
        <w:t xml:space="preserve"> 2011 Housing Strategy Statistical Appendix</w:t>
      </w:r>
    </w:p>
  </w:footnote>
  <w:footnote w:id="14">
    <w:p w:rsidR="007F16E0" w:rsidRDefault="007F16E0">
      <w:pPr>
        <w:pStyle w:val="FootnoteText"/>
      </w:pPr>
      <w:r>
        <w:rPr>
          <w:rStyle w:val="FootnoteReference"/>
        </w:rPr>
        <w:footnoteRef/>
      </w:r>
      <w:r>
        <w:t xml:space="preserve"> Based on 2011 census</w:t>
      </w:r>
    </w:p>
  </w:footnote>
  <w:footnote w:id="15">
    <w:p w:rsidR="007F16E0" w:rsidRDefault="007F16E0">
      <w:pPr>
        <w:pStyle w:val="FootnoteText"/>
      </w:pPr>
      <w:r>
        <w:rPr>
          <w:rStyle w:val="FootnoteReference"/>
        </w:rPr>
        <w:footnoteRef/>
      </w:r>
      <w:r>
        <w:t xml:space="preserve"> HIP return 2001</w:t>
      </w:r>
    </w:p>
  </w:footnote>
  <w:footnote w:id="16">
    <w:p w:rsidR="007F16E0" w:rsidRDefault="007F16E0">
      <w:pPr>
        <w:pStyle w:val="FootnoteText"/>
      </w:pPr>
      <w:r>
        <w:rPr>
          <w:rStyle w:val="FootnoteReference"/>
        </w:rPr>
        <w:footnoteRef/>
      </w:r>
      <w:r>
        <w:t xml:space="preserve"> Land Registry House Price information</w:t>
      </w:r>
    </w:p>
  </w:footnote>
  <w:footnote w:id="17">
    <w:p w:rsidR="007F16E0" w:rsidRDefault="007F16E0">
      <w:pPr>
        <w:pStyle w:val="FootnoteText"/>
      </w:pPr>
      <w:r>
        <w:rPr>
          <w:rStyle w:val="FootnoteReference"/>
        </w:rPr>
        <w:footnoteRef/>
      </w:r>
      <w:r>
        <w:t xml:space="preserve"> ‘The Modern Private Rented Sector’ David Rhodes, 2006 University of York with CIH/JRF</w:t>
      </w:r>
    </w:p>
  </w:footnote>
  <w:footnote w:id="18">
    <w:p w:rsidR="007F16E0" w:rsidRDefault="007F16E0">
      <w:pPr>
        <w:pStyle w:val="FootnoteText"/>
      </w:pPr>
      <w:r>
        <w:rPr>
          <w:rStyle w:val="FootnoteReference"/>
        </w:rPr>
        <w:footnoteRef/>
      </w:r>
      <w:r>
        <w:t xml:space="preserve"> 2011 Census</w:t>
      </w:r>
    </w:p>
  </w:footnote>
  <w:footnote w:id="19">
    <w:p w:rsidR="007F16E0" w:rsidRDefault="007F16E0" w:rsidP="00460563">
      <w:pPr>
        <w:pStyle w:val="FootnoteText"/>
      </w:pPr>
      <w:r>
        <w:rPr>
          <w:rStyle w:val="FootnoteReference"/>
        </w:rPr>
        <w:footnoteRef/>
      </w:r>
      <w:r>
        <w:t xml:space="preserve"> Regional Housing Aspirations Study (NLP 2005) and the North East Executive Housing Study (NLP 2005).</w:t>
      </w:r>
    </w:p>
  </w:footnote>
  <w:footnote w:id="20">
    <w:p w:rsidR="007F16E0" w:rsidRDefault="007F16E0" w:rsidP="004869EC">
      <w:pPr>
        <w:pStyle w:val="FootnoteText"/>
      </w:pPr>
      <w:r>
        <w:rPr>
          <w:rStyle w:val="FootnoteReference"/>
        </w:rPr>
        <w:footnoteRef/>
      </w:r>
      <w:r>
        <w:t xml:space="preserve"> Durham County Council 2011-based population projections</w:t>
      </w:r>
    </w:p>
  </w:footnote>
  <w:footnote w:id="21">
    <w:p w:rsidR="007F16E0" w:rsidRDefault="007F16E0">
      <w:pPr>
        <w:pStyle w:val="FootnoteText"/>
      </w:pPr>
      <w:r>
        <w:rPr>
          <w:rStyle w:val="FootnoteReference"/>
        </w:rPr>
        <w:footnoteRef/>
      </w:r>
      <w:r>
        <w:t xml:space="preserve"> Durham County Council 2011-based household projections</w:t>
      </w:r>
    </w:p>
  </w:footnote>
  <w:footnote w:id="22">
    <w:p w:rsidR="007F16E0" w:rsidRDefault="007F16E0">
      <w:pPr>
        <w:pStyle w:val="FootnoteText"/>
      </w:pPr>
      <w:r>
        <w:rPr>
          <w:rStyle w:val="FootnoteReference"/>
        </w:rPr>
        <w:footnoteRef/>
      </w:r>
      <w:r>
        <w:t xml:space="preserve"> CLG Housing Market Statistics Table 588 Property sales based on Land Registry data</w:t>
      </w:r>
    </w:p>
  </w:footnote>
  <w:footnote w:id="23">
    <w:p w:rsidR="007F16E0" w:rsidRPr="00713D53" w:rsidRDefault="007F16E0" w:rsidP="00BC7162">
      <w:pPr>
        <w:pStyle w:val="FootnoteText"/>
      </w:pPr>
      <w:r w:rsidRPr="00713D53">
        <w:rPr>
          <w:rStyle w:val="FootnoteReference"/>
        </w:rPr>
        <w:footnoteRef/>
      </w:r>
      <w:r w:rsidRPr="00713D53">
        <w:t xml:space="preserve"> Homes and Communities Agency website</w:t>
      </w:r>
    </w:p>
  </w:footnote>
  <w:footnote w:id="24">
    <w:p w:rsidR="007F16E0" w:rsidRDefault="007F16E0" w:rsidP="00F25D4D">
      <w:pPr>
        <w:pStyle w:val="FootnoteText"/>
      </w:pPr>
      <w:r>
        <w:rPr>
          <w:rStyle w:val="FootnoteReference"/>
        </w:rPr>
        <w:footnoteRef/>
      </w:r>
      <w:r>
        <w:t xml:space="preserve"> CLG Homeless Statistics </w:t>
      </w:r>
      <w:hyperlink r:id="rId2" w:tgtFrame="_blank" w:history="1">
        <w:r>
          <w:rPr>
            <w:rStyle w:val="Hyperlink1"/>
            <w:rFonts w:cs="Arial"/>
          </w:rPr>
          <w:t>Table 627: Local Authorities' action under the homelessness provisions of the 1985 and 1996 Housing Acts, by district</w:t>
        </w:r>
      </w:hyperlink>
    </w:p>
  </w:footnote>
  <w:footnote w:id="25">
    <w:p w:rsidR="007F16E0" w:rsidRDefault="007F16E0">
      <w:pPr>
        <w:pStyle w:val="FootnoteText"/>
      </w:pPr>
      <w:r>
        <w:rPr>
          <w:rStyle w:val="FootnoteReference"/>
        </w:rPr>
        <w:footnoteRef/>
      </w:r>
      <w:r>
        <w:t xml:space="preserve"> See Paragraph 1.4 for a definition of intermediate tenure housing</w:t>
      </w:r>
    </w:p>
  </w:footnote>
  <w:footnote w:id="26">
    <w:p w:rsidR="007F16E0" w:rsidRDefault="007F16E0">
      <w:pPr>
        <w:pStyle w:val="FootnoteText"/>
      </w:pPr>
      <w:r>
        <w:rPr>
          <w:rStyle w:val="FootnoteReference"/>
        </w:rPr>
        <w:footnoteRef/>
      </w:r>
      <w:r>
        <w:t xml:space="preserve"> Council Tax 2011</w:t>
      </w:r>
    </w:p>
  </w:footnote>
  <w:footnote w:id="27">
    <w:p w:rsidR="007F16E0" w:rsidRPr="007E74D4" w:rsidRDefault="007F16E0" w:rsidP="00F704B2">
      <w:pPr>
        <w:pStyle w:val="FootnoteText"/>
      </w:pPr>
      <w:r w:rsidRPr="007E74D4">
        <w:rPr>
          <w:rStyle w:val="FootnoteReference"/>
        </w:rPr>
        <w:footnoteRef/>
      </w:r>
      <w:r w:rsidRPr="007E74D4">
        <w:t xml:space="preserve"> Census 2011</w:t>
      </w:r>
    </w:p>
  </w:footnote>
  <w:footnote w:id="28">
    <w:p w:rsidR="007F16E0" w:rsidRDefault="007F16E0" w:rsidP="00F704B2">
      <w:pPr>
        <w:pStyle w:val="FootnoteText"/>
      </w:pPr>
      <w:r w:rsidRPr="007E74D4">
        <w:rPr>
          <w:rStyle w:val="FootnoteReference"/>
        </w:rPr>
        <w:footnoteRef/>
      </w:r>
      <w:r w:rsidRPr="007E74D4">
        <w:t xml:space="preserve"> HIP return 2001</w:t>
      </w:r>
    </w:p>
  </w:footnote>
  <w:footnote w:id="29">
    <w:p w:rsidR="007F16E0" w:rsidRDefault="007F16E0" w:rsidP="00F704B2">
      <w:pPr>
        <w:pStyle w:val="FootnoteText"/>
      </w:pPr>
      <w:r>
        <w:rPr>
          <w:rStyle w:val="FootnoteReference"/>
        </w:rPr>
        <w:footnoteRef/>
      </w:r>
      <w:r>
        <w:t xml:space="preserve"> 2011 Council Tax</w:t>
      </w:r>
    </w:p>
  </w:footnote>
  <w:footnote w:id="30">
    <w:p w:rsidR="007F16E0" w:rsidRDefault="007F16E0" w:rsidP="00C349E7">
      <w:pPr>
        <w:pStyle w:val="FootnoteText"/>
      </w:pPr>
      <w:r>
        <w:rPr>
          <w:rStyle w:val="FootnoteReference"/>
        </w:rPr>
        <w:footnoteRef/>
      </w:r>
      <w:r>
        <w:t xml:space="preserve"> Durham County Council 2009-based population projections</w:t>
      </w:r>
    </w:p>
  </w:footnote>
  <w:footnote w:id="31">
    <w:p w:rsidR="007F16E0" w:rsidRDefault="007F16E0" w:rsidP="00C349E7">
      <w:pPr>
        <w:pStyle w:val="FootnoteText"/>
      </w:pPr>
      <w:r>
        <w:rPr>
          <w:rStyle w:val="FootnoteReference"/>
        </w:rPr>
        <w:footnoteRef/>
      </w:r>
      <w:r>
        <w:t xml:space="preserve"> Durham County Council 2009-based household projections</w:t>
      </w:r>
    </w:p>
  </w:footnote>
  <w:footnote w:id="32">
    <w:p w:rsidR="007F16E0" w:rsidRDefault="007F16E0" w:rsidP="00EE6B85">
      <w:pPr>
        <w:pStyle w:val="FootnoteText"/>
      </w:pPr>
      <w:r>
        <w:rPr>
          <w:rStyle w:val="FootnoteReference"/>
        </w:rPr>
        <w:footnoteRef/>
      </w:r>
      <w:r>
        <w:t xml:space="preserve"> CLG Homeless Statistics </w:t>
      </w:r>
      <w:hyperlink r:id="rId3" w:tgtFrame="_blank" w:history="1">
        <w:r>
          <w:rPr>
            <w:rStyle w:val="Hyperlink1"/>
            <w:rFonts w:cs="Arial"/>
          </w:rPr>
          <w:t>Table 627: Local Authorities' action under the homelessness provisions of the 1985 and 1996 Housing Acts, by district</w:t>
        </w:r>
      </w:hyperlink>
    </w:p>
  </w:footnote>
  <w:footnote w:id="33">
    <w:p w:rsidR="007F16E0" w:rsidRDefault="007F16E0" w:rsidP="00EE6B85">
      <w:pPr>
        <w:pStyle w:val="FootnoteText"/>
        <w:rPr>
          <w:rFonts w:cs="Arial"/>
        </w:rPr>
      </w:pPr>
      <w:r>
        <w:rPr>
          <w:rStyle w:val="FootnoteReference"/>
          <w:sz w:val="24"/>
          <w:szCs w:val="24"/>
        </w:rPr>
        <w:footnoteRef/>
      </w:r>
      <w:r>
        <w:rPr>
          <w:rFonts w:cs="Arial"/>
          <w:sz w:val="24"/>
          <w:szCs w:val="24"/>
        </w:rPr>
        <w:t xml:space="preserve"> </w:t>
      </w:r>
      <w:r>
        <w:rPr>
          <w:rFonts w:cs="Arial"/>
        </w:rPr>
        <w:t>Strategic Housing Market Assessment Guidance (CLG, August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Default="007F16E0">
    <w:pPr>
      <w:pStyle w:val="Header"/>
    </w:pPr>
    <w:r>
      <w:rPr>
        <w:noProof/>
        <w:lang w:eastAsia="en-GB"/>
      </w:rPr>
      <w:drawing>
        <wp:anchor distT="0" distB="0" distL="114300" distR="114300" simplePos="0" relativeHeight="251660288" behindDoc="1" locked="0" layoutInCell="1" allowOverlap="1">
          <wp:simplePos x="0" y="0"/>
          <wp:positionH relativeFrom="column">
            <wp:posOffset>5152390</wp:posOffset>
          </wp:positionH>
          <wp:positionV relativeFrom="paragraph">
            <wp:posOffset>-368935</wp:posOffset>
          </wp:positionV>
          <wp:extent cx="867410" cy="632460"/>
          <wp:effectExtent l="19050" t="0" r="8890" b="0"/>
          <wp:wrapTight wrapText="bothSides">
            <wp:wrapPolygon edited="0">
              <wp:start x="-474" y="0"/>
              <wp:lineTo x="-474" y="20819"/>
              <wp:lineTo x="21821" y="20819"/>
              <wp:lineTo x="21821" y="0"/>
              <wp:lineTo x="-47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srcRect/>
                  <a:stretch>
                    <a:fillRect/>
                  </a:stretch>
                </pic:blipFill>
                <pic:spPr bwMode="auto">
                  <a:xfrm>
                    <a:off x="0" y="0"/>
                    <a:ext cx="867410" cy="63246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6E0" w:rsidRDefault="007F16E0">
    <w:pPr>
      <w:pStyle w:val="Header"/>
    </w:pPr>
    <w:r>
      <w:rPr>
        <w:noProof/>
        <w:lang w:eastAsia="en-GB"/>
      </w:rPr>
      <w:drawing>
        <wp:anchor distT="0" distB="0" distL="114300" distR="114300" simplePos="0" relativeHeight="251659264" behindDoc="1" locked="0" layoutInCell="1" allowOverlap="1">
          <wp:simplePos x="0" y="0"/>
          <wp:positionH relativeFrom="column">
            <wp:posOffset>5152390</wp:posOffset>
          </wp:positionH>
          <wp:positionV relativeFrom="paragraph">
            <wp:posOffset>-368935</wp:posOffset>
          </wp:positionV>
          <wp:extent cx="867410" cy="632460"/>
          <wp:effectExtent l="19050" t="0" r="8890" b="0"/>
          <wp:wrapTight wrapText="bothSides">
            <wp:wrapPolygon edited="0">
              <wp:start x="-474" y="0"/>
              <wp:lineTo x="-474" y="20819"/>
              <wp:lineTo x="21821" y="20819"/>
              <wp:lineTo x="21821" y="0"/>
              <wp:lineTo x="-47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867410" cy="63246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8A6A4AE"/>
    <w:lvl w:ilvl="0">
      <w:start w:val="1"/>
      <w:numFmt w:val="bullet"/>
      <w:pStyle w:val="StyleMaintextItalicFirstline0cm"/>
      <w:lvlText w:val=""/>
      <w:lvlJc w:val="left"/>
      <w:pPr>
        <w:tabs>
          <w:tab w:val="num" w:pos="1134"/>
        </w:tabs>
        <w:ind w:left="1134" w:hanging="425"/>
      </w:pPr>
      <w:rPr>
        <w:rFonts w:ascii="Symbol" w:hAnsi="Symbol" w:hint="default"/>
      </w:rPr>
    </w:lvl>
  </w:abstractNum>
  <w:abstractNum w:abstractNumId="1">
    <w:nsid w:val="00EE579E"/>
    <w:multiLevelType w:val="hybridMultilevel"/>
    <w:tmpl w:val="024683B0"/>
    <w:lvl w:ilvl="0" w:tplc="D7429B0C">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643"/>
        </w:tabs>
        <w:ind w:left="643" w:hanging="360"/>
      </w:pPr>
      <w:rPr>
        <w:rFonts w:ascii="Courier New" w:hAnsi="Courier New" w:cs="Courier New" w:hint="default"/>
      </w:rPr>
    </w:lvl>
    <w:lvl w:ilvl="2" w:tplc="08090005">
      <w:start w:val="1"/>
      <w:numFmt w:val="bullet"/>
      <w:lvlText w:val=""/>
      <w:lvlJc w:val="left"/>
      <w:pPr>
        <w:tabs>
          <w:tab w:val="num" w:pos="1363"/>
        </w:tabs>
        <w:ind w:left="1363" w:hanging="360"/>
      </w:pPr>
      <w:rPr>
        <w:rFonts w:ascii="Wingdings" w:hAnsi="Wingdings" w:hint="default"/>
      </w:rPr>
    </w:lvl>
    <w:lvl w:ilvl="3" w:tplc="08090001" w:tentative="1">
      <w:start w:val="1"/>
      <w:numFmt w:val="bullet"/>
      <w:lvlText w:val=""/>
      <w:lvlJc w:val="left"/>
      <w:pPr>
        <w:tabs>
          <w:tab w:val="num" w:pos="2083"/>
        </w:tabs>
        <w:ind w:left="2083" w:hanging="360"/>
      </w:pPr>
      <w:rPr>
        <w:rFonts w:ascii="Symbol" w:hAnsi="Symbol" w:hint="default"/>
      </w:rPr>
    </w:lvl>
    <w:lvl w:ilvl="4" w:tplc="08090003" w:tentative="1">
      <w:start w:val="1"/>
      <w:numFmt w:val="bullet"/>
      <w:lvlText w:val="o"/>
      <w:lvlJc w:val="left"/>
      <w:pPr>
        <w:tabs>
          <w:tab w:val="num" w:pos="2803"/>
        </w:tabs>
        <w:ind w:left="2803" w:hanging="360"/>
      </w:pPr>
      <w:rPr>
        <w:rFonts w:ascii="Courier New" w:hAnsi="Courier New" w:cs="Courier New" w:hint="default"/>
      </w:rPr>
    </w:lvl>
    <w:lvl w:ilvl="5" w:tplc="08090005" w:tentative="1">
      <w:start w:val="1"/>
      <w:numFmt w:val="bullet"/>
      <w:lvlText w:val=""/>
      <w:lvlJc w:val="left"/>
      <w:pPr>
        <w:tabs>
          <w:tab w:val="num" w:pos="3523"/>
        </w:tabs>
        <w:ind w:left="3523" w:hanging="360"/>
      </w:pPr>
      <w:rPr>
        <w:rFonts w:ascii="Wingdings" w:hAnsi="Wingdings" w:hint="default"/>
      </w:rPr>
    </w:lvl>
    <w:lvl w:ilvl="6" w:tplc="08090001" w:tentative="1">
      <w:start w:val="1"/>
      <w:numFmt w:val="bullet"/>
      <w:lvlText w:val=""/>
      <w:lvlJc w:val="left"/>
      <w:pPr>
        <w:tabs>
          <w:tab w:val="num" w:pos="4243"/>
        </w:tabs>
        <w:ind w:left="4243" w:hanging="360"/>
      </w:pPr>
      <w:rPr>
        <w:rFonts w:ascii="Symbol" w:hAnsi="Symbol" w:hint="default"/>
      </w:rPr>
    </w:lvl>
    <w:lvl w:ilvl="7" w:tplc="08090003" w:tentative="1">
      <w:start w:val="1"/>
      <w:numFmt w:val="bullet"/>
      <w:lvlText w:val="o"/>
      <w:lvlJc w:val="left"/>
      <w:pPr>
        <w:tabs>
          <w:tab w:val="num" w:pos="4963"/>
        </w:tabs>
        <w:ind w:left="4963" w:hanging="360"/>
      </w:pPr>
      <w:rPr>
        <w:rFonts w:ascii="Courier New" w:hAnsi="Courier New" w:cs="Courier New" w:hint="default"/>
      </w:rPr>
    </w:lvl>
    <w:lvl w:ilvl="8" w:tplc="08090005" w:tentative="1">
      <w:start w:val="1"/>
      <w:numFmt w:val="bullet"/>
      <w:lvlText w:val=""/>
      <w:lvlJc w:val="left"/>
      <w:pPr>
        <w:tabs>
          <w:tab w:val="num" w:pos="5683"/>
        </w:tabs>
        <w:ind w:left="5683" w:hanging="360"/>
      </w:pPr>
      <w:rPr>
        <w:rFonts w:ascii="Wingdings" w:hAnsi="Wingdings" w:hint="default"/>
      </w:rPr>
    </w:lvl>
  </w:abstractNum>
  <w:abstractNum w:abstractNumId="2">
    <w:nsid w:val="077A0254"/>
    <w:multiLevelType w:val="hybridMultilevel"/>
    <w:tmpl w:val="ABEA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9F22FA"/>
    <w:multiLevelType w:val="multilevel"/>
    <w:tmpl w:val="AD005258"/>
    <w:lvl w:ilvl="0">
      <w:start w:val="2"/>
      <w:numFmt w:val="upperLetter"/>
      <w:lvlText w:val="%1.0"/>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0344032"/>
    <w:multiLevelType w:val="hybridMultilevel"/>
    <w:tmpl w:val="149CF5F8"/>
    <w:lvl w:ilvl="0" w:tplc="2B386E68">
      <w:numFmt w:val="bullet"/>
      <w:lvlText w:val="-"/>
      <w:lvlJc w:val="left"/>
      <w:pPr>
        <w:ind w:left="1800" w:hanging="360"/>
      </w:pPr>
      <w:rPr>
        <w:rFonts w:ascii="Arial" w:eastAsia="Times New Roman" w:hAnsi="Arial" w:cs="Arial" w:hint="default"/>
        <w:b/>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17A84928"/>
    <w:multiLevelType w:val="hybridMultilevel"/>
    <w:tmpl w:val="C0AC03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221C4720"/>
    <w:multiLevelType w:val="hybridMultilevel"/>
    <w:tmpl w:val="D130DD8A"/>
    <w:lvl w:ilvl="0" w:tplc="D7429B0C">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643"/>
        </w:tabs>
        <w:ind w:left="643" w:hanging="360"/>
      </w:pPr>
      <w:rPr>
        <w:rFonts w:ascii="Courier New" w:hAnsi="Courier New" w:cs="Courier New" w:hint="default"/>
      </w:rPr>
    </w:lvl>
    <w:lvl w:ilvl="2" w:tplc="9620B560">
      <w:numFmt w:val="bullet"/>
      <w:lvlText w:val="-"/>
      <w:lvlJc w:val="left"/>
      <w:pPr>
        <w:tabs>
          <w:tab w:val="num" w:pos="1363"/>
        </w:tabs>
        <w:ind w:left="1363" w:hanging="360"/>
      </w:pPr>
      <w:rPr>
        <w:rFonts w:ascii="Arial" w:eastAsia="Times New Roman" w:hAnsi="Arial" w:cs="Arial" w:hint="default"/>
      </w:rPr>
    </w:lvl>
    <w:lvl w:ilvl="3" w:tplc="08090001" w:tentative="1">
      <w:start w:val="1"/>
      <w:numFmt w:val="bullet"/>
      <w:lvlText w:val=""/>
      <w:lvlJc w:val="left"/>
      <w:pPr>
        <w:tabs>
          <w:tab w:val="num" w:pos="2083"/>
        </w:tabs>
        <w:ind w:left="2083" w:hanging="360"/>
      </w:pPr>
      <w:rPr>
        <w:rFonts w:ascii="Symbol" w:hAnsi="Symbol" w:hint="default"/>
      </w:rPr>
    </w:lvl>
    <w:lvl w:ilvl="4" w:tplc="08090003" w:tentative="1">
      <w:start w:val="1"/>
      <w:numFmt w:val="bullet"/>
      <w:lvlText w:val="o"/>
      <w:lvlJc w:val="left"/>
      <w:pPr>
        <w:tabs>
          <w:tab w:val="num" w:pos="2803"/>
        </w:tabs>
        <w:ind w:left="2803" w:hanging="360"/>
      </w:pPr>
      <w:rPr>
        <w:rFonts w:ascii="Courier New" w:hAnsi="Courier New" w:cs="Courier New" w:hint="default"/>
      </w:rPr>
    </w:lvl>
    <w:lvl w:ilvl="5" w:tplc="08090005" w:tentative="1">
      <w:start w:val="1"/>
      <w:numFmt w:val="bullet"/>
      <w:lvlText w:val=""/>
      <w:lvlJc w:val="left"/>
      <w:pPr>
        <w:tabs>
          <w:tab w:val="num" w:pos="3523"/>
        </w:tabs>
        <w:ind w:left="3523" w:hanging="360"/>
      </w:pPr>
      <w:rPr>
        <w:rFonts w:ascii="Wingdings" w:hAnsi="Wingdings" w:hint="default"/>
      </w:rPr>
    </w:lvl>
    <w:lvl w:ilvl="6" w:tplc="08090001" w:tentative="1">
      <w:start w:val="1"/>
      <w:numFmt w:val="bullet"/>
      <w:lvlText w:val=""/>
      <w:lvlJc w:val="left"/>
      <w:pPr>
        <w:tabs>
          <w:tab w:val="num" w:pos="4243"/>
        </w:tabs>
        <w:ind w:left="4243" w:hanging="360"/>
      </w:pPr>
      <w:rPr>
        <w:rFonts w:ascii="Symbol" w:hAnsi="Symbol" w:hint="default"/>
      </w:rPr>
    </w:lvl>
    <w:lvl w:ilvl="7" w:tplc="08090003" w:tentative="1">
      <w:start w:val="1"/>
      <w:numFmt w:val="bullet"/>
      <w:lvlText w:val="o"/>
      <w:lvlJc w:val="left"/>
      <w:pPr>
        <w:tabs>
          <w:tab w:val="num" w:pos="4963"/>
        </w:tabs>
        <w:ind w:left="4963" w:hanging="360"/>
      </w:pPr>
      <w:rPr>
        <w:rFonts w:ascii="Courier New" w:hAnsi="Courier New" w:cs="Courier New" w:hint="default"/>
      </w:rPr>
    </w:lvl>
    <w:lvl w:ilvl="8" w:tplc="08090005" w:tentative="1">
      <w:start w:val="1"/>
      <w:numFmt w:val="bullet"/>
      <w:lvlText w:val=""/>
      <w:lvlJc w:val="left"/>
      <w:pPr>
        <w:tabs>
          <w:tab w:val="num" w:pos="5683"/>
        </w:tabs>
        <w:ind w:left="5683" w:hanging="360"/>
      </w:pPr>
      <w:rPr>
        <w:rFonts w:ascii="Wingdings" w:hAnsi="Wingdings" w:hint="default"/>
      </w:rPr>
    </w:lvl>
  </w:abstractNum>
  <w:abstractNum w:abstractNumId="7">
    <w:nsid w:val="291A7E5C"/>
    <w:multiLevelType w:val="hybridMultilevel"/>
    <w:tmpl w:val="75B4F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B6D24ED"/>
    <w:multiLevelType w:val="hybridMultilevel"/>
    <w:tmpl w:val="819007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nsid w:val="329B282C"/>
    <w:multiLevelType w:val="hybridMultilevel"/>
    <w:tmpl w:val="C30C4754"/>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0">
    <w:nsid w:val="36477675"/>
    <w:multiLevelType w:val="hybridMultilevel"/>
    <w:tmpl w:val="8AD0D6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38E1495A"/>
    <w:multiLevelType w:val="hybridMultilevel"/>
    <w:tmpl w:val="A1ACDFC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nsid w:val="3A7A13E6"/>
    <w:multiLevelType w:val="hybridMultilevel"/>
    <w:tmpl w:val="04629C48"/>
    <w:lvl w:ilvl="0" w:tplc="D7429B0C">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643"/>
        </w:tabs>
        <w:ind w:left="643" w:hanging="360"/>
      </w:pPr>
      <w:rPr>
        <w:rFonts w:ascii="Courier New" w:hAnsi="Courier New" w:cs="Courier New" w:hint="default"/>
      </w:rPr>
    </w:lvl>
    <w:lvl w:ilvl="2" w:tplc="FFFFFFFF">
      <w:start w:val="1"/>
      <w:numFmt w:val="bullet"/>
      <w:lvlText w:val=""/>
      <w:lvlJc w:val="left"/>
      <w:pPr>
        <w:tabs>
          <w:tab w:val="num" w:pos="1363"/>
        </w:tabs>
        <w:ind w:left="1363" w:hanging="360"/>
      </w:pPr>
      <w:rPr>
        <w:rFonts w:ascii="Symbol" w:hAnsi="Symbol" w:hint="default"/>
        <w:color w:val="auto"/>
      </w:rPr>
    </w:lvl>
    <w:lvl w:ilvl="3" w:tplc="08090001" w:tentative="1">
      <w:start w:val="1"/>
      <w:numFmt w:val="bullet"/>
      <w:lvlText w:val=""/>
      <w:lvlJc w:val="left"/>
      <w:pPr>
        <w:tabs>
          <w:tab w:val="num" w:pos="2083"/>
        </w:tabs>
        <w:ind w:left="2083" w:hanging="360"/>
      </w:pPr>
      <w:rPr>
        <w:rFonts w:ascii="Symbol" w:hAnsi="Symbol" w:hint="default"/>
      </w:rPr>
    </w:lvl>
    <w:lvl w:ilvl="4" w:tplc="08090003" w:tentative="1">
      <w:start w:val="1"/>
      <w:numFmt w:val="bullet"/>
      <w:lvlText w:val="o"/>
      <w:lvlJc w:val="left"/>
      <w:pPr>
        <w:tabs>
          <w:tab w:val="num" w:pos="2803"/>
        </w:tabs>
        <w:ind w:left="2803" w:hanging="360"/>
      </w:pPr>
      <w:rPr>
        <w:rFonts w:ascii="Courier New" w:hAnsi="Courier New" w:cs="Courier New" w:hint="default"/>
      </w:rPr>
    </w:lvl>
    <w:lvl w:ilvl="5" w:tplc="08090005" w:tentative="1">
      <w:start w:val="1"/>
      <w:numFmt w:val="bullet"/>
      <w:lvlText w:val=""/>
      <w:lvlJc w:val="left"/>
      <w:pPr>
        <w:tabs>
          <w:tab w:val="num" w:pos="3523"/>
        </w:tabs>
        <w:ind w:left="3523" w:hanging="360"/>
      </w:pPr>
      <w:rPr>
        <w:rFonts w:ascii="Wingdings" w:hAnsi="Wingdings" w:hint="default"/>
      </w:rPr>
    </w:lvl>
    <w:lvl w:ilvl="6" w:tplc="08090001" w:tentative="1">
      <w:start w:val="1"/>
      <w:numFmt w:val="bullet"/>
      <w:lvlText w:val=""/>
      <w:lvlJc w:val="left"/>
      <w:pPr>
        <w:tabs>
          <w:tab w:val="num" w:pos="4243"/>
        </w:tabs>
        <w:ind w:left="4243" w:hanging="360"/>
      </w:pPr>
      <w:rPr>
        <w:rFonts w:ascii="Symbol" w:hAnsi="Symbol" w:hint="default"/>
      </w:rPr>
    </w:lvl>
    <w:lvl w:ilvl="7" w:tplc="08090003" w:tentative="1">
      <w:start w:val="1"/>
      <w:numFmt w:val="bullet"/>
      <w:lvlText w:val="o"/>
      <w:lvlJc w:val="left"/>
      <w:pPr>
        <w:tabs>
          <w:tab w:val="num" w:pos="4963"/>
        </w:tabs>
        <w:ind w:left="4963" w:hanging="360"/>
      </w:pPr>
      <w:rPr>
        <w:rFonts w:ascii="Courier New" w:hAnsi="Courier New" w:cs="Courier New" w:hint="default"/>
      </w:rPr>
    </w:lvl>
    <w:lvl w:ilvl="8" w:tplc="08090005" w:tentative="1">
      <w:start w:val="1"/>
      <w:numFmt w:val="bullet"/>
      <w:lvlText w:val=""/>
      <w:lvlJc w:val="left"/>
      <w:pPr>
        <w:tabs>
          <w:tab w:val="num" w:pos="5683"/>
        </w:tabs>
        <w:ind w:left="5683" w:hanging="360"/>
      </w:pPr>
      <w:rPr>
        <w:rFonts w:ascii="Wingdings" w:hAnsi="Wingdings" w:hint="default"/>
      </w:rPr>
    </w:lvl>
  </w:abstractNum>
  <w:abstractNum w:abstractNumId="13">
    <w:nsid w:val="3AB73B02"/>
    <w:multiLevelType w:val="hybridMultilevel"/>
    <w:tmpl w:val="54D85CCA"/>
    <w:lvl w:ilvl="0" w:tplc="550404F2">
      <w:numFmt w:val="bullet"/>
      <w:pStyle w:val="BodyTextIndent"/>
      <w:lvlText w:val=""/>
      <w:lvlJc w:val="left"/>
      <w:pPr>
        <w:tabs>
          <w:tab w:val="num" w:pos="1914"/>
        </w:tabs>
        <w:ind w:left="1914" w:hanging="397"/>
      </w:pPr>
      <w:rPr>
        <w:rFonts w:ascii="Symbol" w:hAnsi="Symbol" w:hint="default"/>
        <w:color w:val="008080"/>
      </w:rPr>
    </w:lvl>
    <w:lvl w:ilvl="1" w:tplc="F9503A7A">
      <w:start w:val="1"/>
      <w:numFmt w:val="bullet"/>
      <w:lvlText w:val=""/>
      <w:lvlJc w:val="left"/>
      <w:pPr>
        <w:tabs>
          <w:tab w:val="num" w:pos="2220"/>
        </w:tabs>
        <w:ind w:left="2220" w:hanging="360"/>
      </w:pPr>
      <w:rPr>
        <w:rFonts w:ascii="Symbol" w:hAnsi="Symbol" w:hint="default"/>
        <w:color w:val="auto"/>
      </w:rPr>
    </w:lvl>
    <w:lvl w:ilvl="2" w:tplc="D604E95E" w:tentative="1">
      <w:start w:val="1"/>
      <w:numFmt w:val="bullet"/>
      <w:lvlText w:val=""/>
      <w:lvlJc w:val="left"/>
      <w:pPr>
        <w:tabs>
          <w:tab w:val="num" w:pos="2940"/>
        </w:tabs>
        <w:ind w:left="2940" w:hanging="360"/>
      </w:pPr>
      <w:rPr>
        <w:rFonts w:ascii="Wingdings" w:hAnsi="Wingdings" w:hint="default"/>
      </w:rPr>
    </w:lvl>
    <w:lvl w:ilvl="3" w:tplc="48069BA4" w:tentative="1">
      <w:start w:val="1"/>
      <w:numFmt w:val="bullet"/>
      <w:lvlText w:val=""/>
      <w:lvlJc w:val="left"/>
      <w:pPr>
        <w:tabs>
          <w:tab w:val="num" w:pos="3660"/>
        </w:tabs>
        <w:ind w:left="3660" w:hanging="360"/>
      </w:pPr>
      <w:rPr>
        <w:rFonts w:ascii="Symbol" w:hAnsi="Symbol" w:hint="default"/>
      </w:rPr>
    </w:lvl>
    <w:lvl w:ilvl="4" w:tplc="8D2080D2" w:tentative="1">
      <w:start w:val="1"/>
      <w:numFmt w:val="bullet"/>
      <w:lvlText w:val="o"/>
      <w:lvlJc w:val="left"/>
      <w:pPr>
        <w:tabs>
          <w:tab w:val="num" w:pos="4380"/>
        </w:tabs>
        <w:ind w:left="4380" w:hanging="360"/>
      </w:pPr>
      <w:rPr>
        <w:rFonts w:ascii="Courier New" w:hAnsi="Courier New" w:hint="default"/>
      </w:rPr>
    </w:lvl>
    <w:lvl w:ilvl="5" w:tplc="6428B0C8" w:tentative="1">
      <w:start w:val="1"/>
      <w:numFmt w:val="bullet"/>
      <w:lvlText w:val=""/>
      <w:lvlJc w:val="left"/>
      <w:pPr>
        <w:tabs>
          <w:tab w:val="num" w:pos="5100"/>
        </w:tabs>
        <w:ind w:left="5100" w:hanging="360"/>
      </w:pPr>
      <w:rPr>
        <w:rFonts w:ascii="Wingdings" w:hAnsi="Wingdings" w:hint="default"/>
      </w:rPr>
    </w:lvl>
    <w:lvl w:ilvl="6" w:tplc="5AF854D0" w:tentative="1">
      <w:start w:val="1"/>
      <w:numFmt w:val="bullet"/>
      <w:lvlText w:val=""/>
      <w:lvlJc w:val="left"/>
      <w:pPr>
        <w:tabs>
          <w:tab w:val="num" w:pos="5820"/>
        </w:tabs>
        <w:ind w:left="5820" w:hanging="360"/>
      </w:pPr>
      <w:rPr>
        <w:rFonts w:ascii="Symbol" w:hAnsi="Symbol" w:hint="default"/>
      </w:rPr>
    </w:lvl>
    <w:lvl w:ilvl="7" w:tplc="31DE74BE" w:tentative="1">
      <w:start w:val="1"/>
      <w:numFmt w:val="bullet"/>
      <w:lvlText w:val="o"/>
      <w:lvlJc w:val="left"/>
      <w:pPr>
        <w:tabs>
          <w:tab w:val="num" w:pos="6540"/>
        </w:tabs>
        <w:ind w:left="6540" w:hanging="360"/>
      </w:pPr>
      <w:rPr>
        <w:rFonts w:ascii="Courier New" w:hAnsi="Courier New" w:hint="default"/>
      </w:rPr>
    </w:lvl>
    <w:lvl w:ilvl="8" w:tplc="28D8508C" w:tentative="1">
      <w:start w:val="1"/>
      <w:numFmt w:val="bullet"/>
      <w:lvlText w:val=""/>
      <w:lvlJc w:val="left"/>
      <w:pPr>
        <w:tabs>
          <w:tab w:val="num" w:pos="7260"/>
        </w:tabs>
        <w:ind w:left="7260" w:hanging="360"/>
      </w:pPr>
      <w:rPr>
        <w:rFonts w:ascii="Wingdings" w:hAnsi="Wingdings" w:hint="default"/>
      </w:rPr>
    </w:lvl>
  </w:abstractNum>
  <w:abstractNum w:abstractNumId="14">
    <w:nsid w:val="3CE01B29"/>
    <w:multiLevelType w:val="multilevel"/>
    <w:tmpl w:val="B0182756"/>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EA038F7"/>
    <w:multiLevelType w:val="multilevel"/>
    <w:tmpl w:val="3264AEA8"/>
    <w:lvl w:ilvl="0">
      <w:start w:val="4"/>
      <w:numFmt w:val="upperLetter"/>
      <w:lvlText w:val="%1.0"/>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49310E0"/>
    <w:multiLevelType w:val="hybridMultilevel"/>
    <w:tmpl w:val="067ACE96"/>
    <w:lvl w:ilvl="0" w:tplc="FFFFFFFF">
      <w:start w:val="1"/>
      <w:numFmt w:val="bullet"/>
      <w:lvlText w:val=""/>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nsid w:val="48D670DA"/>
    <w:multiLevelType w:val="hybridMultilevel"/>
    <w:tmpl w:val="30ACB9A8"/>
    <w:lvl w:ilvl="0" w:tplc="2750AF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8">
    <w:nsid w:val="4AB96564"/>
    <w:multiLevelType w:val="multilevel"/>
    <w:tmpl w:val="EE82B3C4"/>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4E10754F"/>
    <w:multiLevelType w:val="multilevel"/>
    <w:tmpl w:val="A502B9AE"/>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73240A"/>
    <w:multiLevelType w:val="multilevel"/>
    <w:tmpl w:val="CC240856"/>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3FD67C6"/>
    <w:multiLevelType w:val="hybridMultilevel"/>
    <w:tmpl w:val="B2B0AB8E"/>
    <w:lvl w:ilvl="0" w:tplc="7FE4B858">
      <w:start w:val="1"/>
      <w:numFmt w:val="bullet"/>
      <w:lvlText w:val=""/>
      <w:lvlJc w:val="left"/>
      <w:pPr>
        <w:ind w:left="1800" w:hanging="360"/>
      </w:pPr>
      <w:rPr>
        <w:rFonts w:ascii="Symbol" w:hAnsi="Symbol" w:hint="default"/>
      </w:rPr>
    </w:lvl>
    <w:lvl w:ilvl="1" w:tplc="82E4F03C" w:tentative="1">
      <w:start w:val="1"/>
      <w:numFmt w:val="bullet"/>
      <w:lvlText w:val="o"/>
      <w:lvlJc w:val="left"/>
      <w:pPr>
        <w:ind w:left="2520" w:hanging="360"/>
      </w:pPr>
      <w:rPr>
        <w:rFonts w:ascii="Courier New" w:hAnsi="Courier New" w:cs="Courier New" w:hint="default"/>
      </w:rPr>
    </w:lvl>
    <w:lvl w:ilvl="2" w:tplc="EC24E952" w:tentative="1">
      <w:start w:val="1"/>
      <w:numFmt w:val="bullet"/>
      <w:lvlText w:val=""/>
      <w:lvlJc w:val="left"/>
      <w:pPr>
        <w:ind w:left="3240" w:hanging="360"/>
      </w:pPr>
      <w:rPr>
        <w:rFonts w:ascii="Wingdings" w:hAnsi="Wingdings" w:hint="default"/>
      </w:rPr>
    </w:lvl>
    <w:lvl w:ilvl="3" w:tplc="B066BC5C" w:tentative="1">
      <w:start w:val="1"/>
      <w:numFmt w:val="bullet"/>
      <w:lvlText w:val=""/>
      <w:lvlJc w:val="left"/>
      <w:pPr>
        <w:ind w:left="3960" w:hanging="360"/>
      </w:pPr>
      <w:rPr>
        <w:rFonts w:ascii="Symbol" w:hAnsi="Symbol" w:hint="default"/>
      </w:rPr>
    </w:lvl>
    <w:lvl w:ilvl="4" w:tplc="AD90F974" w:tentative="1">
      <w:start w:val="1"/>
      <w:numFmt w:val="bullet"/>
      <w:lvlText w:val="o"/>
      <w:lvlJc w:val="left"/>
      <w:pPr>
        <w:ind w:left="4680" w:hanging="360"/>
      </w:pPr>
      <w:rPr>
        <w:rFonts w:ascii="Courier New" w:hAnsi="Courier New" w:cs="Courier New" w:hint="default"/>
      </w:rPr>
    </w:lvl>
    <w:lvl w:ilvl="5" w:tplc="9656DBCC" w:tentative="1">
      <w:start w:val="1"/>
      <w:numFmt w:val="bullet"/>
      <w:lvlText w:val=""/>
      <w:lvlJc w:val="left"/>
      <w:pPr>
        <w:ind w:left="5400" w:hanging="360"/>
      </w:pPr>
      <w:rPr>
        <w:rFonts w:ascii="Wingdings" w:hAnsi="Wingdings" w:hint="default"/>
      </w:rPr>
    </w:lvl>
    <w:lvl w:ilvl="6" w:tplc="D8409510" w:tentative="1">
      <w:start w:val="1"/>
      <w:numFmt w:val="bullet"/>
      <w:lvlText w:val=""/>
      <w:lvlJc w:val="left"/>
      <w:pPr>
        <w:ind w:left="6120" w:hanging="360"/>
      </w:pPr>
      <w:rPr>
        <w:rFonts w:ascii="Symbol" w:hAnsi="Symbol" w:hint="default"/>
      </w:rPr>
    </w:lvl>
    <w:lvl w:ilvl="7" w:tplc="F120E3C0" w:tentative="1">
      <w:start w:val="1"/>
      <w:numFmt w:val="bullet"/>
      <w:lvlText w:val="o"/>
      <w:lvlJc w:val="left"/>
      <w:pPr>
        <w:ind w:left="6840" w:hanging="360"/>
      </w:pPr>
      <w:rPr>
        <w:rFonts w:ascii="Courier New" w:hAnsi="Courier New" w:cs="Courier New" w:hint="default"/>
      </w:rPr>
    </w:lvl>
    <w:lvl w:ilvl="8" w:tplc="DC36A224" w:tentative="1">
      <w:start w:val="1"/>
      <w:numFmt w:val="bullet"/>
      <w:lvlText w:val=""/>
      <w:lvlJc w:val="left"/>
      <w:pPr>
        <w:ind w:left="7560" w:hanging="360"/>
      </w:pPr>
      <w:rPr>
        <w:rFonts w:ascii="Wingdings" w:hAnsi="Wingdings" w:hint="default"/>
      </w:rPr>
    </w:lvl>
  </w:abstractNum>
  <w:abstractNum w:abstractNumId="22">
    <w:nsid w:val="5441000F"/>
    <w:multiLevelType w:val="multilevel"/>
    <w:tmpl w:val="BE58A86A"/>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553E7EB5"/>
    <w:multiLevelType w:val="multilevel"/>
    <w:tmpl w:val="90AC95C2"/>
    <w:lvl w:ilvl="0">
      <w:start w:val="3"/>
      <w:numFmt w:val="upperLetter"/>
      <w:lvlText w:val="%1.0"/>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b w:val="0"/>
        <w:i w:val="0"/>
        <w:color w:val="auto"/>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A9A2144"/>
    <w:multiLevelType w:val="hybridMultilevel"/>
    <w:tmpl w:val="DCEA7F1A"/>
    <w:lvl w:ilvl="0" w:tplc="FFFFFFFF">
      <w:start w:val="1"/>
      <w:numFmt w:val="bullet"/>
      <w:pStyle w:val="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0364708"/>
    <w:multiLevelType w:val="hybridMultilevel"/>
    <w:tmpl w:val="DC36AB7C"/>
    <w:lvl w:ilvl="0" w:tplc="85E05404">
      <w:start w:val="1"/>
      <w:numFmt w:val="bullet"/>
      <w:lvlText w:val=""/>
      <w:lvlJc w:val="left"/>
      <w:pPr>
        <w:tabs>
          <w:tab w:val="num" w:pos="1800"/>
        </w:tabs>
        <w:ind w:left="1800" w:hanging="360"/>
      </w:pPr>
      <w:rPr>
        <w:rFonts w:ascii="Symbol" w:hAnsi="Symbol" w:hint="default"/>
        <w:color w:val="auto"/>
      </w:rPr>
    </w:lvl>
    <w:lvl w:ilvl="1" w:tplc="A3764FBC" w:tentative="1">
      <w:start w:val="1"/>
      <w:numFmt w:val="bullet"/>
      <w:lvlText w:val="o"/>
      <w:lvlJc w:val="left"/>
      <w:pPr>
        <w:tabs>
          <w:tab w:val="num" w:pos="1363"/>
        </w:tabs>
        <w:ind w:left="1363" w:hanging="360"/>
      </w:pPr>
      <w:rPr>
        <w:rFonts w:ascii="Courier New" w:hAnsi="Courier New" w:cs="Courier New" w:hint="default"/>
      </w:rPr>
    </w:lvl>
    <w:lvl w:ilvl="2" w:tplc="42E838FA" w:tentative="1">
      <w:start w:val="1"/>
      <w:numFmt w:val="bullet"/>
      <w:lvlText w:val=""/>
      <w:lvlJc w:val="left"/>
      <w:pPr>
        <w:tabs>
          <w:tab w:val="num" w:pos="2083"/>
        </w:tabs>
        <w:ind w:left="2083" w:hanging="360"/>
      </w:pPr>
      <w:rPr>
        <w:rFonts w:ascii="Wingdings" w:hAnsi="Wingdings" w:hint="default"/>
      </w:rPr>
    </w:lvl>
    <w:lvl w:ilvl="3" w:tplc="2CF8A6D6" w:tentative="1">
      <w:start w:val="1"/>
      <w:numFmt w:val="bullet"/>
      <w:lvlText w:val=""/>
      <w:lvlJc w:val="left"/>
      <w:pPr>
        <w:tabs>
          <w:tab w:val="num" w:pos="2803"/>
        </w:tabs>
        <w:ind w:left="2803" w:hanging="360"/>
      </w:pPr>
      <w:rPr>
        <w:rFonts w:ascii="Symbol" w:hAnsi="Symbol" w:hint="default"/>
      </w:rPr>
    </w:lvl>
    <w:lvl w:ilvl="4" w:tplc="111A8FF4" w:tentative="1">
      <w:start w:val="1"/>
      <w:numFmt w:val="bullet"/>
      <w:lvlText w:val="o"/>
      <w:lvlJc w:val="left"/>
      <w:pPr>
        <w:tabs>
          <w:tab w:val="num" w:pos="3523"/>
        </w:tabs>
        <w:ind w:left="3523" w:hanging="360"/>
      </w:pPr>
      <w:rPr>
        <w:rFonts w:ascii="Courier New" w:hAnsi="Courier New" w:cs="Courier New" w:hint="default"/>
      </w:rPr>
    </w:lvl>
    <w:lvl w:ilvl="5" w:tplc="FB34A65C" w:tentative="1">
      <w:start w:val="1"/>
      <w:numFmt w:val="bullet"/>
      <w:lvlText w:val=""/>
      <w:lvlJc w:val="left"/>
      <w:pPr>
        <w:tabs>
          <w:tab w:val="num" w:pos="4243"/>
        </w:tabs>
        <w:ind w:left="4243" w:hanging="360"/>
      </w:pPr>
      <w:rPr>
        <w:rFonts w:ascii="Wingdings" w:hAnsi="Wingdings" w:hint="default"/>
      </w:rPr>
    </w:lvl>
    <w:lvl w:ilvl="6" w:tplc="BD8C3CC6" w:tentative="1">
      <w:start w:val="1"/>
      <w:numFmt w:val="bullet"/>
      <w:lvlText w:val=""/>
      <w:lvlJc w:val="left"/>
      <w:pPr>
        <w:tabs>
          <w:tab w:val="num" w:pos="4963"/>
        </w:tabs>
        <w:ind w:left="4963" w:hanging="360"/>
      </w:pPr>
      <w:rPr>
        <w:rFonts w:ascii="Symbol" w:hAnsi="Symbol" w:hint="default"/>
      </w:rPr>
    </w:lvl>
    <w:lvl w:ilvl="7" w:tplc="DB887904" w:tentative="1">
      <w:start w:val="1"/>
      <w:numFmt w:val="bullet"/>
      <w:lvlText w:val="o"/>
      <w:lvlJc w:val="left"/>
      <w:pPr>
        <w:tabs>
          <w:tab w:val="num" w:pos="5683"/>
        </w:tabs>
        <w:ind w:left="5683" w:hanging="360"/>
      </w:pPr>
      <w:rPr>
        <w:rFonts w:ascii="Courier New" w:hAnsi="Courier New" w:cs="Courier New" w:hint="default"/>
      </w:rPr>
    </w:lvl>
    <w:lvl w:ilvl="8" w:tplc="EF84207C" w:tentative="1">
      <w:start w:val="1"/>
      <w:numFmt w:val="bullet"/>
      <w:lvlText w:val=""/>
      <w:lvlJc w:val="left"/>
      <w:pPr>
        <w:tabs>
          <w:tab w:val="num" w:pos="6403"/>
        </w:tabs>
        <w:ind w:left="6403" w:hanging="360"/>
      </w:pPr>
      <w:rPr>
        <w:rFonts w:ascii="Wingdings" w:hAnsi="Wingdings" w:hint="default"/>
      </w:rPr>
    </w:lvl>
  </w:abstractNum>
  <w:abstractNum w:abstractNumId="26">
    <w:nsid w:val="680F4B04"/>
    <w:multiLevelType w:val="hybridMultilevel"/>
    <w:tmpl w:val="5CFCC096"/>
    <w:lvl w:ilvl="0" w:tplc="08090001">
      <w:start w:val="1"/>
      <w:numFmt w:val="bullet"/>
      <w:lvlText w:val=""/>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nsid w:val="69F702BD"/>
    <w:multiLevelType w:val="hybridMultilevel"/>
    <w:tmpl w:val="834A3264"/>
    <w:lvl w:ilvl="0" w:tplc="FFFFFFFF">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643"/>
        </w:tabs>
        <w:ind w:left="643" w:hanging="360"/>
      </w:pPr>
      <w:rPr>
        <w:rFonts w:ascii="Courier New" w:hAnsi="Courier New" w:cs="Courier New" w:hint="default"/>
      </w:rPr>
    </w:lvl>
    <w:lvl w:ilvl="2" w:tplc="08090005">
      <w:start w:val="17"/>
      <w:numFmt w:val="bullet"/>
      <w:lvlText w:val="-"/>
      <w:lvlJc w:val="left"/>
      <w:pPr>
        <w:tabs>
          <w:tab w:val="num" w:pos="1363"/>
        </w:tabs>
        <w:ind w:left="1363" w:hanging="360"/>
      </w:pPr>
      <w:rPr>
        <w:rFonts w:ascii="Arial" w:eastAsia="Times New Roman" w:hAnsi="Arial" w:cs="Arial" w:hint="default"/>
      </w:rPr>
    </w:lvl>
    <w:lvl w:ilvl="3" w:tplc="08090001">
      <w:start w:val="1"/>
      <w:numFmt w:val="bullet"/>
      <w:lvlText w:val=""/>
      <w:lvlJc w:val="left"/>
      <w:pPr>
        <w:tabs>
          <w:tab w:val="num" w:pos="2083"/>
        </w:tabs>
        <w:ind w:left="2083" w:hanging="360"/>
      </w:pPr>
      <w:rPr>
        <w:rFonts w:ascii="Symbol" w:hAnsi="Symbol" w:hint="default"/>
      </w:rPr>
    </w:lvl>
    <w:lvl w:ilvl="4" w:tplc="08090003" w:tentative="1">
      <w:start w:val="1"/>
      <w:numFmt w:val="bullet"/>
      <w:lvlText w:val="o"/>
      <w:lvlJc w:val="left"/>
      <w:pPr>
        <w:tabs>
          <w:tab w:val="num" w:pos="2803"/>
        </w:tabs>
        <w:ind w:left="2803" w:hanging="360"/>
      </w:pPr>
      <w:rPr>
        <w:rFonts w:ascii="Courier New" w:hAnsi="Courier New" w:cs="Courier New" w:hint="default"/>
      </w:rPr>
    </w:lvl>
    <w:lvl w:ilvl="5" w:tplc="08090005" w:tentative="1">
      <w:start w:val="1"/>
      <w:numFmt w:val="bullet"/>
      <w:lvlText w:val=""/>
      <w:lvlJc w:val="left"/>
      <w:pPr>
        <w:tabs>
          <w:tab w:val="num" w:pos="3523"/>
        </w:tabs>
        <w:ind w:left="3523" w:hanging="360"/>
      </w:pPr>
      <w:rPr>
        <w:rFonts w:ascii="Wingdings" w:hAnsi="Wingdings" w:hint="default"/>
      </w:rPr>
    </w:lvl>
    <w:lvl w:ilvl="6" w:tplc="08090001" w:tentative="1">
      <w:start w:val="1"/>
      <w:numFmt w:val="bullet"/>
      <w:lvlText w:val=""/>
      <w:lvlJc w:val="left"/>
      <w:pPr>
        <w:tabs>
          <w:tab w:val="num" w:pos="4243"/>
        </w:tabs>
        <w:ind w:left="4243" w:hanging="360"/>
      </w:pPr>
      <w:rPr>
        <w:rFonts w:ascii="Symbol" w:hAnsi="Symbol" w:hint="default"/>
      </w:rPr>
    </w:lvl>
    <w:lvl w:ilvl="7" w:tplc="08090003" w:tentative="1">
      <w:start w:val="1"/>
      <w:numFmt w:val="bullet"/>
      <w:lvlText w:val="o"/>
      <w:lvlJc w:val="left"/>
      <w:pPr>
        <w:tabs>
          <w:tab w:val="num" w:pos="4963"/>
        </w:tabs>
        <w:ind w:left="4963" w:hanging="360"/>
      </w:pPr>
      <w:rPr>
        <w:rFonts w:ascii="Courier New" w:hAnsi="Courier New" w:cs="Courier New" w:hint="default"/>
      </w:rPr>
    </w:lvl>
    <w:lvl w:ilvl="8" w:tplc="08090005" w:tentative="1">
      <w:start w:val="1"/>
      <w:numFmt w:val="bullet"/>
      <w:lvlText w:val=""/>
      <w:lvlJc w:val="left"/>
      <w:pPr>
        <w:tabs>
          <w:tab w:val="num" w:pos="5683"/>
        </w:tabs>
        <w:ind w:left="5683" w:hanging="360"/>
      </w:pPr>
      <w:rPr>
        <w:rFonts w:ascii="Wingdings" w:hAnsi="Wingdings" w:hint="default"/>
      </w:rPr>
    </w:lvl>
  </w:abstractNum>
  <w:abstractNum w:abstractNumId="28">
    <w:nsid w:val="708455A7"/>
    <w:multiLevelType w:val="multilevel"/>
    <w:tmpl w:val="E8A81BF8"/>
    <w:lvl w:ilvl="0">
      <w:start w:val="1"/>
      <w:numFmt w:val="decimal"/>
      <w:pStyle w:val="Heading1"/>
      <w:lvlText w:val="%1."/>
      <w:lvlJc w:val="left"/>
      <w:pPr>
        <w:tabs>
          <w:tab w:val="num" w:pos="709"/>
        </w:tabs>
        <w:ind w:left="709" w:hanging="709"/>
      </w:pPr>
      <w:rPr>
        <w:rFonts w:hint="default"/>
      </w:rPr>
    </w:lvl>
    <w:lvl w:ilvl="1">
      <w:start w:val="1"/>
      <w:numFmt w:val="decimal"/>
      <w:pStyle w:val="Maintext"/>
      <w:lvlText w:val="%1.%2"/>
      <w:lvlJc w:val="left"/>
      <w:pPr>
        <w:tabs>
          <w:tab w:val="num" w:pos="709"/>
        </w:tabs>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70B0645C"/>
    <w:multiLevelType w:val="multilevel"/>
    <w:tmpl w:val="8AE02CB4"/>
    <w:lvl w:ilvl="0">
      <w:start w:val="5"/>
      <w:numFmt w:val="upperLetter"/>
      <w:lvlText w:val="%1.0"/>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b w:val="0"/>
        <w:i w:val="0"/>
        <w:color w:val="auto"/>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7B0003BA"/>
    <w:multiLevelType w:val="multilevel"/>
    <w:tmpl w:val="2BF812CA"/>
    <w:lvl w:ilvl="0">
      <w:start w:val="6"/>
      <w:numFmt w:val="upperLetter"/>
      <w:lvlText w:val="%1.0"/>
      <w:lvlJc w:val="left"/>
      <w:pPr>
        <w:tabs>
          <w:tab w:val="num" w:pos="709"/>
        </w:tabs>
        <w:ind w:left="709" w:hanging="709"/>
      </w:pPr>
      <w:rPr>
        <w:rFonts w:hint="default"/>
      </w:rPr>
    </w:lvl>
    <w:lvl w:ilvl="1">
      <w:start w:val="1"/>
      <w:numFmt w:val="decimal"/>
      <w:lvlText w:val="H.%2"/>
      <w:lvlJc w:val="left"/>
      <w:pPr>
        <w:tabs>
          <w:tab w:val="num" w:pos="709"/>
        </w:tabs>
        <w:ind w:left="709" w:hanging="709"/>
      </w:pPr>
      <w:rPr>
        <w:rFonts w:hint="default"/>
        <w:b w:val="0"/>
        <w:i w:val="0"/>
        <w:color w:val="auto"/>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CF17446"/>
    <w:multiLevelType w:val="hybridMultilevel"/>
    <w:tmpl w:val="DBDAF436"/>
    <w:lvl w:ilvl="0" w:tplc="F3E89B7E">
      <w:start w:val="1"/>
      <w:numFmt w:val="bullet"/>
      <w:lvlText w:val=""/>
      <w:lvlJc w:val="left"/>
      <w:pPr>
        <w:tabs>
          <w:tab w:val="num" w:pos="1080"/>
        </w:tabs>
        <w:ind w:left="1080" w:hanging="360"/>
      </w:pPr>
      <w:rPr>
        <w:rFonts w:ascii="Symbol" w:hAnsi="Symbol" w:hint="default"/>
      </w:rPr>
    </w:lvl>
    <w:lvl w:ilvl="1" w:tplc="AA10BBA2">
      <w:start w:val="1"/>
      <w:numFmt w:val="bullet"/>
      <w:lvlText w:val="o"/>
      <w:lvlJc w:val="left"/>
      <w:pPr>
        <w:tabs>
          <w:tab w:val="num" w:pos="1091"/>
        </w:tabs>
        <w:ind w:left="1091" w:hanging="360"/>
      </w:pPr>
      <w:rPr>
        <w:rFonts w:ascii="Courier New" w:hAnsi="Courier New" w:cs="Courier New" w:hint="default"/>
      </w:rPr>
    </w:lvl>
    <w:lvl w:ilvl="2" w:tplc="C79C4C1C">
      <w:start w:val="1"/>
      <w:numFmt w:val="bullet"/>
      <w:lvlText w:val=""/>
      <w:lvlJc w:val="left"/>
      <w:pPr>
        <w:tabs>
          <w:tab w:val="num" w:pos="1811"/>
        </w:tabs>
        <w:ind w:left="1811" w:hanging="360"/>
      </w:pPr>
      <w:rPr>
        <w:rFonts w:ascii="Symbol" w:hAnsi="Symbol" w:hint="default"/>
      </w:rPr>
    </w:lvl>
    <w:lvl w:ilvl="3" w:tplc="44FE5B02" w:tentative="1">
      <w:start w:val="1"/>
      <w:numFmt w:val="bullet"/>
      <w:lvlText w:val=""/>
      <w:lvlJc w:val="left"/>
      <w:pPr>
        <w:tabs>
          <w:tab w:val="num" w:pos="2531"/>
        </w:tabs>
        <w:ind w:left="2531" w:hanging="360"/>
      </w:pPr>
      <w:rPr>
        <w:rFonts w:ascii="Symbol" w:hAnsi="Symbol" w:hint="default"/>
      </w:rPr>
    </w:lvl>
    <w:lvl w:ilvl="4" w:tplc="E1E6D242" w:tentative="1">
      <w:start w:val="1"/>
      <w:numFmt w:val="bullet"/>
      <w:lvlText w:val="o"/>
      <w:lvlJc w:val="left"/>
      <w:pPr>
        <w:tabs>
          <w:tab w:val="num" w:pos="3251"/>
        </w:tabs>
        <w:ind w:left="3251" w:hanging="360"/>
      </w:pPr>
      <w:rPr>
        <w:rFonts w:ascii="Courier New" w:hAnsi="Courier New" w:cs="Courier New" w:hint="default"/>
      </w:rPr>
    </w:lvl>
    <w:lvl w:ilvl="5" w:tplc="B51A4EFE" w:tentative="1">
      <w:start w:val="1"/>
      <w:numFmt w:val="bullet"/>
      <w:lvlText w:val=""/>
      <w:lvlJc w:val="left"/>
      <w:pPr>
        <w:tabs>
          <w:tab w:val="num" w:pos="3971"/>
        </w:tabs>
        <w:ind w:left="3971" w:hanging="360"/>
      </w:pPr>
      <w:rPr>
        <w:rFonts w:ascii="Wingdings" w:hAnsi="Wingdings" w:hint="default"/>
      </w:rPr>
    </w:lvl>
    <w:lvl w:ilvl="6" w:tplc="D536F038" w:tentative="1">
      <w:start w:val="1"/>
      <w:numFmt w:val="bullet"/>
      <w:lvlText w:val=""/>
      <w:lvlJc w:val="left"/>
      <w:pPr>
        <w:tabs>
          <w:tab w:val="num" w:pos="4691"/>
        </w:tabs>
        <w:ind w:left="4691" w:hanging="360"/>
      </w:pPr>
      <w:rPr>
        <w:rFonts w:ascii="Symbol" w:hAnsi="Symbol" w:hint="default"/>
      </w:rPr>
    </w:lvl>
    <w:lvl w:ilvl="7" w:tplc="2C229AA8" w:tentative="1">
      <w:start w:val="1"/>
      <w:numFmt w:val="bullet"/>
      <w:lvlText w:val="o"/>
      <w:lvlJc w:val="left"/>
      <w:pPr>
        <w:tabs>
          <w:tab w:val="num" w:pos="5411"/>
        </w:tabs>
        <w:ind w:left="5411" w:hanging="360"/>
      </w:pPr>
      <w:rPr>
        <w:rFonts w:ascii="Courier New" w:hAnsi="Courier New" w:cs="Courier New" w:hint="default"/>
      </w:rPr>
    </w:lvl>
    <w:lvl w:ilvl="8" w:tplc="C5665E5C" w:tentative="1">
      <w:start w:val="1"/>
      <w:numFmt w:val="bullet"/>
      <w:lvlText w:val=""/>
      <w:lvlJc w:val="left"/>
      <w:pPr>
        <w:tabs>
          <w:tab w:val="num" w:pos="6131"/>
        </w:tabs>
        <w:ind w:left="6131" w:hanging="360"/>
      </w:pPr>
      <w:rPr>
        <w:rFonts w:ascii="Wingdings" w:hAnsi="Wingdings" w:hint="default"/>
      </w:rPr>
    </w:lvl>
  </w:abstractNum>
  <w:num w:numId="1">
    <w:abstractNumId w:val="19"/>
  </w:num>
  <w:num w:numId="2">
    <w:abstractNumId w:val="14"/>
  </w:num>
  <w:num w:numId="3">
    <w:abstractNumId w:val="14"/>
  </w:num>
  <w:num w:numId="4">
    <w:abstractNumId w:val="0"/>
  </w:num>
  <w:num w:numId="5">
    <w:abstractNumId w:val="18"/>
  </w:num>
  <w:num w:numId="6">
    <w:abstractNumId w:val="20"/>
  </w:num>
  <w:num w:numId="7">
    <w:abstractNumId w:val="13"/>
  </w:num>
  <w:num w:numId="8">
    <w:abstractNumId w:val="3"/>
  </w:num>
  <w:num w:numId="9">
    <w:abstractNumId w:val="24"/>
  </w:num>
  <w:num w:numId="10">
    <w:abstractNumId w:val="28"/>
  </w:num>
  <w:num w:numId="11">
    <w:abstractNumId w:val="15"/>
  </w:num>
  <w:num w:numId="12">
    <w:abstractNumId w:val="29"/>
  </w:num>
  <w:num w:numId="13">
    <w:abstractNumId w:val="25"/>
  </w:num>
  <w:num w:numId="14">
    <w:abstractNumId w:val="27"/>
  </w:num>
  <w:num w:numId="15">
    <w:abstractNumId w:val="1"/>
  </w:num>
  <w:num w:numId="16">
    <w:abstractNumId w:val="7"/>
  </w:num>
  <w:num w:numId="17">
    <w:abstractNumId w:val="11"/>
  </w:num>
  <w:num w:numId="18">
    <w:abstractNumId w:val="4"/>
  </w:num>
  <w:num w:numId="19">
    <w:abstractNumId w:val="17"/>
  </w:num>
  <w:num w:numId="20">
    <w:abstractNumId w:val="3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1.%2"/>
        <w:lvlJc w:val="left"/>
        <w:pPr>
          <w:tabs>
            <w:tab w:val="num" w:pos="709"/>
          </w:tabs>
          <w:ind w:left="709" w:hanging="709"/>
        </w:pPr>
        <w:rPr>
          <w:rFonts w:hint="default"/>
          <w:b w:val="0"/>
          <w:i w:val="0"/>
          <w:color w:val="auto"/>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3">
    <w:abstractNumId w:val="6"/>
  </w:num>
  <w:num w:numId="24">
    <w:abstractNumId w:val="23"/>
  </w:num>
  <w:num w:numId="25">
    <w:abstractNumId w:val="30"/>
  </w:num>
  <w:num w:numId="26">
    <w:abstractNumId w:val="2"/>
  </w:num>
  <w:num w:numId="27">
    <w:abstractNumId w:val="21"/>
  </w:num>
  <w:num w:numId="28">
    <w:abstractNumId w:val="8"/>
  </w:num>
  <w:num w:numId="29">
    <w:abstractNumId w:val="12"/>
  </w:num>
  <w:num w:numId="30">
    <w:abstractNumId w:val="16"/>
  </w:num>
  <w:num w:numId="31">
    <w:abstractNumId w:val="26"/>
  </w:num>
  <w:num w:numId="32">
    <w:abstractNumId w:val="9"/>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num>
  <w:num w:numId="40">
    <w:abstractNumId w:val="28"/>
  </w:num>
  <w:num w:numId="41">
    <w:abstractNumId w:val="10"/>
  </w:num>
  <w:num w:numId="42">
    <w:abstractNumId w:val="5"/>
  </w:num>
  <w:num w:numId="43">
    <w:abstractNumId w:val="28"/>
  </w:num>
  <w:num w:numId="44">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displayVerticalDrawingGridEvery w:val="2"/>
  <w:doNotShadeFormData/>
  <w:noPunctuationKerning/>
  <w:characterSpacingControl w:val="doNotCompress"/>
  <w:hdrShapeDefaults>
    <o:shapedefaults v:ext="edit" spidmax="2049">
      <o:colormru v:ext="edit" colors="#032c8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42"/>
    <w:rsid w:val="00001926"/>
    <w:rsid w:val="00004E0C"/>
    <w:rsid w:val="00004F1C"/>
    <w:rsid w:val="00006184"/>
    <w:rsid w:val="000077CF"/>
    <w:rsid w:val="00010653"/>
    <w:rsid w:val="0001098E"/>
    <w:rsid w:val="00010F68"/>
    <w:rsid w:val="000113E9"/>
    <w:rsid w:val="00012053"/>
    <w:rsid w:val="00012518"/>
    <w:rsid w:val="0001384F"/>
    <w:rsid w:val="0001619C"/>
    <w:rsid w:val="00016C2F"/>
    <w:rsid w:val="000173C6"/>
    <w:rsid w:val="000215FF"/>
    <w:rsid w:val="0002258B"/>
    <w:rsid w:val="00022C2C"/>
    <w:rsid w:val="00023F7B"/>
    <w:rsid w:val="000256BE"/>
    <w:rsid w:val="000257E2"/>
    <w:rsid w:val="00025B29"/>
    <w:rsid w:val="0002603E"/>
    <w:rsid w:val="000263B7"/>
    <w:rsid w:val="00027D0A"/>
    <w:rsid w:val="00030943"/>
    <w:rsid w:val="00034A6F"/>
    <w:rsid w:val="00034CAB"/>
    <w:rsid w:val="000356E7"/>
    <w:rsid w:val="00042BA4"/>
    <w:rsid w:val="000440CB"/>
    <w:rsid w:val="000458CE"/>
    <w:rsid w:val="0004631D"/>
    <w:rsid w:val="0005106E"/>
    <w:rsid w:val="00052D13"/>
    <w:rsid w:val="00053198"/>
    <w:rsid w:val="00060676"/>
    <w:rsid w:val="0006176C"/>
    <w:rsid w:val="00062403"/>
    <w:rsid w:val="00062490"/>
    <w:rsid w:val="00062CC9"/>
    <w:rsid w:val="00063329"/>
    <w:rsid w:val="00063DAC"/>
    <w:rsid w:val="0006738D"/>
    <w:rsid w:val="000676DE"/>
    <w:rsid w:val="00067C5C"/>
    <w:rsid w:val="00070409"/>
    <w:rsid w:val="00071208"/>
    <w:rsid w:val="00071784"/>
    <w:rsid w:val="00071AD6"/>
    <w:rsid w:val="00072FE8"/>
    <w:rsid w:val="00073366"/>
    <w:rsid w:val="00075662"/>
    <w:rsid w:val="000759D7"/>
    <w:rsid w:val="000775EB"/>
    <w:rsid w:val="0008046D"/>
    <w:rsid w:val="00082589"/>
    <w:rsid w:val="0008403A"/>
    <w:rsid w:val="00084402"/>
    <w:rsid w:val="000844A4"/>
    <w:rsid w:val="00084A36"/>
    <w:rsid w:val="00085F58"/>
    <w:rsid w:val="00086C4C"/>
    <w:rsid w:val="000874A4"/>
    <w:rsid w:val="0009011B"/>
    <w:rsid w:val="00091DFC"/>
    <w:rsid w:val="00092AF1"/>
    <w:rsid w:val="00093D6E"/>
    <w:rsid w:val="00094681"/>
    <w:rsid w:val="000947FF"/>
    <w:rsid w:val="00096915"/>
    <w:rsid w:val="000A0863"/>
    <w:rsid w:val="000A0B2B"/>
    <w:rsid w:val="000A566F"/>
    <w:rsid w:val="000A5685"/>
    <w:rsid w:val="000A70F7"/>
    <w:rsid w:val="000A79E8"/>
    <w:rsid w:val="000B0C60"/>
    <w:rsid w:val="000B0E29"/>
    <w:rsid w:val="000B0F10"/>
    <w:rsid w:val="000B1B43"/>
    <w:rsid w:val="000B331D"/>
    <w:rsid w:val="000B3DA6"/>
    <w:rsid w:val="000B6975"/>
    <w:rsid w:val="000B6A81"/>
    <w:rsid w:val="000C004C"/>
    <w:rsid w:val="000C0EC5"/>
    <w:rsid w:val="000C2B99"/>
    <w:rsid w:val="000C3A48"/>
    <w:rsid w:val="000C3FDE"/>
    <w:rsid w:val="000D0A3B"/>
    <w:rsid w:val="000D161B"/>
    <w:rsid w:val="000D21DC"/>
    <w:rsid w:val="000D2409"/>
    <w:rsid w:val="000D2719"/>
    <w:rsid w:val="000D38F5"/>
    <w:rsid w:val="000D4E86"/>
    <w:rsid w:val="000D5168"/>
    <w:rsid w:val="000D5688"/>
    <w:rsid w:val="000D740D"/>
    <w:rsid w:val="000E0E8E"/>
    <w:rsid w:val="000E1A5A"/>
    <w:rsid w:val="000E1EC5"/>
    <w:rsid w:val="000E21F3"/>
    <w:rsid w:val="000E3227"/>
    <w:rsid w:val="000E5455"/>
    <w:rsid w:val="000E5A1E"/>
    <w:rsid w:val="000E61A4"/>
    <w:rsid w:val="000E6441"/>
    <w:rsid w:val="000F0AF8"/>
    <w:rsid w:val="000F16B2"/>
    <w:rsid w:val="000F23CA"/>
    <w:rsid w:val="000F23D5"/>
    <w:rsid w:val="000F2888"/>
    <w:rsid w:val="000F3A41"/>
    <w:rsid w:val="000F514B"/>
    <w:rsid w:val="00101B40"/>
    <w:rsid w:val="0010301C"/>
    <w:rsid w:val="001040F4"/>
    <w:rsid w:val="001042ED"/>
    <w:rsid w:val="00105235"/>
    <w:rsid w:val="00106AF2"/>
    <w:rsid w:val="00110772"/>
    <w:rsid w:val="00110B43"/>
    <w:rsid w:val="00110C40"/>
    <w:rsid w:val="00112544"/>
    <w:rsid w:val="00113ECA"/>
    <w:rsid w:val="00115349"/>
    <w:rsid w:val="00117451"/>
    <w:rsid w:val="001202DF"/>
    <w:rsid w:val="00122EDA"/>
    <w:rsid w:val="001251F0"/>
    <w:rsid w:val="0012621B"/>
    <w:rsid w:val="001276BD"/>
    <w:rsid w:val="0012779A"/>
    <w:rsid w:val="00127B72"/>
    <w:rsid w:val="001323CF"/>
    <w:rsid w:val="001326C4"/>
    <w:rsid w:val="00132942"/>
    <w:rsid w:val="00132A6F"/>
    <w:rsid w:val="00132B54"/>
    <w:rsid w:val="0013309C"/>
    <w:rsid w:val="001349D4"/>
    <w:rsid w:val="00135DBA"/>
    <w:rsid w:val="0013742C"/>
    <w:rsid w:val="00142352"/>
    <w:rsid w:val="00142A21"/>
    <w:rsid w:val="00142BDA"/>
    <w:rsid w:val="00143189"/>
    <w:rsid w:val="00144F15"/>
    <w:rsid w:val="0014652D"/>
    <w:rsid w:val="00147646"/>
    <w:rsid w:val="00150609"/>
    <w:rsid w:val="00150694"/>
    <w:rsid w:val="001514C3"/>
    <w:rsid w:val="00152E8A"/>
    <w:rsid w:val="00153CCA"/>
    <w:rsid w:val="001541EC"/>
    <w:rsid w:val="001542F9"/>
    <w:rsid w:val="00155623"/>
    <w:rsid w:val="00155C1E"/>
    <w:rsid w:val="001562BE"/>
    <w:rsid w:val="00157612"/>
    <w:rsid w:val="00157A72"/>
    <w:rsid w:val="00157D37"/>
    <w:rsid w:val="00160B3F"/>
    <w:rsid w:val="0016105E"/>
    <w:rsid w:val="00164019"/>
    <w:rsid w:val="00165753"/>
    <w:rsid w:val="0016579F"/>
    <w:rsid w:val="00166E2E"/>
    <w:rsid w:val="00166F26"/>
    <w:rsid w:val="00167AE9"/>
    <w:rsid w:val="00170E50"/>
    <w:rsid w:val="00173567"/>
    <w:rsid w:val="001736CD"/>
    <w:rsid w:val="001738AF"/>
    <w:rsid w:val="00173ACD"/>
    <w:rsid w:val="00176832"/>
    <w:rsid w:val="001779B9"/>
    <w:rsid w:val="00180506"/>
    <w:rsid w:val="0018556A"/>
    <w:rsid w:val="0018673F"/>
    <w:rsid w:val="00186AE0"/>
    <w:rsid w:val="00186FA7"/>
    <w:rsid w:val="001876A2"/>
    <w:rsid w:val="001914E1"/>
    <w:rsid w:val="00191719"/>
    <w:rsid w:val="001917F8"/>
    <w:rsid w:val="00192D22"/>
    <w:rsid w:val="00194AD4"/>
    <w:rsid w:val="00194D01"/>
    <w:rsid w:val="00196384"/>
    <w:rsid w:val="00196C6C"/>
    <w:rsid w:val="001977A9"/>
    <w:rsid w:val="001A0372"/>
    <w:rsid w:val="001A0CFB"/>
    <w:rsid w:val="001A2663"/>
    <w:rsid w:val="001A3BF8"/>
    <w:rsid w:val="001A5A2E"/>
    <w:rsid w:val="001A68A7"/>
    <w:rsid w:val="001B141B"/>
    <w:rsid w:val="001B3D63"/>
    <w:rsid w:val="001B402E"/>
    <w:rsid w:val="001B4DE4"/>
    <w:rsid w:val="001B71ED"/>
    <w:rsid w:val="001C0983"/>
    <w:rsid w:val="001C0BB7"/>
    <w:rsid w:val="001C346F"/>
    <w:rsid w:val="001C6753"/>
    <w:rsid w:val="001D2764"/>
    <w:rsid w:val="001D2EA0"/>
    <w:rsid w:val="001D3255"/>
    <w:rsid w:val="001D3C19"/>
    <w:rsid w:val="001D4694"/>
    <w:rsid w:val="001D4FE1"/>
    <w:rsid w:val="001D734B"/>
    <w:rsid w:val="001D7565"/>
    <w:rsid w:val="001D769C"/>
    <w:rsid w:val="001E0363"/>
    <w:rsid w:val="001E125D"/>
    <w:rsid w:val="001E1513"/>
    <w:rsid w:val="001E2D6A"/>
    <w:rsid w:val="001E3095"/>
    <w:rsid w:val="001E376F"/>
    <w:rsid w:val="001E3FEF"/>
    <w:rsid w:val="001E486F"/>
    <w:rsid w:val="001E4A15"/>
    <w:rsid w:val="001F0F92"/>
    <w:rsid w:val="001F1B42"/>
    <w:rsid w:val="001F2CC7"/>
    <w:rsid w:val="002000A7"/>
    <w:rsid w:val="0020060E"/>
    <w:rsid w:val="00200624"/>
    <w:rsid w:val="00200941"/>
    <w:rsid w:val="00201062"/>
    <w:rsid w:val="002059E3"/>
    <w:rsid w:val="002075CA"/>
    <w:rsid w:val="0021263D"/>
    <w:rsid w:val="002145B0"/>
    <w:rsid w:val="00215391"/>
    <w:rsid w:val="00215720"/>
    <w:rsid w:val="0021643B"/>
    <w:rsid w:val="002204AD"/>
    <w:rsid w:val="00221491"/>
    <w:rsid w:val="00222E46"/>
    <w:rsid w:val="00223358"/>
    <w:rsid w:val="00225100"/>
    <w:rsid w:val="00226B8C"/>
    <w:rsid w:val="00231EF2"/>
    <w:rsid w:val="002324A9"/>
    <w:rsid w:val="00232EDD"/>
    <w:rsid w:val="00233694"/>
    <w:rsid w:val="0023425B"/>
    <w:rsid w:val="00234925"/>
    <w:rsid w:val="00234B99"/>
    <w:rsid w:val="00235B49"/>
    <w:rsid w:val="00235B4C"/>
    <w:rsid w:val="00235E3E"/>
    <w:rsid w:val="0023778C"/>
    <w:rsid w:val="00241BF7"/>
    <w:rsid w:val="002448AB"/>
    <w:rsid w:val="00246CFE"/>
    <w:rsid w:val="00247B28"/>
    <w:rsid w:val="0025072D"/>
    <w:rsid w:val="0025117C"/>
    <w:rsid w:val="0025177D"/>
    <w:rsid w:val="00251DCA"/>
    <w:rsid w:val="00252E5B"/>
    <w:rsid w:val="00252E96"/>
    <w:rsid w:val="00253560"/>
    <w:rsid w:val="002537E9"/>
    <w:rsid w:val="00253DC9"/>
    <w:rsid w:val="0025778A"/>
    <w:rsid w:val="00263002"/>
    <w:rsid w:val="00263E8E"/>
    <w:rsid w:val="00263E95"/>
    <w:rsid w:val="00264794"/>
    <w:rsid w:val="002656CA"/>
    <w:rsid w:val="0026575B"/>
    <w:rsid w:val="002673BA"/>
    <w:rsid w:val="00267853"/>
    <w:rsid w:val="002767E2"/>
    <w:rsid w:val="00276C32"/>
    <w:rsid w:val="00284DE1"/>
    <w:rsid w:val="00286160"/>
    <w:rsid w:val="0029047F"/>
    <w:rsid w:val="002914B4"/>
    <w:rsid w:val="00292B5B"/>
    <w:rsid w:val="0029475A"/>
    <w:rsid w:val="0029556F"/>
    <w:rsid w:val="00295E47"/>
    <w:rsid w:val="00297143"/>
    <w:rsid w:val="0029731E"/>
    <w:rsid w:val="002A22F6"/>
    <w:rsid w:val="002A4128"/>
    <w:rsid w:val="002A44D8"/>
    <w:rsid w:val="002A45D5"/>
    <w:rsid w:val="002A4C96"/>
    <w:rsid w:val="002A52B8"/>
    <w:rsid w:val="002A6185"/>
    <w:rsid w:val="002A63E5"/>
    <w:rsid w:val="002A7609"/>
    <w:rsid w:val="002A7B71"/>
    <w:rsid w:val="002B0CB9"/>
    <w:rsid w:val="002B168E"/>
    <w:rsid w:val="002B3165"/>
    <w:rsid w:val="002B367B"/>
    <w:rsid w:val="002B5285"/>
    <w:rsid w:val="002B6F3E"/>
    <w:rsid w:val="002B7E59"/>
    <w:rsid w:val="002C11C3"/>
    <w:rsid w:val="002C1B0D"/>
    <w:rsid w:val="002C226E"/>
    <w:rsid w:val="002C3825"/>
    <w:rsid w:val="002C420F"/>
    <w:rsid w:val="002C4CF9"/>
    <w:rsid w:val="002C586C"/>
    <w:rsid w:val="002C5A8D"/>
    <w:rsid w:val="002D0195"/>
    <w:rsid w:val="002D0BBC"/>
    <w:rsid w:val="002D0E3B"/>
    <w:rsid w:val="002D109D"/>
    <w:rsid w:val="002D1A0F"/>
    <w:rsid w:val="002D2169"/>
    <w:rsid w:val="002D26F5"/>
    <w:rsid w:val="002D301E"/>
    <w:rsid w:val="002D3C99"/>
    <w:rsid w:val="002D45C4"/>
    <w:rsid w:val="002D4C3F"/>
    <w:rsid w:val="002D6654"/>
    <w:rsid w:val="002D6FB9"/>
    <w:rsid w:val="002E0355"/>
    <w:rsid w:val="002E036D"/>
    <w:rsid w:val="002E09C4"/>
    <w:rsid w:val="002E1B35"/>
    <w:rsid w:val="002E1CF8"/>
    <w:rsid w:val="002E1D85"/>
    <w:rsid w:val="002E4485"/>
    <w:rsid w:val="002E4535"/>
    <w:rsid w:val="002E4D1D"/>
    <w:rsid w:val="002E624C"/>
    <w:rsid w:val="002E7E2A"/>
    <w:rsid w:val="002F0F00"/>
    <w:rsid w:val="002F2C47"/>
    <w:rsid w:val="002F5066"/>
    <w:rsid w:val="002F5BA8"/>
    <w:rsid w:val="002F604A"/>
    <w:rsid w:val="00300084"/>
    <w:rsid w:val="003031A2"/>
    <w:rsid w:val="00304363"/>
    <w:rsid w:val="00304971"/>
    <w:rsid w:val="00304C33"/>
    <w:rsid w:val="00304CA0"/>
    <w:rsid w:val="00305F3D"/>
    <w:rsid w:val="00307CC0"/>
    <w:rsid w:val="00313022"/>
    <w:rsid w:val="00315960"/>
    <w:rsid w:val="0031747E"/>
    <w:rsid w:val="00320E29"/>
    <w:rsid w:val="0032127D"/>
    <w:rsid w:val="003218AD"/>
    <w:rsid w:val="00321E94"/>
    <w:rsid w:val="00322C32"/>
    <w:rsid w:val="00325144"/>
    <w:rsid w:val="0032552F"/>
    <w:rsid w:val="00325DE0"/>
    <w:rsid w:val="00327093"/>
    <w:rsid w:val="0032741E"/>
    <w:rsid w:val="0033088B"/>
    <w:rsid w:val="00330A91"/>
    <w:rsid w:val="00335991"/>
    <w:rsid w:val="0034074C"/>
    <w:rsid w:val="0034172B"/>
    <w:rsid w:val="00342354"/>
    <w:rsid w:val="00343F71"/>
    <w:rsid w:val="00344297"/>
    <w:rsid w:val="003532A9"/>
    <w:rsid w:val="00353456"/>
    <w:rsid w:val="0035395D"/>
    <w:rsid w:val="00353F3C"/>
    <w:rsid w:val="00355984"/>
    <w:rsid w:val="003562A1"/>
    <w:rsid w:val="00356DA5"/>
    <w:rsid w:val="00357456"/>
    <w:rsid w:val="00357612"/>
    <w:rsid w:val="00357754"/>
    <w:rsid w:val="00357D1A"/>
    <w:rsid w:val="00357ED2"/>
    <w:rsid w:val="00360807"/>
    <w:rsid w:val="003611E8"/>
    <w:rsid w:val="00367231"/>
    <w:rsid w:val="00374844"/>
    <w:rsid w:val="00375806"/>
    <w:rsid w:val="00375816"/>
    <w:rsid w:val="0037622F"/>
    <w:rsid w:val="0037654E"/>
    <w:rsid w:val="00377FC4"/>
    <w:rsid w:val="0038046B"/>
    <w:rsid w:val="00381578"/>
    <w:rsid w:val="00381E1B"/>
    <w:rsid w:val="00383C54"/>
    <w:rsid w:val="0038454F"/>
    <w:rsid w:val="003856DA"/>
    <w:rsid w:val="00387691"/>
    <w:rsid w:val="003878C3"/>
    <w:rsid w:val="00387A91"/>
    <w:rsid w:val="00392014"/>
    <w:rsid w:val="003932E7"/>
    <w:rsid w:val="003941F6"/>
    <w:rsid w:val="00394940"/>
    <w:rsid w:val="0039501C"/>
    <w:rsid w:val="003963C3"/>
    <w:rsid w:val="003968F9"/>
    <w:rsid w:val="00396F7D"/>
    <w:rsid w:val="003A0F4E"/>
    <w:rsid w:val="003A1F5E"/>
    <w:rsid w:val="003A376F"/>
    <w:rsid w:val="003A618E"/>
    <w:rsid w:val="003A6F13"/>
    <w:rsid w:val="003B1D39"/>
    <w:rsid w:val="003B2B5F"/>
    <w:rsid w:val="003B2E68"/>
    <w:rsid w:val="003B442E"/>
    <w:rsid w:val="003B46F5"/>
    <w:rsid w:val="003B50AF"/>
    <w:rsid w:val="003B5BC2"/>
    <w:rsid w:val="003B7A10"/>
    <w:rsid w:val="003B7B36"/>
    <w:rsid w:val="003B7C75"/>
    <w:rsid w:val="003C1C49"/>
    <w:rsid w:val="003C223A"/>
    <w:rsid w:val="003C2297"/>
    <w:rsid w:val="003C4138"/>
    <w:rsid w:val="003C4479"/>
    <w:rsid w:val="003C4AE4"/>
    <w:rsid w:val="003C4F7C"/>
    <w:rsid w:val="003C5498"/>
    <w:rsid w:val="003C571F"/>
    <w:rsid w:val="003C5C8B"/>
    <w:rsid w:val="003C6E9B"/>
    <w:rsid w:val="003D04D8"/>
    <w:rsid w:val="003D090A"/>
    <w:rsid w:val="003D14D0"/>
    <w:rsid w:val="003D1529"/>
    <w:rsid w:val="003D1628"/>
    <w:rsid w:val="003D24DD"/>
    <w:rsid w:val="003D3E68"/>
    <w:rsid w:val="003D43F1"/>
    <w:rsid w:val="003D4DC4"/>
    <w:rsid w:val="003D530B"/>
    <w:rsid w:val="003D566B"/>
    <w:rsid w:val="003D6476"/>
    <w:rsid w:val="003D6BB3"/>
    <w:rsid w:val="003E1611"/>
    <w:rsid w:val="003E1E73"/>
    <w:rsid w:val="003E31C2"/>
    <w:rsid w:val="003E3BDC"/>
    <w:rsid w:val="003E4B63"/>
    <w:rsid w:val="003E6273"/>
    <w:rsid w:val="003E638F"/>
    <w:rsid w:val="003E6899"/>
    <w:rsid w:val="003E7AE2"/>
    <w:rsid w:val="003F2E87"/>
    <w:rsid w:val="003F3246"/>
    <w:rsid w:val="003F3869"/>
    <w:rsid w:val="003F4D3B"/>
    <w:rsid w:val="003F5599"/>
    <w:rsid w:val="003F5928"/>
    <w:rsid w:val="003F5D85"/>
    <w:rsid w:val="004002EF"/>
    <w:rsid w:val="00400708"/>
    <w:rsid w:val="004021B9"/>
    <w:rsid w:val="00403109"/>
    <w:rsid w:val="00403601"/>
    <w:rsid w:val="0040453B"/>
    <w:rsid w:val="00404667"/>
    <w:rsid w:val="004051AD"/>
    <w:rsid w:val="00405870"/>
    <w:rsid w:val="0040743A"/>
    <w:rsid w:val="00407452"/>
    <w:rsid w:val="00407DE1"/>
    <w:rsid w:val="004115CE"/>
    <w:rsid w:val="00412F63"/>
    <w:rsid w:val="004133AA"/>
    <w:rsid w:val="004154B6"/>
    <w:rsid w:val="00416BFC"/>
    <w:rsid w:val="00421A6B"/>
    <w:rsid w:val="00423A1B"/>
    <w:rsid w:val="004243C6"/>
    <w:rsid w:val="00427AC3"/>
    <w:rsid w:val="00430191"/>
    <w:rsid w:val="004304B5"/>
    <w:rsid w:val="004307F9"/>
    <w:rsid w:val="004320F3"/>
    <w:rsid w:val="004329DA"/>
    <w:rsid w:val="004338FC"/>
    <w:rsid w:val="00436DF0"/>
    <w:rsid w:val="00442816"/>
    <w:rsid w:val="0044350B"/>
    <w:rsid w:val="0044389F"/>
    <w:rsid w:val="00443D4B"/>
    <w:rsid w:val="00444357"/>
    <w:rsid w:val="004454E6"/>
    <w:rsid w:val="00445A97"/>
    <w:rsid w:val="00450696"/>
    <w:rsid w:val="00450B32"/>
    <w:rsid w:val="00450CDD"/>
    <w:rsid w:val="00451991"/>
    <w:rsid w:val="0045252B"/>
    <w:rsid w:val="00453C15"/>
    <w:rsid w:val="00457ED0"/>
    <w:rsid w:val="00460563"/>
    <w:rsid w:val="00461977"/>
    <w:rsid w:val="00462D30"/>
    <w:rsid w:val="0046353D"/>
    <w:rsid w:val="00465C9C"/>
    <w:rsid w:val="00466215"/>
    <w:rsid w:val="00466A4D"/>
    <w:rsid w:val="00467D5D"/>
    <w:rsid w:val="004711F0"/>
    <w:rsid w:val="004715B8"/>
    <w:rsid w:val="004730BE"/>
    <w:rsid w:val="00473C26"/>
    <w:rsid w:val="00473E31"/>
    <w:rsid w:val="00474A2D"/>
    <w:rsid w:val="004754AB"/>
    <w:rsid w:val="00477202"/>
    <w:rsid w:val="0048062B"/>
    <w:rsid w:val="00480960"/>
    <w:rsid w:val="0048251D"/>
    <w:rsid w:val="0048384E"/>
    <w:rsid w:val="0048479E"/>
    <w:rsid w:val="00485E9E"/>
    <w:rsid w:val="004869EC"/>
    <w:rsid w:val="004872A1"/>
    <w:rsid w:val="00491459"/>
    <w:rsid w:val="00492C6F"/>
    <w:rsid w:val="00494080"/>
    <w:rsid w:val="00494CB4"/>
    <w:rsid w:val="00495843"/>
    <w:rsid w:val="0049624D"/>
    <w:rsid w:val="00497667"/>
    <w:rsid w:val="0049779C"/>
    <w:rsid w:val="004A06BC"/>
    <w:rsid w:val="004A0C00"/>
    <w:rsid w:val="004A1373"/>
    <w:rsid w:val="004A1515"/>
    <w:rsid w:val="004A1B37"/>
    <w:rsid w:val="004A2C0E"/>
    <w:rsid w:val="004A3F13"/>
    <w:rsid w:val="004A44A0"/>
    <w:rsid w:val="004A4B64"/>
    <w:rsid w:val="004A5579"/>
    <w:rsid w:val="004A6AE7"/>
    <w:rsid w:val="004A6AED"/>
    <w:rsid w:val="004A729F"/>
    <w:rsid w:val="004B0606"/>
    <w:rsid w:val="004B2B95"/>
    <w:rsid w:val="004B48BB"/>
    <w:rsid w:val="004B576D"/>
    <w:rsid w:val="004B5B4C"/>
    <w:rsid w:val="004C02C4"/>
    <w:rsid w:val="004C0316"/>
    <w:rsid w:val="004C1D27"/>
    <w:rsid w:val="004C2BCA"/>
    <w:rsid w:val="004C6B37"/>
    <w:rsid w:val="004D0479"/>
    <w:rsid w:val="004D236E"/>
    <w:rsid w:val="004D2F35"/>
    <w:rsid w:val="004D7451"/>
    <w:rsid w:val="004D7A8F"/>
    <w:rsid w:val="004D7EA4"/>
    <w:rsid w:val="004E0248"/>
    <w:rsid w:val="004E0E0A"/>
    <w:rsid w:val="004E10D9"/>
    <w:rsid w:val="004E31E5"/>
    <w:rsid w:val="004E38AE"/>
    <w:rsid w:val="004F1C09"/>
    <w:rsid w:val="004F1E19"/>
    <w:rsid w:val="004F2A42"/>
    <w:rsid w:val="004F46DD"/>
    <w:rsid w:val="004F6372"/>
    <w:rsid w:val="005002BB"/>
    <w:rsid w:val="00501AA1"/>
    <w:rsid w:val="00502B48"/>
    <w:rsid w:val="005054C0"/>
    <w:rsid w:val="00505528"/>
    <w:rsid w:val="0050631A"/>
    <w:rsid w:val="00511D15"/>
    <w:rsid w:val="00512FFE"/>
    <w:rsid w:val="00513A76"/>
    <w:rsid w:val="00513ABF"/>
    <w:rsid w:val="005159AA"/>
    <w:rsid w:val="00516652"/>
    <w:rsid w:val="0051668F"/>
    <w:rsid w:val="005177B8"/>
    <w:rsid w:val="005179A5"/>
    <w:rsid w:val="00520A4E"/>
    <w:rsid w:val="00521A16"/>
    <w:rsid w:val="00521FA5"/>
    <w:rsid w:val="00523B93"/>
    <w:rsid w:val="00525257"/>
    <w:rsid w:val="005267C9"/>
    <w:rsid w:val="00530CCD"/>
    <w:rsid w:val="005310CC"/>
    <w:rsid w:val="005316A0"/>
    <w:rsid w:val="005346A4"/>
    <w:rsid w:val="005355A1"/>
    <w:rsid w:val="0053586E"/>
    <w:rsid w:val="00537291"/>
    <w:rsid w:val="005372ED"/>
    <w:rsid w:val="00537374"/>
    <w:rsid w:val="005400EB"/>
    <w:rsid w:val="00542613"/>
    <w:rsid w:val="0054588D"/>
    <w:rsid w:val="005468F4"/>
    <w:rsid w:val="00546AC4"/>
    <w:rsid w:val="00547383"/>
    <w:rsid w:val="00550333"/>
    <w:rsid w:val="00551C00"/>
    <w:rsid w:val="00552376"/>
    <w:rsid w:val="005533C6"/>
    <w:rsid w:val="005554B2"/>
    <w:rsid w:val="005564EB"/>
    <w:rsid w:val="0055789B"/>
    <w:rsid w:val="005612E2"/>
    <w:rsid w:val="00561A77"/>
    <w:rsid w:val="00561DB6"/>
    <w:rsid w:val="005631FA"/>
    <w:rsid w:val="005644AF"/>
    <w:rsid w:val="00565C7E"/>
    <w:rsid w:val="0056689B"/>
    <w:rsid w:val="00566BCF"/>
    <w:rsid w:val="00566BEE"/>
    <w:rsid w:val="00566E97"/>
    <w:rsid w:val="00566E9A"/>
    <w:rsid w:val="00567455"/>
    <w:rsid w:val="0057241B"/>
    <w:rsid w:val="00572B7F"/>
    <w:rsid w:val="0057490F"/>
    <w:rsid w:val="00574E02"/>
    <w:rsid w:val="0058050B"/>
    <w:rsid w:val="00581AB5"/>
    <w:rsid w:val="00582920"/>
    <w:rsid w:val="00583151"/>
    <w:rsid w:val="00584175"/>
    <w:rsid w:val="00585470"/>
    <w:rsid w:val="00585A2F"/>
    <w:rsid w:val="00587C16"/>
    <w:rsid w:val="005919ED"/>
    <w:rsid w:val="005922DD"/>
    <w:rsid w:val="00592B3B"/>
    <w:rsid w:val="00594CC3"/>
    <w:rsid w:val="00594D4B"/>
    <w:rsid w:val="00595A1E"/>
    <w:rsid w:val="005966E0"/>
    <w:rsid w:val="00596CF7"/>
    <w:rsid w:val="00596D1D"/>
    <w:rsid w:val="00597C3C"/>
    <w:rsid w:val="005A1749"/>
    <w:rsid w:val="005A2B4A"/>
    <w:rsid w:val="005A3B58"/>
    <w:rsid w:val="005A3DD6"/>
    <w:rsid w:val="005A5082"/>
    <w:rsid w:val="005A5E9F"/>
    <w:rsid w:val="005B129A"/>
    <w:rsid w:val="005B299A"/>
    <w:rsid w:val="005B475A"/>
    <w:rsid w:val="005B4C9C"/>
    <w:rsid w:val="005B50D6"/>
    <w:rsid w:val="005B5D15"/>
    <w:rsid w:val="005B7767"/>
    <w:rsid w:val="005C1FE4"/>
    <w:rsid w:val="005C2D08"/>
    <w:rsid w:val="005C48B6"/>
    <w:rsid w:val="005C4AB8"/>
    <w:rsid w:val="005C602E"/>
    <w:rsid w:val="005D1F11"/>
    <w:rsid w:val="005D63A8"/>
    <w:rsid w:val="005D6EA9"/>
    <w:rsid w:val="005D7A3F"/>
    <w:rsid w:val="005D7D0B"/>
    <w:rsid w:val="005E01B7"/>
    <w:rsid w:val="005E05EF"/>
    <w:rsid w:val="005E0918"/>
    <w:rsid w:val="005E1619"/>
    <w:rsid w:val="005E2005"/>
    <w:rsid w:val="005E639E"/>
    <w:rsid w:val="005E66B7"/>
    <w:rsid w:val="005E7817"/>
    <w:rsid w:val="005F1EA2"/>
    <w:rsid w:val="005F67A6"/>
    <w:rsid w:val="005F702A"/>
    <w:rsid w:val="006010AE"/>
    <w:rsid w:val="006017A9"/>
    <w:rsid w:val="00603A43"/>
    <w:rsid w:val="00604E60"/>
    <w:rsid w:val="006069AB"/>
    <w:rsid w:val="00610081"/>
    <w:rsid w:val="0061382F"/>
    <w:rsid w:val="00614230"/>
    <w:rsid w:val="0061447F"/>
    <w:rsid w:val="00615313"/>
    <w:rsid w:val="00615D81"/>
    <w:rsid w:val="00620C90"/>
    <w:rsid w:val="006210C3"/>
    <w:rsid w:val="00623DE0"/>
    <w:rsid w:val="00625C45"/>
    <w:rsid w:val="00626509"/>
    <w:rsid w:val="0063107A"/>
    <w:rsid w:val="00631140"/>
    <w:rsid w:val="00632FF2"/>
    <w:rsid w:val="0063593F"/>
    <w:rsid w:val="00635C5E"/>
    <w:rsid w:val="00636FCB"/>
    <w:rsid w:val="006426C1"/>
    <w:rsid w:val="00642BD6"/>
    <w:rsid w:val="006430C2"/>
    <w:rsid w:val="00644DAC"/>
    <w:rsid w:val="00650D2A"/>
    <w:rsid w:val="00650D50"/>
    <w:rsid w:val="0065201D"/>
    <w:rsid w:val="00652D9A"/>
    <w:rsid w:val="00652F38"/>
    <w:rsid w:val="00655E7F"/>
    <w:rsid w:val="00656DD3"/>
    <w:rsid w:val="00657CC8"/>
    <w:rsid w:val="00660470"/>
    <w:rsid w:val="0066112A"/>
    <w:rsid w:val="00661208"/>
    <w:rsid w:val="0066178F"/>
    <w:rsid w:val="0066197B"/>
    <w:rsid w:val="00662684"/>
    <w:rsid w:val="00664D73"/>
    <w:rsid w:val="00665F00"/>
    <w:rsid w:val="0066652A"/>
    <w:rsid w:val="00666CD9"/>
    <w:rsid w:val="00666E85"/>
    <w:rsid w:val="00667143"/>
    <w:rsid w:val="006704F0"/>
    <w:rsid w:val="0067185D"/>
    <w:rsid w:val="00671A01"/>
    <w:rsid w:val="00672133"/>
    <w:rsid w:val="0067305C"/>
    <w:rsid w:val="006739CE"/>
    <w:rsid w:val="0067408F"/>
    <w:rsid w:val="006740E7"/>
    <w:rsid w:val="0067420E"/>
    <w:rsid w:val="00675610"/>
    <w:rsid w:val="00677662"/>
    <w:rsid w:val="0068191E"/>
    <w:rsid w:val="006848E4"/>
    <w:rsid w:val="00685565"/>
    <w:rsid w:val="00687994"/>
    <w:rsid w:val="00690227"/>
    <w:rsid w:val="0069089A"/>
    <w:rsid w:val="00693990"/>
    <w:rsid w:val="00695EA2"/>
    <w:rsid w:val="0069622E"/>
    <w:rsid w:val="00696A83"/>
    <w:rsid w:val="00697486"/>
    <w:rsid w:val="006A0E01"/>
    <w:rsid w:val="006A2EDB"/>
    <w:rsid w:val="006A3AD8"/>
    <w:rsid w:val="006A4C35"/>
    <w:rsid w:val="006A5A56"/>
    <w:rsid w:val="006A5CD6"/>
    <w:rsid w:val="006A62B3"/>
    <w:rsid w:val="006A6769"/>
    <w:rsid w:val="006B01AD"/>
    <w:rsid w:val="006B30DB"/>
    <w:rsid w:val="006B3169"/>
    <w:rsid w:val="006B4CDE"/>
    <w:rsid w:val="006B50E3"/>
    <w:rsid w:val="006B58C3"/>
    <w:rsid w:val="006B6A16"/>
    <w:rsid w:val="006C2CDD"/>
    <w:rsid w:val="006C31AF"/>
    <w:rsid w:val="006C606E"/>
    <w:rsid w:val="006C6D45"/>
    <w:rsid w:val="006C7064"/>
    <w:rsid w:val="006D2550"/>
    <w:rsid w:val="006D4F73"/>
    <w:rsid w:val="006D7588"/>
    <w:rsid w:val="006E00A4"/>
    <w:rsid w:val="006E3921"/>
    <w:rsid w:val="006E430A"/>
    <w:rsid w:val="006E471A"/>
    <w:rsid w:val="006E4F41"/>
    <w:rsid w:val="006E60EF"/>
    <w:rsid w:val="006F112C"/>
    <w:rsid w:val="006F7391"/>
    <w:rsid w:val="00701A3D"/>
    <w:rsid w:val="007023F6"/>
    <w:rsid w:val="00703450"/>
    <w:rsid w:val="007040AD"/>
    <w:rsid w:val="007051C2"/>
    <w:rsid w:val="00705958"/>
    <w:rsid w:val="00706008"/>
    <w:rsid w:val="00706808"/>
    <w:rsid w:val="00707387"/>
    <w:rsid w:val="00710B6E"/>
    <w:rsid w:val="007119EA"/>
    <w:rsid w:val="007128EE"/>
    <w:rsid w:val="00713D53"/>
    <w:rsid w:val="00717558"/>
    <w:rsid w:val="00717683"/>
    <w:rsid w:val="0072346A"/>
    <w:rsid w:val="00724296"/>
    <w:rsid w:val="00724AD4"/>
    <w:rsid w:val="00726CA8"/>
    <w:rsid w:val="007302A8"/>
    <w:rsid w:val="00731314"/>
    <w:rsid w:val="00731986"/>
    <w:rsid w:val="00732A1B"/>
    <w:rsid w:val="00734E6B"/>
    <w:rsid w:val="007356D0"/>
    <w:rsid w:val="00736EB1"/>
    <w:rsid w:val="007378A2"/>
    <w:rsid w:val="007378DB"/>
    <w:rsid w:val="00737AA6"/>
    <w:rsid w:val="00737BC4"/>
    <w:rsid w:val="007406D2"/>
    <w:rsid w:val="00743AEC"/>
    <w:rsid w:val="00743E9B"/>
    <w:rsid w:val="00745D67"/>
    <w:rsid w:val="00751BEF"/>
    <w:rsid w:val="00751D51"/>
    <w:rsid w:val="007527F8"/>
    <w:rsid w:val="00752BD1"/>
    <w:rsid w:val="00753E1B"/>
    <w:rsid w:val="00754000"/>
    <w:rsid w:val="00762639"/>
    <w:rsid w:val="0076292A"/>
    <w:rsid w:val="007656C2"/>
    <w:rsid w:val="007702BB"/>
    <w:rsid w:val="007723B0"/>
    <w:rsid w:val="007734D6"/>
    <w:rsid w:val="007759E8"/>
    <w:rsid w:val="007763A0"/>
    <w:rsid w:val="007765AC"/>
    <w:rsid w:val="00777CE0"/>
    <w:rsid w:val="00780720"/>
    <w:rsid w:val="007809D9"/>
    <w:rsid w:val="00781E49"/>
    <w:rsid w:val="00785F4A"/>
    <w:rsid w:val="00787567"/>
    <w:rsid w:val="00792DBB"/>
    <w:rsid w:val="00794CCF"/>
    <w:rsid w:val="007A2782"/>
    <w:rsid w:val="007A3038"/>
    <w:rsid w:val="007A3278"/>
    <w:rsid w:val="007A4BC5"/>
    <w:rsid w:val="007A6438"/>
    <w:rsid w:val="007B0AAB"/>
    <w:rsid w:val="007B199B"/>
    <w:rsid w:val="007B1C7F"/>
    <w:rsid w:val="007B518B"/>
    <w:rsid w:val="007B7DE2"/>
    <w:rsid w:val="007C0CCE"/>
    <w:rsid w:val="007C0D8D"/>
    <w:rsid w:val="007C13FE"/>
    <w:rsid w:val="007C3E20"/>
    <w:rsid w:val="007C53C8"/>
    <w:rsid w:val="007C559A"/>
    <w:rsid w:val="007C57FB"/>
    <w:rsid w:val="007D0703"/>
    <w:rsid w:val="007D0C26"/>
    <w:rsid w:val="007D30CD"/>
    <w:rsid w:val="007D39DF"/>
    <w:rsid w:val="007D39E7"/>
    <w:rsid w:val="007D4194"/>
    <w:rsid w:val="007D4452"/>
    <w:rsid w:val="007D479B"/>
    <w:rsid w:val="007D68C7"/>
    <w:rsid w:val="007E0638"/>
    <w:rsid w:val="007E1094"/>
    <w:rsid w:val="007E2BC0"/>
    <w:rsid w:val="007E2EC0"/>
    <w:rsid w:val="007E46FA"/>
    <w:rsid w:val="007E5DF8"/>
    <w:rsid w:val="007E74D4"/>
    <w:rsid w:val="007F1507"/>
    <w:rsid w:val="007F16E0"/>
    <w:rsid w:val="007F273B"/>
    <w:rsid w:val="007F4B24"/>
    <w:rsid w:val="007F4BCF"/>
    <w:rsid w:val="007F5642"/>
    <w:rsid w:val="007F5FCA"/>
    <w:rsid w:val="007F6CDB"/>
    <w:rsid w:val="007F769B"/>
    <w:rsid w:val="007F7AF9"/>
    <w:rsid w:val="008015C3"/>
    <w:rsid w:val="008035F6"/>
    <w:rsid w:val="00807EC7"/>
    <w:rsid w:val="0081395D"/>
    <w:rsid w:val="00813C25"/>
    <w:rsid w:val="00814204"/>
    <w:rsid w:val="008148DD"/>
    <w:rsid w:val="0081547A"/>
    <w:rsid w:val="008165AF"/>
    <w:rsid w:val="0081740B"/>
    <w:rsid w:val="00820998"/>
    <w:rsid w:val="00820B46"/>
    <w:rsid w:val="008213CA"/>
    <w:rsid w:val="00822135"/>
    <w:rsid w:val="00822C07"/>
    <w:rsid w:val="008241F2"/>
    <w:rsid w:val="0082569C"/>
    <w:rsid w:val="008256BC"/>
    <w:rsid w:val="00826BA0"/>
    <w:rsid w:val="0082755F"/>
    <w:rsid w:val="0083115A"/>
    <w:rsid w:val="008314A0"/>
    <w:rsid w:val="008316BC"/>
    <w:rsid w:val="00833D78"/>
    <w:rsid w:val="00834BA7"/>
    <w:rsid w:val="0083534C"/>
    <w:rsid w:val="00836D9B"/>
    <w:rsid w:val="008376ED"/>
    <w:rsid w:val="0084031D"/>
    <w:rsid w:val="008408BF"/>
    <w:rsid w:val="0084147A"/>
    <w:rsid w:val="00841D48"/>
    <w:rsid w:val="00843872"/>
    <w:rsid w:val="00843CC0"/>
    <w:rsid w:val="00844CFA"/>
    <w:rsid w:val="00845B52"/>
    <w:rsid w:val="00846873"/>
    <w:rsid w:val="00851203"/>
    <w:rsid w:val="0085125B"/>
    <w:rsid w:val="00851AB2"/>
    <w:rsid w:val="00851D89"/>
    <w:rsid w:val="008522DA"/>
    <w:rsid w:val="0085589B"/>
    <w:rsid w:val="0085678F"/>
    <w:rsid w:val="00856EDB"/>
    <w:rsid w:val="00857FF1"/>
    <w:rsid w:val="0086047E"/>
    <w:rsid w:val="00860491"/>
    <w:rsid w:val="00861061"/>
    <w:rsid w:val="008624E1"/>
    <w:rsid w:val="008637F2"/>
    <w:rsid w:val="008639EC"/>
    <w:rsid w:val="00866794"/>
    <w:rsid w:val="008704CC"/>
    <w:rsid w:val="00871F21"/>
    <w:rsid w:val="008728BA"/>
    <w:rsid w:val="00872D95"/>
    <w:rsid w:val="00872DE4"/>
    <w:rsid w:val="00873F1A"/>
    <w:rsid w:val="008766A9"/>
    <w:rsid w:val="0087711F"/>
    <w:rsid w:val="00881B06"/>
    <w:rsid w:val="00882720"/>
    <w:rsid w:val="0088435E"/>
    <w:rsid w:val="008869D9"/>
    <w:rsid w:val="00887A83"/>
    <w:rsid w:val="00891C1C"/>
    <w:rsid w:val="00891ED6"/>
    <w:rsid w:val="00891F4F"/>
    <w:rsid w:val="00893A3F"/>
    <w:rsid w:val="00896970"/>
    <w:rsid w:val="00897AF2"/>
    <w:rsid w:val="00897D5A"/>
    <w:rsid w:val="008A22B4"/>
    <w:rsid w:val="008A3E3D"/>
    <w:rsid w:val="008A7051"/>
    <w:rsid w:val="008A78C8"/>
    <w:rsid w:val="008B0835"/>
    <w:rsid w:val="008B416E"/>
    <w:rsid w:val="008B47D8"/>
    <w:rsid w:val="008B5D12"/>
    <w:rsid w:val="008B7BFE"/>
    <w:rsid w:val="008B7C92"/>
    <w:rsid w:val="008B7D67"/>
    <w:rsid w:val="008C0CB3"/>
    <w:rsid w:val="008C13FE"/>
    <w:rsid w:val="008C199C"/>
    <w:rsid w:val="008C1EDF"/>
    <w:rsid w:val="008C1F85"/>
    <w:rsid w:val="008C3828"/>
    <w:rsid w:val="008C4006"/>
    <w:rsid w:val="008C7318"/>
    <w:rsid w:val="008C7607"/>
    <w:rsid w:val="008D042B"/>
    <w:rsid w:val="008D0BC1"/>
    <w:rsid w:val="008D11DA"/>
    <w:rsid w:val="008D1755"/>
    <w:rsid w:val="008D1D73"/>
    <w:rsid w:val="008D3742"/>
    <w:rsid w:val="008D59BD"/>
    <w:rsid w:val="008D71EA"/>
    <w:rsid w:val="008D7426"/>
    <w:rsid w:val="008E179A"/>
    <w:rsid w:val="008E17F4"/>
    <w:rsid w:val="008E1B79"/>
    <w:rsid w:val="008E362A"/>
    <w:rsid w:val="008E364F"/>
    <w:rsid w:val="008E4501"/>
    <w:rsid w:val="008E66DB"/>
    <w:rsid w:val="008E6A72"/>
    <w:rsid w:val="008F098A"/>
    <w:rsid w:val="008F0BAE"/>
    <w:rsid w:val="008F20A1"/>
    <w:rsid w:val="008F24C5"/>
    <w:rsid w:val="008F4B67"/>
    <w:rsid w:val="008F6597"/>
    <w:rsid w:val="008F76D8"/>
    <w:rsid w:val="008F7F75"/>
    <w:rsid w:val="0090035D"/>
    <w:rsid w:val="009024E0"/>
    <w:rsid w:val="009042F7"/>
    <w:rsid w:val="009043D9"/>
    <w:rsid w:val="0090485B"/>
    <w:rsid w:val="0090492A"/>
    <w:rsid w:val="00904E3D"/>
    <w:rsid w:val="009053E8"/>
    <w:rsid w:val="00905791"/>
    <w:rsid w:val="0090691F"/>
    <w:rsid w:val="009077FE"/>
    <w:rsid w:val="00910176"/>
    <w:rsid w:val="009124D3"/>
    <w:rsid w:val="0091289B"/>
    <w:rsid w:val="00912D3E"/>
    <w:rsid w:val="00915F7C"/>
    <w:rsid w:val="00916147"/>
    <w:rsid w:val="00917D16"/>
    <w:rsid w:val="0092185D"/>
    <w:rsid w:val="009220EB"/>
    <w:rsid w:val="00922DA2"/>
    <w:rsid w:val="00923298"/>
    <w:rsid w:val="0092616B"/>
    <w:rsid w:val="0092744D"/>
    <w:rsid w:val="00927B72"/>
    <w:rsid w:val="00930CCD"/>
    <w:rsid w:val="00930FEB"/>
    <w:rsid w:val="00932EF9"/>
    <w:rsid w:val="00934B4E"/>
    <w:rsid w:val="00935DE3"/>
    <w:rsid w:val="00936719"/>
    <w:rsid w:val="00937690"/>
    <w:rsid w:val="00937783"/>
    <w:rsid w:val="00941D9A"/>
    <w:rsid w:val="00942F99"/>
    <w:rsid w:val="00943204"/>
    <w:rsid w:val="009445F7"/>
    <w:rsid w:val="0094483D"/>
    <w:rsid w:val="0094676C"/>
    <w:rsid w:val="00946EBF"/>
    <w:rsid w:val="00947CC1"/>
    <w:rsid w:val="00947E9E"/>
    <w:rsid w:val="00950A90"/>
    <w:rsid w:val="00950C72"/>
    <w:rsid w:val="0095403B"/>
    <w:rsid w:val="00956A9B"/>
    <w:rsid w:val="00957E7C"/>
    <w:rsid w:val="00961568"/>
    <w:rsid w:val="009628CF"/>
    <w:rsid w:val="009629D2"/>
    <w:rsid w:val="00962F08"/>
    <w:rsid w:val="009649B9"/>
    <w:rsid w:val="009651D1"/>
    <w:rsid w:val="0096565E"/>
    <w:rsid w:val="00967514"/>
    <w:rsid w:val="0096767F"/>
    <w:rsid w:val="00970FAE"/>
    <w:rsid w:val="00972981"/>
    <w:rsid w:val="00973D99"/>
    <w:rsid w:val="00975BBF"/>
    <w:rsid w:val="00976925"/>
    <w:rsid w:val="00976DAE"/>
    <w:rsid w:val="00980E1C"/>
    <w:rsid w:val="00981E2C"/>
    <w:rsid w:val="009826F2"/>
    <w:rsid w:val="00984A5F"/>
    <w:rsid w:val="009851AC"/>
    <w:rsid w:val="00985959"/>
    <w:rsid w:val="00986C4B"/>
    <w:rsid w:val="0098724D"/>
    <w:rsid w:val="0099071F"/>
    <w:rsid w:val="00991733"/>
    <w:rsid w:val="009918D1"/>
    <w:rsid w:val="009925B8"/>
    <w:rsid w:val="00992638"/>
    <w:rsid w:val="00994400"/>
    <w:rsid w:val="00995C1E"/>
    <w:rsid w:val="00996D0F"/>
    <w:rsid w:val="00996E9C"/>
    <w:rsid w:val="009A0B1C"/>
    <w:rsid w:val="009A2B91"/>
    <w:rsid w:val="009A3022"/>
    <w:rsid w:val="009A5ABE"/>
    <w:rsid w:val="009A7410"/>
    <w:rsid w:val="009B0B9A"/>
    <w:rsid w:val="009B0E3F"/>
    <w:rsid w:val="009B1B4F"/>
    <w:rsid w:val="009B4C28"/>
    <w:rsid w:val="009B602A"/>
    <w:rsid w:val="009B626A"/>
    <w:rsid w:val="009C04FB"/>
    <w:rsid w:val="009C068E"/>
    <w:rsid w:val="009C2710"/>
    <w:rsid w:val="009C66CF"/>
    <w:rsid w:val="009C7373"/>
    <w:rsid w:val="009D10BE"/>
    <w:rsid w:val="009D1CD8"/>
    <w:rsid w:val="009D2963"/>
    <w:rsid w:val="009D467A"/>
    <w:rsid w:val="009D58BF"/>
    <w:rsid w:val="009D5D70"/>
    <w:rsid w:val="009D6EC8"/>
    <w:rsid w:val="009E1434"/>
    <w:rsid w:val="009E1BA0"/>
    <w:rsid w:val="009E21B9"/>
    <w:rsid w:val="009E4178"/>
    <w:rsid w:val="009E43CD"/>
    <w:rsid w:val="009E5698"/>
    <w:rsid w:val="009E5A89"/>
    <w:rsid w:val="009F12AE"/>
    <w:rsid w:val="009F25A6"/>
    <w:rsid w:val="009F2BB5"/>
    <w:rsid w:val="009F3F79"/>
    <w:rsid w:val="009F46A5"/>
    <w:rsid w:val="009F4A9A"/>
    <w:rsid w:val="009F4BF8"/>
    <w:rsid w:val="009F5AD4"/>
    <w:rsid w:val="009F75D9"/>
    <w:rsid w:val="009F7665"/>
    <w:rsid w:val="009F7B41"/>
    <w:rsid w:val="009F7EE4"/>
    <w:rsid w:val="00A016BB"/>
    <w:rsid w:val="00A01738"/>
    <w:rsid w:val="00A0196E"/>
    <w:rsid w:val="00A01C91"/>
    <w:rsid w:val="00A01D95"/>
    <w:rsid w:val="00A01E07"/>
    <w:rsid w:val="00A02454"/>
    <w:rsid w:val="00A04C56"/>
    <w:rsid w:val="00A06E4D"/>
    <w:rsid w:val="00A07573"/>
    <w:rsid w:val="00A07667"/>
    <w:rsid w:val="00A076B5"/>
    <w:rsid w:val="00A078DC"/>
    <w:rsid w:val="00A10D4C"/>
    <w:rsid w:val="00A13339"/>
    <w:rsid w:val="00A16F07"/>
    <w:rsid w:val="00A17989"/>
    <w:rsid w:val="00A21104"/>
    <w:rsid w:val="00A21572"/>
    <w:rsid w:val="00A276C7"/>
    <w:rsid w:val="00A31CC9"/>
    <w:rsid w:val="00A31F64"/>
    <w:rsid w:val="00A32B60"/>
    <w:rsid w:val="00A34987"/>
    <w:rsid w:val="00A35A9F"/>
    <w:rsid w:val="00A40BFF"/>
    <w:rsid w:val="00A41350"/>
    <w:rsid w:val="00A41F7D"/>
    <w:rsid w:val="00A437D0"/>
    <w:rsid w:val="00A443D1"/>
    <w:rsid w:val="00A4501A"/>
    <w:rsid w:val="00A518DC"/>
    <w:rsid w:val="00A54BE7"/>
    <w:rsid w:val="00A56357"/>
    <w:rsid w:val="00A579C2"/>
    <w:rsid w:val="00A60FDA"/>
    <w:rsid w:val="00A61B18"/>
    <w:rsid w:val="00A633B5"/>
    <w:rsid w:val="00A66CCF"/>
    <w:rsid w:val="00A70416"/>
    <w:rsid w:val="00A71743"/>
    <w:rsid w:val="00A71B15"/>
    <w:rsid w:val="00A71E8E"/>
    <w:rsid w:val="00A72063"/>
    <w:rsid w:val="00A733CC"/>
    <w:rsid w:val="00A73C2C"/>
    <w:rsid w:val="00A75AF1"/>
    <w:rsid w:val="00A76821"/>
    <w:rsid w:val="00A81496"/>
    <w:rsid w:val="00A814F7"/>
    <w:rsid w:val="00A81EB2"/>
    <w:rsid w:val="00A8320A"/>
    <w:rsid w:val="00A83D18"/>
    <w:rsid w:val="00A85132"/>
    <w:rsid w:val="00A85A5F"/>
    <w:rsid w:val="00A85FB0"/>
    <w:rsid w:val="00A864BE"/>
    <w:rsid w:val="00A872EA"/>
    <w:rsid w:val="00A8759D"/>
    <w:rsid w:val="00A909F6"/>
    <w:rsid w:val="00A921BD"/>
    <w:rsid w:val="00A92241"/>
    <w:rsid w:val="00A940BD"/>
    <w:rsid w:val="00A94A8E"/>
    <w:rsid w:val="00A969D2"/>
    <w:rsid w:val="00A9728A"/>
    <w:rsid w:val="00AA1D93"/>
    <w:rsid w:val="00AA20A5"/>
    <w:rsid w:val="00AA49FA"/>
    <w:rsid w:val="00AA4C1B"/>
    <w:rsid w:val="00AA55F1"/>
    <w:rsid w:val="00AA56D5"/>
    <w:rsid w:val="00AA6764"/>
    <w:rsid w:val="00AA764A"/>
    <w:rsid w:val="00AA76B1"/>
    <w:rsid w:val="00AA7CD2"/>
    <w:rsid w:val="00AB15A4"/>
    <w:rsid w:val="00AB2716"/>
    <w:rsid w:val="00AB2C93"/>
    <w:rsid w:val="00AC0517"/>
    <w:rsid w:val="00AC081B"/>
    <w:rsid w:val="00AC12A7"/>
    <w:rsid w:val="00AC2472"/>
    <w:rsid w:val="00AC52C8"/>
    <w:rsid w:val="00AC64F7"/>
    <w:rsid w:val="00AC6F24"/>
    <w:rsid w:val="00AC717B"/>
    <w:rsid w:val="00AC7C98"/>
    <w:rsid w:val="00AD0217"/>
    <w:rsid w:val="00AD0BDB"/>
    <w:rsid w:val="00AD182C"/>
    <w:rsid w:val="00AD19FA"/>
    <w:rsid w:val="00AD4B22"/>
    <w:rsid w:val="00AD6643"/>
    <w:rsid w:val="00AD7F86"/>
    <w:rsid w:val="00AE06C4"/>
    <w:rsid w:val="00AE0D98"/>
    <w:rsid w:val="00AE1632"/>
    <w:rsid w:val="00AE32FA"/>
    <w:rsid w:val="00AE4DA1"/>
    <w:rsid w:val="00AE5AB1"/>
    <w:rsid w:val="00AE7FE4"/>
    <w:rsid w:val="00AF044A"/>
    <w:rsid w:val="00AF20DA"/>
    <w:rsid w:val="00AF3215"/>
    <w:rsid w:val="00AF5AC8"/>
    <w:rsid w:val="00B01927"/>
    <w:rsid w:val="00B060A4"/>
    <w:rsid w:val="00B06970"/>
    <w:rsid w:val="00B06E47"/>
    <w:rsid w:val="00B07D2A"/>
    <w:rsid w:val="00B10719"/>
    <w:rsid w:val="00B11DEA"/>
    <w:rsid w:val="00B12C8A"/>
    <w:rsid w:val="00B1321C"/>
    <w:rsid w:val="00B139FE"/>
    <w:rsid w:val="00B145C0"/>
    <w:rsid w:val="00B14989"/>
    <w:rsid w:val="00B14C69"/>
    <w:rsid w:val="00B15D24"/>
    <w:rsid w:val="00B17DB8"/>
    <w:rsid w:val="00B208EA"/>
    <w:rsid w:val="00B26D94"/>
    <w:rsid w:val="00B27385"/>
    <w:rsid w:val="00B27DFD"/>
    <w:rsid w:val="00B320F8"/>
    <w:rsid w:val="00B3259E"/>
    <w:rsid w:val="00B37659"/>
    <w:rsid w:val="00B41D78"/>
    <w:rsid w:val="00B42C21"/>
    <w:rsid w:val="00B440F0"/>
    <w:rsid w:val="00B45FB3"/>
    <w:rsid w:val="00B46754"/>
    <w:rsid w:val="00B46BCA"/>
    <w:rsid w:val="00B46C31"/>
    <w:rsid w:val="00B47921"/>
    <w:rsid w:val="00B5248E"/>
    <w:rsid w:val="00B524C7"/>
    <w:rsid w:val="00B52F28"/>
    <w:rsid w:val="00B544A6"/>
    <w:rsid w:val="00B549B2"/>
    <w:rsid w:val="00B55694"/>
    <w:rsid w:val="00B56D96"/>
    <w:rsid w:val="00B5798D"/>
    <w:rsid w:val="00B618C7"/>
    <w:rsid w:val="00B61F66"/>
    <w:rsid w:val="00B620C2"/>
    <w:rsid w:val="00B624D9"/>
    <w:rsid w:val="00B6438A"/>
    <w:rsid w:val="00B735DE"/>
    <w:rsid w:val="00B7485A"/>
    <w:rsid w:val="00B75C04"/>
    <w:rsid w:val="00B7639A"/>
    <w:rsid w:val="00B76D61"/>
    <w:rsid w:val="00B7788D"/>
    <w:rsid w:val="00B80A76"/>
    <w:rsid w:val="00B8115E"/>
    <w:rsid w:val="00B814AD"/>
    <w:rsid w:val="00B82852"/>
    <w:rsid w:val="00B82981"/>
    <w:rsid w:val="00B833E4"/>
    <w:rsid w:val="00B85143"/>
    <w:rsid w:val="00B86B92"/>
    <w:rsid w:val="00B86BFB"/>
    <w:rsid w:val="00B87143"/>
    <w:rsid w:val="00B875D7"/>
    <w:rsid w:val="00B8787B"/>
    <w:rsid w:val="00B87DFB"/>
    <w:rsid w:val="00B90F80"/>
    <w:rsid w:val="00B93A25"/>
    <w:rsid w:val="00B9540B"/>
    <w:rsid w:val="00B9684A"/>
    <w:rsid w:val="00B96E65"/>
    <w:rsid w:val="00B979E5"/>
    <w:rsid w:val="00BA0E60"/>
    <w:rsid w:val="00BA36DF"/>
    <w:rsid w:val="00BA3999"/>
    <w:rsid w:val="00BA4A00"/>
    <w:rsid w:val="00BA6AF3"/>
    <w:rsid w:val="00BA6DFB"/>
    <w:rsid w:val="00BB0765"/>
    <w:rsid w:val="00BB2307"/>
    <w:rsid w:val="00BB41A4"/>
    <w:rsid w:val="00BB68A9"/>
    <w:rsid w:val="00BC0623"/>
    <w:rsid w:val="00BC099E"/>
    <w:rsid w:val="00BC17AE"/>
    <w:rsid w:val="00BC23BD"/>
    <w:rsid w:val="00BC6363"/>
    <w:rsid w:val="00BC6E02"/>
    <w:rsid w:val="00BC7162"/>
    <w:rsid w:val="00BC731D"/>
    <w:rsid w:val="00BC7694"/>
    <w:rsid w:val="00BC7A73"/>
    <w:rsid w:val="00BC7E94"/>
    <w:rsid w:val="00BD04A4"/>
    <w:rsid w:val="00BD0B43"/>
    <w:rsid w:val="00BD1981"/>
    <w:rsid w:val="00BD2AD1"/>
    <w:rsid w:val="00BD51DC"/>
    <w:rsid w:val="00BD526B"/>
    <w:rsid w:val="00BD620A"/>
    <w:rsid w:val="00BD668E"/>
    <w:rsid w:val="00BE013C"/>
    <w:rsid w:val="00BE054F"/>
    <w:rsid w:val="00BE066B"/>
    <w:rsid w:val="00BE0C1E"/>
    <w:rsid w:val="00BE1041"/>
    <w:rsid w:val="00BE4B05"/>
    <w:rsid w:val="00BE4BB2"/>
    <w:rsid w:val="00BE5EA4"/>
    <w:rsid w:val="00BE6B72"/>
    <w:rsid w:val="00BE6B89"/>
    <w:rsid w:val="00BE6DB3"/>
    <w:rsid w:val="00BF10FE"/>
    <w:rsid w:val="00BF1552"/>
    <w:rsid w:val="00BF20D2"/>
    <w:rsid w:val="00BF4AB7"/>
    <w:rsid w:val="00BF4E85"/>
    <w:rsid w:val="00BF58A1"/>
    <w:rsid w:val="00BF6201"/>
    <w:rsid w:val="00BF7053"/>
    <w:rsid w:val="00BF7905"/>
    <w:rsid w:val="00C03BA7"/>
    <w:rsid w:val="00C0443D"/>
    <w:rsid w:val="00C04D1E"/>
    <w:rsid w:val="00C05A8C"/>
    <w:rsid w:val="00C063D5"/>
    <w:rsid w:val="00C124C3"/>
    <w:rsid w:val="00C13F56"/>
    <w:rsid w:val="00C15EE8"/>
    <w:rsid w:val="00C1691A"/>
    <w:rsid w:val="00C16E23"/>
    <w:rsid w:val="00C17100"/>
    <w:rsid w:val="00C2104D"/>
    <w:rsid w:val="00C22599"/>
    <w:rsid w:val="00C23288"/>
    <w:rsid w:val="00C2550B"/>
    <w:rsid w:val="00C2693D"/>
    <w:rsid w:val="00C3052D"/>
    <w:rsid w:val="00C311F6"/>
    <w:rsid w:val="00C312F0"/>
    <w:rsid w:val="00C326FD"/>
    <w:rsid w:val="00C32F03"/>
    <w:rsid w:val="00C349E7"/>
    <w:rsid w:val="00C35251"/>
    <w:rsid w:val="00C36284"/>
    <w:rsid w:val="00C407A9"/>
    <w:rsid w:val="00C40A42"/>
    <w:rsid w:val="00C416E6"/>
    <w:rsid w:val="00C435CF"/>
    <w:rsid w:val="00C451B7"/>
    <w:rsid w:val="00C4538B"/>
    <w:rsid w:val="00C45AF0"/>
    <w:rsid w:val="00C5164B"/>
    <w:rsid w:val="00C52EF0"/>
    <w:rsid w:val="00C5417B"/>
    <w:rsid w:val="00C54E1E"/>
    <w:rsid w:val="00C568EA"/>
    <w:rsid w:val="00C56A98"/>
    <w:rsid w:val="00C575E8"/>
    <w:rsid w:val="00C57A05"/>
    <w:rsid w:val="00C620CD"/>
    <w:rsid w:val="00C62D00"/>
    <w:rsid w:val="00C63002"/>
    <w:rsid w:val="00C64021"/>
    <w:rsid w:val="00C6442D"/>
    <w:rsid w:val="00C66168"/>
    <w:rsid w:val="00C66A17"/>
    <w:rsid w:val="00C66F41"/>
    <w:rsid w:val="00C6720F"/>
    <w:rsid w:val="00C70B22"/>
    <w:rsid w:val="00C7317E"/>
    <w:rsid w:val="00C736D8"/>
    <w:rsid w:val="00C73FAA"/>
    <w:rsid w:val="00C740C1"/>
    <w:rsid w:val="00C74356"/>
    <w:rsid w:val="00C7507F"/>
    <w:rsid w:val="00C752D0"/>
    <w:rsid w:val="00C76826"/>
    <w:rsid w:val="00C77314"/>
    <w:rsid w:val="00C815EA"/>
    <w:rsid w:val="00C83258"/>
    <w:rsid w:val="00C86564"/>
    <w:rsid w:val="00C87A8A"/>
    <w:rsid w:val="00C92F5C"/>
    <w:rsid w:val="00C93071"/>
    <w:rsid w:val="00C934A6"/>
    <w:rsid w:val="00C964EE"/>
    <w:rsid w:val="00C9776B"/>
    <w:rsid w:val="00CA085B"/>
    <w:rsid w:val="00CA2CBA"/>
    <w:rsid w:val="00CA3016"/>
    <w:rsid w:val="00CA38E8"/>
    <w:rsid w:val="00CA4795"/>
    <w:rsid w:val="00CA64C2"/>
    <w:rsid w:val="00CA67C0"/>
    <w:rsid w:val="00CA67D2"/>
    <w:rsid w:val="00CA6A05"/>
    <w:rsid w:val="00CA6E10"/>
    <w:rsid w:val="00CA731C"/>
    <w:rsid w:val="00CB02C5"/>
    <w:rsid w:val="00CB0AC8"/>
    <w:rsid w:val="00CB12D3"/>
    <w:rsid w:val="00CB1424"/>
    <w:rsid w:val="00CB267C"/>
    <w:rsid w:val="00CB2740"/>
    <w:rsid w:val="00CC01B9"/>
    <w:rsid w:val="00CC1A42"/>
    <w:rsid w:val="00CC27F5"/>
    <w:rsid w:val="00CC39A8"/>
    <w:rsid w:val="00CC48F8"/>
    <w:rsid w:val="00CC661B"/>
    <w:rsid w:val="00CC6D20"/>
    <w:rsid w:val="00CD0E38"/>
    <w:rsid w:val="00CD1820"/>
    <w:rsid w:val="00CD1ECC"/>
    <w:rsid w:val="00CD2AE7"/>
    <w:rsid w:val="00CD5224"/>
    <w:rsid w:val="00CD6A4B"/>
    <w:rsid w:val="00CD7F7B"/>
    <w:rsid w:val="00CE0762"/>
    <w:rsid w:val="00CE0F5A"/>
    <w:rsid w:val="00CE1181"/>
    <w:rsid w:val="00CE21C5"/>
    <w:rsid w:val="00CE3A39"/>
    <w:rsid w:val="00CF08F8"/>
    <w:rsid w:val="00CF2272"/>
    <w:rsid w:val="00CF24C6"/>
    <w:rsid w:val="00CF2988"/>
    <w:rsid w:val="00CF298A"/>
    <w:rsid w:val="00CF30BC"/>
    <w:rsid w:val="00CF3772"/>
    <w:rsid w:val="00CF398E"/>
    <w:rsid w:val="00CF48B7"/>
    <w:rsid w:val="00CF5794"/>
    <w:rsid w:val="00D006DB"/>
    <w:rsid w:val="00D010A3"/>
    <w:rsid w:val="00D01BEE"/>
    <w:rsid w:val="00D02481"/>
    <w:rsid w:val="00D02635"/>
    <w:rsid w:val="00D04335"/>
    <w:rsid w:val="00D04D2C"/>
    <w:rsid w:val="00D0621A"/>
    <w:rsid w:val="00D120C3"/>
    <w:rsid w:val="00D124CE"/>
    <w:rsid w:val="00D12705"/>
    <w:rsid w:val="00D1317E"/>
    <w:rsid w:val="00D13554"/>
    <w:rsid w:val="00D14673"/>
    <w:rsid w:val="00D14EF2"/>
    <w:rsid w:val="00D176FA"/>
    <w:rsid w:val="00D22A9D"/>
    <w:rsid w:val="00D24193"/>
    <w:rsid w:val="00D2691E"/>
    <w:rsid w:val="00D26D96"/>
    <w:rsid w:val="00D27A17"/>
    <w:rsid w:val="00D30019"/>
    <w:rsid w:val="00D317B1"/>
    <w:rsid w:val="00D35BA6"/>
    <w:rsid w:val="00D37432"/>
    <w:rsid w:val="00D37F3D"/>
    <w:rsid w:val="00D407F3"/>
    <w:rsid w:val="00D42388"/>
    <w:rsid w:val="00D42C87"/>
    <w:rsid w:val="00D42FF8"/>
    <w:rsid w:val="00D43F4F"/>
    <w:rsid w:val="00D4590F"/>
    <w:rsid w:val="00D46BFB"/>
    <w:rsid w:val="00D46C10"/>
    <w:rsid w:val="00D46D14"/>
    <w:rsid w:val="00D4799A"/>
    <w:rsid w:val="00D519EF"/>
    <w:rsid w:val="00D51DF4"/>
    <w:rsid w:val="00D51F5B"/>
    <w:rsid w:val="00D5202F"/>
    <w:rsid w:val="00D54492"/>
    <w:rsid w:val="00D54E73"/>
    <w:rsid w:val="00D55EDF"/>
    <w:rsid w:val="00D5615B"/>
    <w:rsid w:val="00D5696A"/>
    <w:rsid w:val="00D5740A"/>
    <w:rsid w:val="00D5789C"/>
    <w:rsid w:val="00D57F40"/>
    <w:rsid w:val="00D62D90"/>
    <w:rsid w:val="00D669B7"/>
    <w:rsid w:val="00D66A00"/>
    <w:rsid w:val="00D66F04"/>
    <w:rsid w:val="00D674F5"/>
    <w:rsid w:val="00D70461"/>
    <w:rsid w:val="00D7065C"/>
    <w:rsid w:val="00D70F62"/>
    <w:rsid w:val="00D72631"/>
    <w:rsid w:val="00D73F27"/>
    <w:rsid w:val="00D74D24"/>
    <w:rsid w:val="00D76773"/>
    <w:rsid w:val="00D7682F"/>
    <w:rsid w:val="00D77A3C"/>
    <w:rsid w:val="00D80448"/>
    <w:rsid w:val="00D81834"/>
    <w:rsid w:val="00D83F90"/>
    <w:rsid w:val="00D84D9B"/>
    <w:rsid w:val="00D85049"/>
    <w:rsid w:val="00D861B7"/>
    <w:rsid w:val="00D861DE"/>
    <w:rsid w:val="00D93A1A"/>
    <w:rsid w:val="00D970C2"/>
    <w:rsid w:val="00D975B7"/>
    <w:rsid w:val="00D97AF9"/>
    <w:rsid w:val="00DA0513"/>
    <w:rsid w:val="00DA0ADD"/>
    <w:rsid w:val="00DA1060"/>
    <w:rsid w:val="00DA23D2"/>
    <w:rsid w:val="00DA34FB"/>
    <w:rsid w:val="00DA7729"/>
    <w:rsid w:val="00DA780A"/>
    <w:rsid w:val="00DB0229"/>
    <w:rsid w:val="00DB1C82"/>
    <w:rsid w:val="00DB1D3C"/>
    <w:rsid w:val="00DB1EAB"/>
    <w:rsid w:val="00DB372D"/>
    <w:rsid w:val="00DB3A91"/>
    <w:rsid w:val="00DB65D2"/>
    <w:rsid w:val="00DB7000"/>
    <w:rsid w:val="00DB7C96"/>
    <w:rsid w:val="00DC1309"/>
    <w:rsid w:val="00DC1481"/>
    <w:rsid w:val="00DC1B92"/>
    <w:rsid w:val="00DC2617"/>
    <w:rsid w:val="00DC366F"/>
    <w:rsid w:val="00DC367A"/>
    <w:rsid w:val="00DC372C"/>
    <w:rsid w:val="00DC3F84"/>
    <w:rsid w:val="00DC453D"/>
    <w:rsid w:val="00DC4B2C"/>
    <w:rsid w:val="00DC5C7A"/>
    <w:rsid w:val="00DC6595"/>
    <w:rsid w:val="00DD3D49"/>
    <w:rsid w:val="00DD3EB7"/>
    <w:rsid w:val="00DD3F1D"/>
    <w:rsid w:val="00DD454B"/>
    <w:rsid w:val="00DD69AA"/>
    <w:rsid w:val="00DD754B"/>
    <w:rsid w:val="00DE127D"/>
    <w:rsid w:val="00DE194A"/>
    <w:rsid w:val="00DE60FF"/>
    <w:rsid w:val="00DE7309"/>
    <w:rsid w:val="00DF09A6"/>
    <w:rsid w:val="00DF0A1C"/>
    <w:rsid w:val="00DF1287"/>
    <w:rsid w:val="00DF333D"/>
    <w:rsid w:val="00DF3379"/>
    <w:rsid w:val="00DF34BE"/>
    <w:rsid w:val="00DF6652"/>
    <w:rsid w:val="00DF76B7"/>
    <w:rsid w:val="00E006F2"/>
    <w:rsid w:val="00E0096C"/>
    <w:rsid w:val="00E01351"/>
    <w:rsid w:val="00E046C6"/>
    <w:rsid w:val="00E047E9"/>
    <w:rsid w:val="00E0599C"/>
    <w:rsid w:val="00E05AAD"/>
    <w:rsid w:val="00E070C8"/>
    <w:rsid w:val="00E074C7"/>
    <w:rsid w:val="00E1137B"/>
    <w:rsid w:val="00E12C16"/>
    <w:rsid w:val="00E131D4"/>
    <w:rsid w:val="00E13460"/>
    <w:rsid w:val="00E146CF"/>
    <w:rsid w:val="00E158CA"/>
    <w:rsid w:val="00E16263"/>
    <w:rsid w:val="00E168C3"/>
    <w:rsid w:val="00E16C22"/>
    <w:rsid w:val="00E16D72"/>
    <w:rsid w:val="00E16E48"/>
    <w:rsid w:val="00E17564"/>
    <w:rsid w:val="00E205B0"/>
    <w:rsid w:val="00E210CD"/>
    <w:rsid w:val="00E24296"/>
    <w:rsid w:val="00E24825"/>
    <w:rsid w:val="00E24E52"/>
    <w:rsid w:val="00E264FC"/>
    <w:rsid w:val="00E27A8D"/>
    <w:rsid w:val="00E309E7"/>
    <w:rsid w:val="00E30E75"/>
    <w:rsid w:val="00E32BBC"/>
    <w:rsid w:val="00E32FC6"/>
    <w:rsid w:val="00E330C5"/>
    <w:rsid w:val="00E331F0"/>
    <w:rsid w:val="00E344CC"/>
    <w:rsid w:val="00E34C98"/>
    <w:rsid w:val="00E34D43"/>
    <w:rsid w:val="00E37065"/>
    <w:rsid w:val="00E371DD"/>
    <w:rsid w:val="00E374CB"/>
    <w:rsid w:val="00E37FC2"/>
    <w:rsid w:val="00E41233"/>
    <w:rsid w:val="00E41F4B"/>
    <w:rsid w:val="00E41F7C"/>
    <w:rsid w:val="00E4209E"/>
    <w:rsid w:val="00E42499"/>
    <w:rsid w:val="00E4332D"/>
    <w:rsid w:val="00E44FEF"/>
    <w:rsid w:val="00E4595A"/>
    <w:rsid w:val="00E4608C"/>
    <w:rsid w:val="00E46C22"/>
    <w:rsid w:val="00E50CD4"/>
    <w:rsid w:val="00E512AC"/>
    <w:rsid w:val="00E51ABF"/>
    <w:rsid w:val="00E51BF2"/>
    <w:rsid w:val="00E52127"/>
    <w:rsid w:val="00E53A16"/>
    <w:rsid w:val="00E54933"/>
    <w:rsid w:val="00E551A5"/>
    <w:rsid w:val="00E55A0C"/>
    <w:rsid w:val="00E61446"/>
    <w:rsid w:val="00E621A4"/>
    <w:rsid w:val="00E6617A"/>
    <w:rsid w:val="00E71F7D"/>
    <w:rsid w:val="00E721DC"/>
    <w:rsid w:val="00E72323"/>
    <w:rsid w:val="00E72B66"/>
    <w:rsid w:val="00E72DF4"/>
    <w:rsid w:val="00E73307"/>
    <w:rsid w:val="00E734F1"/>
    <w:rsid w:val="00E735FB"/>
    <w:rsid w:val="00E738FC"/>
    <w:rsid w:val="00E7390F"/>
    <w:rsid w:val="00E74B30"/>
    <w:rsid w:val="00E74B9F"/>
    <w:rsid w:val="00E75D2C"/>
    <w:rsid w:val="00E77DB2"/>
    <w:rsid w:val="00E8214A"/>
    <w:rsid w:val="00E823F2"/>
    <w:rsid w:val="00E8255C"/>
    <w:rsid w:val="00E828B9"/>
    <w:rsid w:val="00E82E49"/>
    <w:rsid w:val="00E83545"/>
    <w:rsid w:val="00E855A2"/>
    <w:rsid w:val="00E8565B"/>
    <w:rsid w:val="00E864F4"/>
    <w:rsid w:val="00E868B5"/>
    <w:rsid w:val="00E8693F"/>
    <w:rsid w:val="00E91FD5"/>
    <w:rsid w:val="00E93304"/>
    <w:rsid w:val="00E94208"/>
    <w:rsid w:val="00E9620D"/>
    <w:rsid w:val="00E96460"/>
    <w:rsid w:val="00EA0217"/>
    <w:rsid w:val="00EA08D1"/>
    <w:rsid w:val="00EA150C"/>
    <w:rsid w:val="00EA2E0D"/>
    <w:rsid w:val="00EA2F48"/>
    <w:rsid w:val="00EA3A13"/>
    <w:rsid w:val="00EA437A"/>
    <w:rsid w:val="00EA6ADC"/>
    <w:rsid w:val="00EA7A3E"/>
    <w:rsid w:val="00EA7BB1"/>
    <w:rsid w:val="00EB0331"/>
    <w:rsid w:val="00EB0375"/>
    <w:rsid w:val="00EB0946"/>
    <w:rsid w:val="00EB1A00"/>
    <w:rsid w:val="00EB1CC2"/>
    <w:rsid w:val="00EB58F2"/>
    <w:rsid w:val="00EB6221"/>
    <w:rsid w:val="00EC0408"/>
    <w:rsid w:val="00EC06E5"/>
    <w:rsid w:val="00EC0982"/>
    <w:rsid w:val="00EC0F00"/>
    <w:rsid w:val="00EC29BB"/>
    <w:rsid w:val="00EC4D20"/>
    <w:rsid w:val="00EC568F"/>
    <w:rsid w:val="00EC5E13"/>
    <w:rsid w:val="00EC5ED9"/>
    <w:rsid w:val="00EC60FF"/>
    <w:rsid w:val="00EC64DA"/>
    <w:rsid w:val="00EC655C"/>
    <w:rsid w:val="00EC7050"/>
    <w:rsid w:val="00EC7605"/>
    <w:rsid w:val="00ED1DF9"/>
    <w:rsid w:val="00ED3265"/>
    <w:rsid w:val="00ED3410"/>
    <w:rsid w:val="00ED4546"/>
    <w:rsid w:val="00ED5179"/>
    <w:rsid w:val="00ED5446"/>
    <w:rsid w:val="00ED792F"/>
    <w:rsid w:val="00EE039E"/>
    <w:rsid w:val="00EE2C23"/>
    <w:rsid w:val="00EE3120"/>
    <w:rsid w:val="00EE31C2"/>
    <w:rsid w:val="00EE3B54"/>
    <w:rsid w:val="00EE3D29"/>
    <w:rsid w:val="00EE3D7F"/>
    <w:rsid w:val="00EE484E"/>
    <w:rsid w:val="00EE6B85"/>
    <w:rsid w:val="00EE73F7"/>
    <w:rsid w:val="00EE7591"/>
    <w:rsid w:val="00EF0F3A"/>
    <w:rsid w:val="00EF3EC6"/>
    <w:rsid w:val="00EF63BF"/>
    <w:rsid w:val="00F00583"/>
    <w:rsid w:val="00F00E9A"/>
    <w:rsid w:val="00F02068"/>
    <w:rsid w:val="00F02AF9"/>
    <w:rsid w:val="00F02E88"/>
    <w:rsid w:val="00F03CD3"/>
    <w:rsid w:val="00F0407D"/>
    <w:rsid w:val="00F04128"/>
    <w:rsid w:val="00F04EF2"/>
    <w:rsid w:val="00F0621B"/>
    <w:rsid w:val="00F07312"/>
    <w:rsid w:val="00F109E6"/>
    <w:rsid w:val="00F10E3E"/>
    <w:rsid w:val="00F1198F"/>
    <w:rsid w:val="00F12261"/>
    <w:rsid w:val="00F13719"/>
    <w:rsid w:val="00F14A62"/>
    <w:rsid w:val="00F14B24"/>
    <w:rsid w:val="00F15DA3"/>
    <w:rsid w:val="00F17D4E"/>
    <w:rsid w:val="00F17F14"/>
    <w:rsid w:val="00F22111"/>
    <w:rsid w:val="00F22DB3"/>
    <w:rsid w:val="00F2305C"/>
    <w:rsid w:val="00F247C0"/>
    <w:rsid w:val="00F24909"/>
    <w:rsid w:val="00F24A63"/>
    <w:rsid w:val="00F250B3"/>
    <w:rsid w:val="00F255BD"/>
    <w:rsid w:val="00F25D4D"/>
    <w:rsid w:val="00F2632A"/>
    <w:rsid w:val="00F30B25"/>
    <w:rsid w:val="00F3152F"/>
    <w:rsid w:val="00F3252C"/>
    <w:rsid w:val="00F3497C"/>
    <w:rsid w:val="00F35249"/>
    <w:rsid w:val="00F363AB"/>
    <w:rsid w:val="00F371B7"/>
    <w:rsid w:val="00F37C1E"/>
    <w:rsid w:val="00F442A7"/>
    <w:rsid w:val="00F45DAB"/>
    <w:rsid w:val="00F46221"/>
    <w:rsid w:val="00F46445"/>
    <w:rsid w:val="00F46C2D"/>
    <w:rsid w:val="00F50BAE"/>
    <w:rsid w:val="00F52A96"/>
    <w:rsid w:val="00F579E1"/>
    <w:rsid w:val="00F608DE"/>
    <w:rsid w:val="00F62A0A"/>
    <w:rsid w:val="00F704B2"/>
    <w:rsid w:val="00F7238B"/>
    <w:rsid w:val="00F756A5"/>
    <w:rsid w:val="00F7580F"/>
    <w:rsid w:val="00F77892"/>
    <w:rsid w:val="00F804F4"/>
    <w:rsid w:val="00F80558"/>
    <w:rsid w:val="00F80B11"/>
    <w:rsid w:val="00F80E00"/>
    <w:rsid w:val="00F83105"/>
    <w:rsid w:val="00F878E7"/>
    <w:rsid w:val="00F87D14"/>
    <w:rsid w:val="00F907A0"/>
    <w:rsid w:val="00F926B0"/>
    <w:rsid w:val="00F93A97"/>
    <w:rsid w:val="00F94B1E"/>
    <w:rsid w:val="00F94CA8"/>
    <w:rsid w:val="00F94F10"/>
    <w:rsid w:val="00F95778"/>
    <w:rsid w:val="00FA0C31"/>
    <w:rsid w:val="00FA20B6"/>
    <w:rsid w:val="00FA409F"/>
    <w:rsid w:val="00FA48B8"/>
    <w:rsid w:val="00FA5B80"/>
    <w:rsid w:val="00FA5DA6"/>
    <w:rsid w:val="00FA6966"/>
    <w:rsid w:val="00FB026D"/>
    <w:rsid w:val="00FB0D91"/>
    <w:rsid w:val="00FB1478"/>
    <w:rsid w:val="00FB26B6"/>
    <w:rsid w:val="00FB2D23"/>
    <w:rsid w:val="00FB4C86"/>
    <w:rsid w:val="00FB6067"/>
    <w:rsid w:val="00FB6F89"/>
    <w:rsid w:val="00FB7BAB"/>
    <w:rsid w:val="00FC24FA"/>
    <w:rsid w:val="00FC2542"/>
    <w:rsid w:val="00FC31EC"/>
    <w:rsid w:val="00FC3952"/>
    <w:rsid w:val="00FC48BE"/>
    <w:rsid w:val="00FC4AA7"/>
    <w:rsid w:val="00FC5964"/>
    <w:rsid w:val="00FC62D1"/>
    <w:rsid w:val="00FD1688"/>
    <w:rsid w:val="00FD5513"/>
    <w:rsid w:val="00FD6161"/>
    <w:rsid w:val="00FD6C94"/>
    <w:rsid w:val="00FE10A9"/>
    <w:rsid w:val="00FE3860"/>
    <w:rsid w:val="00FE53D9"/>
    <w:rsid w:val="00FE55A6"/>
    <w:rsid w:val="00FE6F5E"/>
    <w:rsid w:val="00FE7CFC"/>
    <w:rsid w:val="00FF10FC"/>
    <w:rsid w:val="00FF4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colormru v:ext="edit" colors="#032c8d"/>
    </o:shapedefaults>
    <o:shapelayout v:ext="edit">
      <o:idmap v:ext="edit" data="1"/>
    </o:shapelayout>
  </w:shapeDefaults>
  <w:decimalSymbol w:val="."/>
  <w:listSeparator w:val=","/>
  <w15:docId w15:val="{3A45C063-DAD2-4264-9C03-ED53CB14F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202"/>
    <w:pPr>
      <w:spacing w:before="120" w:after="120"/>
    </w:pPr>
    <w:rPr>
      <w:rFonts w:ascii="Arial" w:hAnsi="Arial"/>
      <w:sz w:val="24"/>
      <w:szCs w:val="24"/>
      <w:lang w:eastAsia="en-US"/>
    </w:rPr>
  </w:style>
  <w:style w:type="paragraph" w:styleId="Heading1">
    <w:name w:val="heading 1"/>
    <w:aliases w:val="Char1"/>
    <w:basedOn w:val="Normal"/>
    <w:next w:val="Normal"/>
    <w:link w:val="Heading1Char"/>
    <w:qFormat/>
    <w:rsid w:val="00477202"/>
    <w:pPr>
      <w:keepNext/>
      <w:numPr>
        <w:numId w:val="10"/>
      </w:numPr>
      <w:spacing w:before="240" w:after="60"/>
      <w:outlineLvl w:val="0"/>
    </w:pPr>
    <w:rPr>
      <w:rFonts w:ascii="Arial Bold" w:hAnsi="Arial Bold" w:cs="Arial"/>
      <w:b/>
      <w:bCs/>
      <w:color w:val="008080"/>
      <w:kern w:val="32"/>
      <w:sz w:val="32"/>
      <w:szCs w:val="28"/>
    </w:rPr>
  </w:style>
  <w:style w:type="paragraph" w:styleId="Heading2">
    <w:name w:val="heading 2"/>
    <w:basedOn w:val="Normal"/>
    <w:next w:val="Normal"/>
    <w:link w:val="Heading2Char"/>
    <w:qFormat/>
    <w:rsid w:val="00477202"/>
    <w:pPr>
      <w:keepNext/>
      <w:tabs>
        <w:tab w:val="left" w:pos="709"/>
      </w:tabs>
      <w:spacing w:before="240" w:after="60"/>
      <w:ind w:left="709"/>
      <w:outlineLvl w:val="1"/>
    </w:pPr>
    <w:rPr>
      <w:rFonts w:cs="Arial"/>
      <w:b/>
      <w:bCs/>
      <w:iCs/>
      <w:color w:val="008080"/>
      <w:sz w:val="28"/>
      <w:szCs w:val="28"/>
    </w:rPr>
  </w:style>
  <w:style w:type="paragraph" w:styleId="Heading3">
    <w:name w:val="heading 3"/>
    <w:basedOn w:val="Normal"/>
    <w:next w:val="Normal"/>
    <w:link w:val="Heading3Char"/>
    <w:qFormat/>
    <w:rsid w:val="00477202"/>
    <w:pPr>
      <w:keepNext/>
      <w:ind w:left="709"/>
      <w:outlineLvl w:val="2"/>
    </w:pPr>
    <w:rPr>
      <w:rFonts w:cs="Arial"/>
      <w:color w:val="008080"/>
      <w:sz w:val="28"/>
      <w:szCs w:val="28"/>
    </w:rPr>
  </w:style>
  <w:style w:type="paragraph" w:styleId="Heading4">
    <w:name w:val="heading 4"/>
    <w:basedOn w:val="Normal"/>
    <w:next w:val="Normal"/>
    <w:link w:val="Heading4Char"/>
    <w:qFormat/>
    <w:rsid w:val="00477202"/>
    <w:pPr>
      <w:keepNext/>
      <w:ind w:left="720"/>
      <w:outlineLvl w:val="3"/>
    </w:pPr>
    <w:rPr>
      <w:bCs/>
      <w:i/>
      <w:color w:val="008080"/>
    </w:rPr>
  </w:style>
  <w:style w:type="paragraph" w:styleId="Heading5">
    <w:name w:val="heading 5"/>
    <w:aliases w:val="Do Not Use 5"/>
    <w:basedOn w:val="Normal"/>
    <w:next w:val="Normal"/>
    <w:link w:val="Heading5Char"/>
    <w:qFormat/>
    <w:rsid w:val="00477202"/>
    <w:pPr>
      <w:numPr>
        <w:ilvl w:val="4"/>
        <w:numId w:val="10"/>
      </w:numPr>
      <w:spacing w:before="240" w:after="60"/>
      <w:outlineLvl w:val="4"/>
    </w:pPr>
    <w:rPr>
      <w:b/>
      <w:bCs/>
      <w:i/>
      <w:iCs/>
      <w:sz w:val="26"/>
      <w:szCs w:val="26"/>
    </w:rPr>
  </w:style>
  <w:style w:type="paragraph" w:styleId="Heading6">
    <w:name w:val="heading 6"/>
    <w:aliases w:val="Do Not Use 6"/>
    <w:basedOn w:val="Normal"/>
    <w:next w:val="Normal"/>
    <w:link w:val="Heading6Char"/>
    <w:qFormat/>
    <w:rsid w:val="00477202"/>
    <w:pPr>
      <w:numPr>
        <w:ilvl w:val="5"/>
        <w:numId w:val="10"/>
      </w:numPr>
      <w:spacing w:before="240" w:after="60"/>
      <w:outlineLvl w:val="5"/>
    </w:pPr>
    <w:rPr>
      <w:rFonts w:ascii="Times New Roman" w:hAnsi="Times New Roman"/>
      <w:b/>
      <w:bCs/>
      <w:sz w:val="22"/>
      <w:szCs w:val="22"/>
    </w:rPr>
  </w:style>
  <w:style w:type="paragraph" w:styleId="Heading7">
    <w:name w:val="heading 7"/>
    <w:aliases w:val="Do Not Use 7"/>
    <w:basedOn w:val="Normal"/>
    <w:next w:val="Normal"/>
    <w:link w:val="Heading7Char"/>
    <w:qFormat/>
    <w:rsid w:val="00477202"/>
    <w:pPr>
      <w:numPr>
        <w:ilvl w:val="6"/>
        <w:numId w:val="10"/>
      </w:numPr>
      <w:spacing w:before="240" w:after="60"/>
      <w:outlineLvl w:val="6"/>
    </w:pPr>
    <w:rPr>
      <w:rFonts w:ascii="Times New Roman" w:hAnsi="Times New Roman"/>
    </w:rPr>
  </w:style>
  <w:style w:type="paragraph" w:styleId="Heading8">
    <w:name w:val="heading 8"/>
    <w:aliases w:val="Do Not Use 8"/>
    <w:basedOn w:val="Normal"/>
    <w:next w:val="Normal"/>
    <w:link w:val="Heading8Char"/>
    <w:qFormat/>
    <w:rsid w:val="00477202"/>
    <w:pPr>
      <w:numPr>
        <w:ilvl w:val="7"/>
        <w:numId w:val="10"/>
      </w:numPr>
      <w:spacing w:before="240" w:after="60"/>
      <w:outlineLvl w:val="7"/>
    </w:pPr>
    <w:rPr>
      <w:rFonts w:ascii="Times New Roman" w:hAnsi="Times New Roman"/>
      <w:i/>
      <w:iCs/>
    </w:rPr>
  </w:style>
  <w:style w:type="paragraph" w:styleId="Heading9">
    <w:name w:val="heading 9"/>
    <w:aliases w:val="Do Not Use 9"/>
    <w:basedOn w:val="Normal"/>
    <w:next w:val="Normal"/>
    <w:link w:val="Heading9Char"/>
    <w:qFormat/>
    <w:rsid w:val="00477202"/>
    <w:pPr>
      <w:numPr>
        <w:ilvl w:val="8"/>
        <w:numId w:val="10"/>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sonConentsPage">
    <w:name w:val="Page Numbers on Conents Page"/>
    <w:basedOn w:val="Normal"/>
    <w:rsid w:val="00477202"/>
    <w:pPr>
      <w:jc w:val="right"/>
    </w:pPr>
    <w:rPr>
      <w:b/>
      <w:bCs/>
      <w:szCs w:val="20"/>
    </w:rPr>
  </w:style>
  <w:style w:type="paragraph" w:customStyle="1" w:styleId="Figure">
    <w:name w:val="Figure"/>
    <w:basedOn w:val="BodyCopy"/>
    <w:rsid w:val="00477202"/>
    <w:pPr>
      <w:spacing w:before="60" w:after="60"/>
    </w:pPr>
    <w:rPr>
      <w:rFonts w:ascii="GillSans" w:hAnsi="GillSans"/>
      <w:sz w:val="16"/>
    </w:rPr>
  </w:style>
  <w:style w:type="paragraph" w:styleId="TOC1">
    <w:name w:val="toc 1"/>
    <w:basedOn w:val="Normal"/>
    <w:next w:val="Normal"/>
    <w:autoRedefine/>
    <w:uiPriority w:val="39"/>
    <w:rsid w:val="00477202"/>
    <w:rPr>
      <w:rFonts w:ascii="Arial Bold" w:hAnsi="Arial Bold" w:cs="Arial"/>
      <w:b/>
      <w:bCs/>
    </w:rPr>
  </w:style>
  <w:style w:type="paragraph" w:customStyle="1" w:styleId="ReportName">
    <w:name w:val="Report Name"/>
    <w:basedOn w:val="Normal"/>
    <w:rsid w:val="00477202"/>
    <w:rPr>
      <w:rFonts w:ascii="GillSans" w:hAnsi="GillSans"/>
      <w:color w:val="FFFFFF"/>
      <w:sz w:val="38"/>
      <w:szCs w:val="38"/>
    </w:rPr>
  </w:style>
  <w:style w:type="paragraph" w:customStyle="1" w:styleId="CoverPageDate">
    <w:name w:val="Cover Page Date"/>
    <w:basedOn w:val="Normal"/>
    <w:rsid w:val="00477202"/>
    <w:rPr>
      <w:rFonts w:ascii="GillSans Light" w:hAnsi="GillSans Light"/>
      <w:color w:val="FFFFFF"/>
      <w:sz w:val="38"/>
      <w:szCs w:val="38"/>
    </w:rPr>
  </w:style>
  <w:style w:type="paragraph" w:customStyle="1" w:styleId="Footer-Abra">
    <w:name w:val="Footer - Abra"/>
    <w:basedOn w:val="Normal"/>
    <w:rsid w:val="00477202"/>
    <w:pPr>
      <w:tabs>
        <w:tab w:val="center" w:pos="4320"/>
        <w:tab w:val="right" w:pos="8640"/>
      </w:tabs>
    </w:pPr>
    <w:rPr>
      <w:rFonts w:ascii="Verdana" w:hAnsi="Verdana"/>
      <w:color w:val="008080"/>
      <w:sz w:val="22"/>
      <w:szCs w:val="16"/>
    </w:rPr>
  </w:style>
  <w:style w:type="character" w:styleId="PageNumber">
    <w:name w:val="page number"/>
    <w:basedOn w:val="DefaultParagraphFont"/>
    <w:semiHidden/>
    <w:rsid w:val="00477202"/>
    <w:rPr>
      <w:rFonts w:ascii="GillSans" w:hAnsi="GillSans"/>
      <w:color w:val="FFFFFF"/>
      <w:sz w:val="16"/>
    </w:rPr>
  </w:style>
  <w:style w:type="paragraph" w:customStyle="1" w:styleId="ContentsNumbers">
    <w:name w:val="Contents Numbers"/>
    <w:basedOn w:val="Normal"/>
    <w:rsid w:val="00477202"/>
    <w:pPr>
      <w:jc w:val="center"/>
    </w:pPr>
    <w:rPr>
      <w:color w:val="FFFFFF"/>
      <w:sz w:val="20"/>
    </w:rPr>
  </w:style>
  <w:style w:type="paragraph" w:customStyle="1" w:styleId="TitleHeading">
    <w:name w:val="Title Heading"/>
    <w:basedOn w:val="Heading1"/>
    <w:rsid w:val="00477202"/>
    <w:pPr>
      <w:spacing w:before="0"/>
    </w:pPr>
    <w:rPr>
      <w:rFonts w:cs="Times New Roman"/>
      <w:bCs w:val="0"/>
      <w:sz w:val="44"/>
      <w:szCs w:val="20"/>
    </w:rPr>
  </w:style>
  <w:style w:type="paragraph" w:customStyle="1" w:styleId="BodyCopy">
    <w:name w:val="Body Copy"/>
    <w:basedOn w:val="Normal"/>
    <w:rsid w:val="00477202"/>
    <w:pPr>
      <w:numPr>
        <w:ilvl w:val="1"/>
        <w:numId w:val="1"/>
      </w:numPr>
    </w:pPr>
    <w:rPr>
      <w:rFonts w:ascii="GillSans Light" w:hAnsi="GillSans Light"/>
      <w:sz w:val="20"/>
      <w:szCs w:val="20"/>
    </w:rPr>
  </w:style>
  <w:style w:type="paragraph" w:customStyle="1" w:styleId="Maintext">
    <w:name w:val="Main text"/>
    <w:basedOn w:val="Normal"/>
    <w:rsid w:val="00477202"/>
    <w:pPr>
      <w:numPr>
        <w:ilvl w:val="1"/>
        <w:numId w:val="10"/>
      </w:numPr>
      <w:jc w:val="both"/>
    </w:pPr>
  </w:style>
  <w:style w:type="paragraph" w:styleId="ListBullet">
    <w:name w:val="List Bullet"/>
    <w:basedOn w:val="Normal"/>
    <w:autoRedefine/>
    <w:semiHidden/>
    <w:rsid w:val="00477202"/>
    <w:pPr>
      <w:tabs>
        <w:tab w:val="num" w:pos="1134"/>
      </w:tabs>
      <w:ind w:left="1134" w:hanging="425"/>
    </w:pPr>
    <w:rPr>
      <w:sz w:val="20"/>
    </w:rPr>
  </w:style>
  <w:style w:type="paragraph" w:styleId="TOC2">
    <w:name w:val="toc 2"/>
    <w:basedOn w:val="Normal"/>
    <w:next w:val="Normal"/>
    <w:autoRedefine/>
    <w:uiPriority w:val="39"/>
    <w:rsid w:val="00477202"/>
    <w:pPr>
      <w:tabs>
        <w:tab w:val="right" w:leader="dot" w:pos="9288"/>
      </w:tabs>
      <w:spacing w:before="60" w:after="60"/>
      <w:ind w:left="720"/>
    </w:pPr>
    <w:rPr>
      <w:bCs/>
      <w:sz w:val="22"/>
      <w:szCs w:val="20"/>
    </w:rPr>
  </w:style>
  <w:style w:type="paragraph" w:styleId="TOC3">
    <w:name w:val="toc 3"/>
    <w:basedOn w:val="Normal"/>
    <w:next w:val="Normal"/>
    <w:autoRedefine/>
    <w:uiPriority w:val="39"/>
    <w:rsid w:val="00477202"/>
    <w:pPr>
      <w:ind w:left="240"/>
    </w:pPr>
    <w:rPr>
      <w:rFonts w:ascii="Times New Roman" w:hAnsi="Times New Roman"/>
      <w:sz w:val="20"/>
      <w:szCs w:val="20"/>
    </w:rPr>
  </w:style>
  <w:style w:type="paragraph" w:styleId="TOC4">
    <w:name w:val="toc 4"/>
    <w:basedOn w:val="Normal"/>
    <w:next w:val="Normal"/>
    <w:autoRedefine/>
    <w:uiPriority w:val="39"/>
    <w:rsid w:val="00477202"/>
    <w:pPr>
      <w:ind w:left="480"/>
    </w:pPr>
    <w:rPr>
      <w:rFonts w:ascii="Times New Roman" w:hAnsi="Times New Roman"/>
      <w:sz w:val="20"/>
      <w:szCs w:val="20"/>
    </w:rPr>
  </w:style>
  <w:style w:type="paragraph" w:styleId="TOC5">
    <w:name w:val="toc 5"/>
    <w:basedOn w:val="Normal"/>
    <w:next w:val="Normal"/>
    <w:autoRedefine/>
    <w:uiPriority w:val="39"/>
    <w:rsid w:val="00477202"/>
    <w:pPr>
      <w:ind w:left="720"/>
    </w:pPr>
    <w:rPr>
      <w:rFonts w:ascii="Times New Roman" w:hAnsi="Times New Roman"/>
      <w:sz w:val="20"/>
      <w:szCs w:val="20"/>
    </w:rPr>
  </w:style>
  <w:style w:type="paragraph" w:styleId="TOC6">
    <w:name w:val="toc 6"/>
    <w:basedOn w:val="Normal"/>
    <w:next w:val="Normal"/>
    <w:autoRedefine/>
    <w:uiPriority w:val="39"/>
    <w:rsid w:val="00477202"/>
    <w:pPr>
      <w:ind w:left="960"/>
    </w:pPr>
    <w:rPr>
      <w:rFonts w:ascii="Times New Roman" w:hAnsi="Times New Roman"/>
      <w:sz w:val="20"/>
      <w:szCs w:val="20"/>
    </w:rPr>
  </w:style>
  <w:style w:type="paragraph" w:styleId="TOC7">
    <w:name w:val="toc 7"/>
    <w:basedOn w:val="Normal"/>
    <w:next w:val="Normal"/>
    <w:autoRedefine/>
    <w:uiPriority w:val="39"/>
    <w:rsid w:val="00477202"/>
    <w:pPr>
      <w:ind w:left="1200"/>
    </w:pPr>
    <w:rPr>
      <w:rFonts w:ascii="Times New Roman" w:hAnsi="Times New Roman"/>
      <w:sz w:val="20"/>
      <w:szCs w:val="20"/>
    </w:rPr>
  </w:style>
  <w:style w:type="paragraph" w:styleId="TOC8">
    <w:name w:val="toc 8"/>
    <w:basedOn w:val="Normal"/>
    <w:next w:val="Normal"/>
    <w:autoRedefine/>
    <w:uiPriority w:val="39"/>
    <w:rsid w:val="00477202"/>
    <w:pPr>
      <w:ind w:left="1440"/>
    </w:pPr>
    <w:rPr>
      <w:rFonts w:ascii="Times New Roman" w:hAnsi="Times New Roman"/>
      <w:sz w:val="20"/>
      <w:szCs w:val="20"/>
    </w:rPr>
  </w:style>
  <w:style w:type="paragraph" w:styleId="TOC9">
    <w:name w:val="toc 9"/>
    <w:basedOn w:val="Normal"/>
    <w:next w:val="Normal"/>
    <w:autoRedefine/>
    <w:uiPriority w:val="39"/>
    <w:rsid w:val="00477202"/>
    <w:pPr>
      <w:ind w:left="1680"/>
    </w:pPr>
    <w:rPr>
      <w:rFonts w:ascii="Times New Roman" w:hAnsi="Times New Roman"/>
      <w:sz w:val="20"/>
      <w:szCs w:val="20"/>
    </w:rPr>
  </w:style>
  <w:style w:type="character" w:styleId="Hyperlink">
    <w:name w:val="Hyperlink"/>
    <w:basedOn w:val="DefaultParagraphFont"/>
    <w:uiPriority w:val="99"/>
    <w:rsid w:val="00477202"/>
    <w:rPr>
      <w:color w:val="0000FF"/>
      <w:u w:val="single"/>
    </w:rPr>
  </w:style>
  <w:style w:type="paragraph" w:styleId="Header">
    <w:name w:val="header"/>
    <w:basedOn w:val="Normal"/>
    <w:link w:val="HeaderChar"/>
    <w:semiHidden/>
    <w:rsid w:val="00477202"/>
    <w:pPr>
      <w:tabs>
        <w:tab w:val="center" w:pos="4153"/>
        <w:tab w:val="right" w:pos="8306"/>
      </w:tabs>
    </w:pPr>
  </w:style>
  <w:style w:type="paragraph" w:styleId="Footer">
    <w:name w:val="footer"/>
    <w:basedOn w:val="Normal"/>
    <w:link w:val="FooterChar"/>
    <w:semiHidden/>
    <w:rsid w:val="00477202"/>
    <w:pPr>
      <w:tabs>
        <w:tab w:val="center" w:pos="4153"/>
        <w:tab w:val="right" w:pos="8306"/>
      </w:tabs>
    </w:pPr>
  </w:style>
  <w:style w:type="paragraph" w:styleId="FootnoteText">
    <w:name w:val="footnote text"/>
    <w:basedOn w:val="Normal"/>
    <w:link w:val="FootnoteTextChar"/>
    <w:uiPriority w:val="99"/>
    <w:semiHidden/>
    <w:rsid w:val="00477202"/>
    <w:rPr>
      <w:sz w:val="20"/>
      <w:szCs w:val="20"/>
    </w:rPr>
  </w:style>
  <w:style w:type="character" w:styleId="FootnoteReference">
    <w:name w:val="footnote reference"/>
    <w:basedOn w:val="DefaultParagraphFont"/>
    <w:uiPriority w:val="99"/>
    <w:semiHidden/>
    <w:rsid w:val="00477202"/>
    <w:rPr>
      <w:vertAlign w:val="superscript"/>
    </w:rPr>
  </w:style>
  <w:style w:type="paragraph" w:customStyle="1" w:styleId="Char">
    <w:name w:val="Char"/>
    <w:basedOn w:val="Normal"/>
    <w:rsid w:val="00BF20D2"/>
    <w:pPr>
      <w:spacing w:before="0" w:after="160" w:line="240" w:lineRule="exact"/>
    </w:pPr>
    <w:rPr>
      <w:sz w:val="20"/>
      <w:szCs w:val="20"/>
      <w:lang w:val="en-US"/>
    </w:rPr>
  </w:style>
  <w:style w:type="paragraph" w:customStyle="1" w:styleId="Style18ptBoldDarkBlueCentered">
    <w:name w:val="Style 18 pt Bold Dark Blue Centered"/>
    <w:basedOn w:val="Normal"/>
    <w:rsid w:val="00477202"/>
    <w:pPr>
      <w:jc w:val="center"/>
    </w:pPr>
    <w:rPr>
      <w:b/>
      <w:bCs/>
      <w:color w:val="008080"/>
      <w:sz w:val="36"/>
      <w:szCs w:val="36"/>
    </w:rPr>
  </w:style>
  <w:style w:type="character" w:customStyle="1" w:styleId="MaintextCharChar1">
    <w:name w:val="Main text Char Char1"/>
    <w:basedOn w:val="DefaultParagraphFont"/>
    <w:rsid w:val="00477202"/>
    <w:rPr>
      <w:rFonts w:ascii="Arial" w:hAnsi="Arial"/>
      <w:sz w:val="24"/>
      <w:szCs w:val="24"/>
      <w:lang w:eastAsia="en-US"/>
    </w:rPr>
  </w:style>
  <w:style w:type="paragraph" w:styleId="BodyText3">
    <w:name w:val="Body Text 3"/>
    <w:basedOn w:val="Normal"/>
    <w:link w:val="BodyText3Char"/>
    <w:semiHidden/>
    <w:rsid w:val="00477202"/>
    <w:rPr>
      <w:rFonts w:ascii="Times New Roman" w:hAnsi="Times New Roman"/>
      <w:sz w:val="16"/>
      <w:szCs w:val="16"/>
    </w:rPr>
  </w:style>
  <w:style w:type="paragraph" w:customStyle="1" w:styleId="StyleTableBold">
    <w:name w:val="Style Table + Bold"/>
    <w:basedOn w:val="Normal"/>
    <w:rsid w:val="00477202"/>
    <w:pPr>
      <w:spacing w:before="60" w:after="60"/>
      <w:ind w:left="709"/>
    </w:pPr>
    <w:rPr>
      <w:b/>
      <w:bCs/>
      <w:sz w:val="22"/>
      <w:szCs w:val="20"/>
    </w:rPr>
  </w:style>
  <w:style w:type="paragraph" w:customStyle="1" w:styleId="StyleCentered">
    <w:name w:val="Style Centered"/>
    <w:basedOn w:val="Normal"/>
    <w:rsid w:val="00477202"/>
    <w:pPr>
      <w:jc w:val="center"/>
    </w:pPr>
    <w:rPr>
      <w:sz w:val="22"/>
      <w:szCs w:val="20"/>
    </w:rPr>
  </w:style>
  <w:style w:type="paragraph" w:customStyle="1" w:styleId="StyleHeading312ptTeal">
    <w:name w:val="Style Heading 3 + 12 pt Teal"/>
    <w:basedOn w:val="Heading3"/>
    <w:rsid w:val="00477202"/>
    <w:pPr>
      <w:ind w:left="0"/>
    </w:pPr>
    <w:rPr>
      <w:b/>
      <w:bCs/>
      <w:sz w:val="24"/>
      <w:szCs w:val="26"/>
    </w:rPr>
  </w:style>
  <w:style w:type="paragraph" w:customStyle="1" w:styleId="StyleMaintextItalicFirstline0cm">
    <w:name w:val="Style Main text + Italic First line:  0 cm"/>
    <w:basedOn w:val="Maintext"/>
    <w:rsid w:val="00477202"/>
    <w:pPr>
      <w:numPr>
        <w:numId w:val="4"/>
      </w:numPr>
      <w:ind w:left="958" w:right="958" w:firstLine="0"/>
    </w:pPr>
    <w:rPr>
      <w:i/>
      <w:iCs/>
      <w:szCs w:val="20"/>
    </w:rPr>
  </w:style>
  <w:style w:type="paragraph" w:customStyle="1" w:styleId="StyleHeading3Left125cmBefore12ptAfter3pt">
    <w:name w:val="Style Heading 3 + Left:  1.25 cm Before:  12 pt After:  3 pt"/>
    <w:basedOn w:val="Heading3"/>
    <w:rsid w:val="00477202"/>
    <w:rPr>
      <w:rFonts w:cs="Times New Roman"/>
      <w:b/>
      <w:bCs/>
      <w:color w:val="auto"/>
      <w:sz w:val="24"/>
      <w:szCs w:val="24"/>
      <w:lang w:val="en-US"/>
    </w:rPr>
  </w:style>
  <w:style w:type="paragraph" w:customStyle="1" w:styleId="StyleMaintextGillSansMT">
    <w:name w:val="Style Main text + Gill Sans MT"/>
    <w:rsid w:val="00477202"/>
    <w:pPr>
      <w:numPr>
        <w:ilvl w:val="1"/>
        <w:numId w:val="5"/>
      </w:numPr>
      <w:tabs>
        <w:tab w:val="clear" w:pos="709"/>
        <w:tab w:val="num" w:pos="2149"/>
      </w:tabs>
      <w:ind w:left="2149" w:hanging="360"/>
    </w:pPr>
    <w:rPr>
      <w:lang w:val="en-US"/>
    </w:rPr>
  </w:style>
  <w:style w:type="character" w:customStyle="1" w:styleId="Char1CharChar">
    <w:name w:val="Char1 Char Char"/>
    <w:basedOn w:val="DefaultParagraphFont"/>
    <w:rsid w:val="00477202"/>
    <w:rPr>
      <w:rFonts w:ascii="Arial Bold" w:hAnsi="Arial Bold" w:cs="Arial"/>
      <w:b/>
      <w:bCs/>
      <w:color w:val="008080"/>
      <w:kern w:val="32"/>
      <w:sz w:val="32"/>
      <w:szCs w:val="28"/>
      <w:lang w:eastAsia="en-US"/>
    </w:rPr>
  </w:style>
  <w:style w:type="character" w:customStyle="1" w:styleId="CharChar14">
    <w:name w:val="Char Char14"/>
    <w:basedOn w:val="DefaultParagraphFont"/>
    <w:rsid w:val="00477202"/>
    <w:rPr>
      <w:rFonts w:ascii="Arial" w:hAnsi="Arial" w:cs="Arial"/>
      <w:b/>
      <w:bCs/>
      <w:iCs/>
      <w:color w:val="008080"/>
      <w:sz w:val="28"/>
      <w:szCs w:val="28"/>
      <w:lang w:val="en-GB" w:eastAsia="en-US" w:bidi="ar-SA"/>
    </w:rPr>
  </w:style>
  <w:style w:type="paragraph" w:styleId="BodyTextIndent">
    <w:name w:val="Body Text Indent"/>
    <w:basedOn w:val="Normal"/>
    <w:link w:val="BodyTextIndentChar"/>
    <w:semiHidden/>
    <w:rsid w:val="00477202"/>
    <w:pPr>
      <w:numPr>
        <w:numId w:val="7"/>
      </w:numPr>
      <w:tabs>
        <w:tab w:val="clear" w:pos="1914"/>
      </w:tabs>
      <w:ind w:left="283" w:firstLine="0"/>
    </w:pPr>
  </w:style>
  <w:style w:type="paragraph" w:customStyle="1" w:styleId="GVABullets">
    <w:name w:val="GVA Bullets"/>
    <w:basedOn w:val="Normal"/>
    <w:rsid w:val="00477202"/>
    <w:pPr>
      <w:numPr>
        <w:numId w:val="3"/>
      </w:numPr>
    </w:pPr>
    <w:rPr>
      <w:rFonts w:ascii="Times New Roman" w:hAnsi="Times New Roman"/>
    </w:rPr>
  </w:style>
  <w:style w:type="character" w:customStyle="1" w:styleId="MaintextCharChar">
    <w:name w:val="Main text Char Char"/>
    <w:basedOn w:val="DefaultParagraphFont"/>
    <w:rsid w:val="00477202"/>
    <w:rPr>
      <w:rFonts w:ascii="Arial" w:hAnsi="Arial"/>
      <w:sz w:val="24"/>
      <w:szCs w:val="24"/>
      <w:lang w:val="en-US" w:eastAsia="en-US" w:bidi="ar-SA"/>
    </w:rPr>
  </w:style>
  <w:style w:type="paragraph" w:styleId="BodyTextIndent3">
    <w:name w:val="Body Text Indent 3"/>
    <w:basedOn w:val="Normal"/>
    <w:link w:val="BodyTextIndent3Char"/>
    <w:semiHidden/>
    <w:rsid w:val="00477202"/>
    <w:pPr>
      <w:ind w:left="283"/>
    </w:pPr>
    <w:rPr>
      <w:sz w:val="16"/>
      <w:szCs w:val="16"/>
    </w:rPr>
  </w:style>
  <w:style w:type="paragraph" w:customStyle="1" w:styleId="Default">
    <w:name w:val="Default"/>
    <w:rsid w:val="00477202"/>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semiHidden/>
    <w:rsid w:val="00477202"/>
    <w:rPr>
      <w:rFonts w:ascii="Times New Roman" w:hAnsi="Times New Roman"/>
    </w:rPr>
  </w:style>
  <w:style w:type="paragraph" w:customStyle="1" w:styleId="StyleHeading312ptWhite">
    <w:name w:val="Style Heading 3 + 12 pt White"/>
    <w:basedOn w:val="Heading3"/>
    <w:rsid w:val="00477202"/>
    <w:pPr>
      <w:spacing w:before="0" w:after="0"/>
      <w:ind w:left="0"/>
    </w:pPr>
    <w:rPr>
      <w:rFonts w:cs="Times New Roman"/>
      <w:b/>
      <w:bCs/>
      <w:color w:val="FFFFFF"/>
      <w:sz w:val="26"/>
      <w:szCs w:val="20"/>
      <w:lang w:val="en-US"/>
    </w:rPr>
  </w:style>
  <w:style w:type="paragraph" w:customStyle="1" w:styleId="bullets">
    <w:name w:val="bullets"/>
    <w:basedOn w:val="Normal"/>
    <w:rsid w:val="00477202"/>
    <w:pPr>
      <w:numPr>
        <w:numId w:val="9"/>
      </w:numPr>
      <w:tabs>
        <w:tab w:val="left" w:pos="1276"/>
      </w:tabs>
      <w:ind w:left="1276" w:hanging="567"/>
    </w:pPr>
    <w:rPr>
      <w:sz w:val="22"/>
      <w:szCs w:val="22"/>
    </w:rPr>
  </w:style>
  <w:style w:type="character" w:customStyle="1" w:styleId="bulletsChar2">
    <w:name w:val="bullets Char2"/>
    <w:basedOn w:val="DefaultParagraphFont"/>
    <w:rsid w:val="00477202"/>
    <w:rPr>
      <w:rFonts w:ascii="Arial" w:hAnsi="Arial"/>
      <w:sz w:val="22"/>
      <w:szCs w:val="22"/>
      <w:lang w:eastAsia="en-US"/>
    </w:rPr>
  </w:style>
  <w:style w:type="paragraph" w:styleId="BalloonText">
    <w:name w:val="Balloon Text"/>
    <w:basedOn w:val="Normal"/>
    <w:link w:val="BalloonTextChar"/>
    <w:semiHidden/>
    <w:rsid w:val="00477202"/>
    <w:rPr>
      <w:rFonts w:ascii="Tahoma" w:hAnsi="Tahoma" w:cs="Tahoma"/>
      <w:sz w:val="16"/>
      <w:szCs w:val="16"/>
    </w:rPr>
  </w:style>
  <w:style w:type="paragraph" w:styleId="DocumentMap">
    <w:name w:val="Document Map"/>
    <w:basedOn w:val="Normal"/>
    <w:link w:val="DocumentMapChar"/>
    <w:semiHidden/>
    <w:rsid w:val="00477202"/>
    <w:pPr>
      <w:shd w:val="clear" w:color="auto" w:fill="000080"/>
    </w:pPr>
    <w:rPr>
      <w:rFonts w:ascii="Tahoma" w:hAnsi="Tahoma" w:cs="Tahoma"/>
    </w:rPr>
  </w:style>
  <w:style w:type="character" w:customStyle="1" w:styleId="Hyperlink1">
    <w:name w:val="Hyperlink1"/>
    <w:basedOn w:val="DefaultParagraphFont"/>
    <w:rsid w:val="00477202"/>
    <w:rPr>
      <w:strike w:val="0"/>
      <w:dstrike w:val="0"/>
      <w:color w:val="008083"/>
      <w:u w:val="single"/>
      <w:effect w:val="none"/>
      <w:shd w:val="clear" w:color="auto" w:fill="auto"/>
    </w:rPr>
  </w:style>
  <w:style w:type="paragraph" w:customStyle="1" w:styleId="StyleMaintextJustified1">
    <w:name w:val="Style Main text + Justified1"/>
    <w:basedOn w:val="Maintext"/>
    <w:rsid w:val="00477202"/>
    <w:pPr>
      <w:numPr>
        <w:numId w:val="6"/>
      </w:numPr>
    </w:pPr>
    <w:rPr>
      <w:sz w:val="22"/>
      <w:szCs w:val="20"/>
    </w:rPr>
  </w:style>
  <w:style w:type="character" w:customStyle="1" w:styleId="MaintextChar">
    <w:name w:val="Main text Char"/>
    <w:basedOn w:val="DefaultParagraphFont"/>
    <w:rsid w:val="00477202"/>
    <w:rPr>
      <w:rFonts w:ascii="Arial" w:hAnsi="Arial"/>
      <w:sz w:val="24"/>
      <w:szCs w:val="24"/>
      <w:lang w:val="en-GB" w:eastAsia="en-US" w:bidi="ar-SA"/>
    </w:rPr>
  </w:style>
  <w:style w:type="paragraph" w:customStyle="1" w:styleId="StyleMaintextLeft">
    <w:name w:val="Style Main text + Left"/>
    <w:basedOn w:val="Maintext"/>
    <w:rsid w:val="00477202"/>
    <w:rPr>
      <w:szCs w:val="20"/>
    </w:rPr>
  </w:style>
  <w:style w:type="paragraph" w:customStyle="1" w:styleId="StyleHeading3Firstline125cm">
    <w:name w:val="Style Heading 3 + First line:  1.25 cm"/>
    <w:basedOn w:val="Heading3"/>
    <w:rsid w:val="00477202"/>
    <w:pPr>
      <w:spacing w:before="0" w:after="0"/>
      <w:ind w:left="0" w:firstLine="709"/>
    </w:pPr>
    <w:rPr>
      <w:rFonts w:cs="Times New Roman"/>
      <w:b/>
      <w:bCs/>
      <w:color w:val="auto"/>
      <w:sz w:val="26"/>
      <w:szCs w:val="20"/>
      <w:lang w:val="en-US"/>
    </w:rPr>
  </w:style>
  <w:style w:type="paragraph" w:styleId="EndnoteText">
    <w:name w:val="endnote text"/>
    <w:basedOn w:val="Normal"/>
    <w:link w:val="EndnoteTextChar"/>
    <w:semiHidden/>
    <w:unhideWhenUsed/>
    <w:rsid w:val="00477202"/>
    <w:rPr>
      <w:sz w:val="20"/>
      <w:szCs w:val="20"/>
    </w:rPr>
  </w:style>
  <w:style w:type="character" w:customStyle="1" w:styleId="CharChar2">
    <w:name w:val="Char Char2"/>
    <w:basedOn w:val="DefaultParagraphFont"/>
    <w:semiHidden/>
    <w:rsid w:val="00477202"/>
    <w:rPr>
      <w:rFonts w:ascii="Arial" w:hAnsi="Arial"/>
      <w:lang w:eastAsia="en-US"/>
    </w:rPr>
  </w:style>
  <w:style w:type="character" w:styleId="EndnoteReference">
    <w:name w:val="endnote reference"/>
    <w:basedOn w:val="DefaultParagraphFont"/>
    <w:semiHidden/>
    <w:unhideWhenUsed/>
    <w:rsid w:val="00477202"/>
    <w:rPr>
      <w:vertAlign w:val="superscript"/>
    </w:rPr>
  </w:style>
  <w:style w:type="character" w:customStyle="1" w:styleId="CharChar13">
    <w:name w:val="Char Char13"/>
    <w:basedOn w:val="DefaultParagraphFont"/>
    <w:rsid w:val="00477202"/>
    <w:rPr>
      <w:rFonts w:ascii="Arial" w:hAnsi="Arial" w:cs="Arial"/>
      <w:color w:val="008080"/>
      <w:sz w:val="28"/>
      <w:szCs w:val="28"/>
      <w:lang w:eastAsia="en-US"/>
    </w:rPr>
  </w:style>
  <w:style w:type="character" w:customStyle="1" w:styleId="CharChar12">
    <w:name w:val="Char Char12"/>
    <w:basedOn w:val="DefaultParagraphFont"/>
    <w:rsid w:val="00477202"/>
    <w:rPr>
      <w:rFonts w:ascii="Arial" w:hAnsi="Arial"/>
      <w:bCs/>
      <w:i/>
      <w:color w:val="008080"/>
      <w:sz w:val="24"/>
      <w:szCs w:val="24"/>
      <w:lang w:eastAsia="en-US"/>
    </w:rPr>
  </w:style>
  <w:style w:type="character" w:customStyle="1" w:styleId="DoNotUse5CharChar">
    <w:name w:val="Do Not Use 5 Char Char"/>
    <w:basedOn w:val="DefaultParagraphFont"/>
    <w:rsid w:val="00477202"/>
    <w:rPr>
      <w:rFonts w:ascii="Arial" w:hAnsi="Arial"/>
      <w:b/>
      <w:bCs/>
      <w:i/>
      <w:iCs/>
      <w:sz w:val="26"/>
      <w:szCs w:val="26"/>
      <w:lang w:eastAsia="en-US"/>
    </w:rPr>
  </w:style>
  <w:style w:type="character" w:customStyle="1" w:styleId="DoNotUse6CharChar">
    <w:name w:val="Do Not Use 6 Char Char"/>
    <w:basedOn w:val="DefaultParagraphFont"/>
    <w:rsid w:val="00477202"/>
    <w:rPr>
      <w:b/>
      <w:bCs/>
      <w:sz w:val="22"/>
      <w:szCs w:val="22"/>
      <w:lang w:eastAsia="en-US"/>
    </w:rPr>
  </w:style>
  <w:style w:type="character" w:customStyle="1" w:styleId="DoNotUse7CharChar">
    <w:name w:val="Do Not Use 7 Char Char"/>
    <w:basedOn w:val="DefaultParagraphFont"/>
    <w:rsid w:val="00477202"/>
    <w:rPr>
      <w:sz w:val="24"/>
      <w:szCs w:val="24"/>
      <w:lang w:eastAsia="en-US"/>
    </w:rPr>
  </w:style>
  <w:style w:type="character" w:customStyle="1" w:styleId="DoNotUse8CharChar">
    <w:name w:val="Do Not Use 8 Char Char"/>
    <w:basedOn w:val="DefaultParagraphFont"/>
    <w:rsid w:val="00477202"/>
    <w:rPr>
      <w:i/>
      <w:iCs/>
      <w:sz w:val="24"/>
      <w:szCs w:val="24"/>
      <w:lang w:eastAsia="en-US"/>
    </w:rPr>
  </w:style>
  <w:style w:type="character" w:customStyle="1" w:styleId="DoNotUse9CharChar">
    <w:name w:val="Do Not Use 9 Char Char"/>
    <w:basedOn w:val="DefaultParagraphFont"/>
    <w:rsid w:val="00477202"/>
    <w:rPr>
      <w:rFonts w:ascii="Arial" w:hAnsi="Arial" w:cs="Arial"/>
      <w:sz w:val="22"/>
      <w:szCs w:val="22"/>
      <w:lang w:eastAsia="en-US"/>
    </w:rPr>
  </w:style>
  <w:style w:type="character" w:customStyle="1" w:styleId="CharChar11">
    <w:name w:val="Char Char11"/>
    <w:basedOn w:val="DefaultParagraphFont"/>
    <w:rsid w:val="00477202"/>
    <w:rPr>
      <w:rFonts w:ascii="Arial" w:hAnsi="Arial"/>
      <w:sz w:val="24"/>
      <w:szCs w:val="24"/>
      <w:lang w:eastAsia="en-US"/>
    </w:rPr>
  </w:style>
  <w:style w:type="character" w:customStyle="1" w:styleId="CharChar10">
    <w:name w:val="Char Char10"/>
    <w:basedOn w:val="DefaultParagraphFont"/>
    <w:rsid w:val="00477202"/>
    <w:rPr>
      <w:rFonts w:ascii="Arial" w:hAnsi="Arial"/>
      <w:sz w:val="24"/>
      <w:szCs w:val="24"/>
      <w:lang w:eastAsia="en-US"/>
    </w:rPr>
  </w:style>
  <w:style w:type="character" w:customStyle="1" w:styleId="CharChar9">
    <w:name w:val="Char Char9"/>
    <w:basedOn w:val="DefaultParagraphFont"/>
    <w:semiHidden/>
    <w:rsid w:val="00477202"/>
    <w:rPr>
      <w:rFonts w:ascii="Arial" w:hAnsi="Arial"/>
      <w:lang w:eastAsia="en-US"/>
    </w:rPr>
  </w:style>
  <w:style w:type="character" w:customStyle="1" w:styleId="CharChar8">
    <w:name w:val="Char Char8"/>
    <w:basedOn w:val="DefaultParagraphFont"/>
    <w:rsid w:val="00477202"/>
    <w:rPr>
      <w:sz w:val="16"/>
      <w:szCs w:val="16"/>
      <w:lang w:eastAsia="en-US"/>
    </w:rPr>
  </w:style>
  <w:style w:type="character" w:customStyle="1" w:styleId="CharChar7">
    <w:name w:val="Char Char7"/>
    <w:basedOn w:val="DefaultParagraphFont"/>
    <w:rsid w:val="00477202"/>
    <w:rPr>
      <w:rFonts w:ascii="Arial" w:hAnsi="Arial"/>
      <w:sz w:val="24"/>
      <w:szCs w:val="24"/>
      <w:lang w:eastAsia="en-US"/>
    </w:rPr>
  </w:style>
  <w:style w:type="character" w:customStyle="1" w:styleId="CharChar6">
    <w:name w:val="Char Char6"/>
    <w:basedOn w:val="DefaultParagraphFont"/>
    <w:rsid w:val="00477202"/>
    <w:rPr>
      <w:rFonts w:ascii="Arial" w:hAnsi="Arial"/>
      <w:sz w:val="16"/>
      <w:szCs w:val="16"/>
      <w:lang w:eastAsia="en-US"/>
    </w:rPr>
  </w:style>
  <w:style w:type="character" w:customStyle="1" w:styleId="CharChar5">
    <w:name w:val="Char Char5"/>
    <w:basedOn w:val="DefaultParagraphFont"/>
    <w:rsid w:val="00477202"/>
    <w:rPr>
      <w:sz w:val="24"/>
      <w:szCs w:val="24"/>
      <w:lang w:eastAsia="en-US"/>
    </w:rPr>
  </w:style>
  <w:style w:type="character" w:customStyle="1" w:styleId="CharChar4">
    <w:name w:val="Char Char4"/>
    <w:basedOn w:val="DefaultParagraphFont"/>
    <w:semiHidden/>
    <w:rsid w:val="00477202"/>
    <w:rPr>
      <w:rFonts w:ascii="Tahoma" w:hAnsi="Tahoma" w:cs="Tahoma"/>
      <w:sz w:val="16"/>
      <w:szCs w:val="16"/>
      <w:lang w:eastAsia="en-US"/>
    </w:rPr>
  </w:style>
  <w:style w:type="character" w:customStyle="1" w:styleId="CharChar3">
    <w:name w:val="Char Char3"/>
    <w:basedOn w:val="DefaultParagraphFont"/>
    <w:semiHidden/>
    <w:rsid w:val="00477202"/>
    <w:rPr>
      <w:rFonts w:ascii="Tahoma" w:hAnsi="Tahoma" w:cs="Tahoma"/>
      <w:sz w:val="24"/>
      <w:szCs w:val="24"/>
      <w:shd w:val="clear" w:color="auto" w:fill="000080"/>
      <w:lang w:eastAsia="en-US"/>
    </w:rPr>
  </w:style>
  <w:style w:type="character" w:styleId="CommentReference">
    <w:name w:val="annotation reference"/>
    <w:basedOn w:val="DefaultParagraphFont"/>
    <w:semiHidden/>
    <w:rsid w:val="00477202"/>
    <w:rPr>
      <w:sz w:val="16"/>
      <w:szCs w:val="16"/>
    </w:rPr>
  </w:style>
  <w:style w:type="paragraph" w:styleId="CommentText">
    <w:name w:val="annotation text"/>
    <w:basedOn w:val="Normal"/>
    <w:link w:val="CommentTextChar"/>
    <w:semiHidden/>
    <w:rsid w:val="00477202"/>
    <w:rPr>
      <w:sz w:val="20"/>
      <w:szCs w:val="20"/>
    </w:rPr>
  </w:style>
  <w:style w:type="paragraph" w:styleId="CommentSubject">
    <w:name w:val="annotation subject"/>
    <w:basedOn w:val="CommentText"/>
    <w:next w:val="CommentText"/>
    <w:link w:val="CommentSubjectChar"/>
    <w:semiHidden/>
    <w:rsid w:val="00477202"/>
    <w:rPr>
      <w:b/>
      <w:bCs/>
    </w:rPr>
  </w:style>
  <w:style w:type="paragraph" w:customStyle="1" w:styleId="Normal9pt">
    <w:name w:val="Normal + 9 pt"/>
    <w:basedOn w:val="Normal"/>
    <w:rsid w:val="00477202"/>
    <w:pPr>
      <w:spacing w:before="0" w:after="0" w:line="250" w:lineRule="exact"/>
    </w:pPr>
    <w:rPr>
      <w:sz w:val="18"/>
      <w:szCs w:val="20"/>
    </w:rPr>
  </w:style>
  <w:style w:type="paragraph" w:styleId="BodyText2">
    <w:name w:val="Body Text 2"/>
    <w:basedOn w:val="Normal"/>
    <w:link w:val="BodyText2Char"/>
    <w:semiHidden/>
    <w:rsid w:val="00477202"/>
    <w:pPr>
      <w:spacing w:line="480" w:lineRule="auto"/>
    </w:pPr>
  </w:style>
  <w:style w:type="character" w:customStyle="1" w:styleId="CharChar1">
    <w:name w:val="Char Char1"/>
    <w:basedOn w:val="DefaultParagraphFont"/>
    <w:rsid w:val="00477202"/>
    <w:rPr>
      <w:rFonts w:ascii="Arial" w:hAnsi="Arial"/>
      <w:sz w:val="24"/>
      <w:szCs w:val="24"/>
      <w:lang w:eastAsia="en-US"/>
    </w:rPr>
  </w:style>
  <w:style w:type="character" w:customStyle="1" w:styleId="FootnoteTextChar">
    <w:name w:val="Footnote Text Char"/>
    <w:basedOn w:val="DefaultParagraphFont"/>
    <w:link w:val="FootnoteText"/>
    <w:uiPriority w:val="99"/>
    <w:semiHidden/>
    <w:rsid w:val="00C2550B"/>
    <w:rPr>
      <w:rFonts w:ascii="Arial" w:hAnsi="Arial"/>
      <w:lang w:eastAsia="en-US"/>
    </w:rPr>
  </w:style>
  <w:style w:type="paragraph" w:styleId="ListParagraph">
    <w:name w:val="List Paragraph"/>
    <w:basedOn w:val="Normal"/>
    <w:uiPriority w:val="34"/>
    <w:qFormat/>
    <w:rsid w:val="00BC23BD"/>
    <w:pPr>
      <w:ind w:left="720"/>
    </w:pPr>
  </w:style>
  <w:style w:type="character" w:customStyle="1" w:styleId="clear">
    <w:name w:val="clear"/>
    <w:basedOn w:val="DefaultParagraphFont"/>
    <w:rsid w:val="008704CC"/>
  </w:style>
  <w:style w:type="character" w:customStyle="1" w:styleId="Heading1Char">
    <w:name w:val="Heading 1 Char"/>
    <w:aliases w:val="Char1 Char"/>
    <w:basedOn w:val="DefaultParagraphFont"/>
    <w:link w:val="Heading1"/>
    <w:rsid w:val="00A71743"/>
    <w:rPr>
      <w:rFonts w:ascii="Arial Bold" w:hAnsi="Arial Bold" w:cs="Arial"/>
      <w:b/>
      <w:bCs/>
      <w:color w:val="008080"/>
      <w:kern w:val="32"/>
      <w:sz w:val="32"/>
      <w:szCs w:val="28"/>
      <w:lang w:eastAsia="en-US"/>
    </w:rPr>
  </w:style>
  <w:style w:type="character" w:customStyle="1" w:styleId="Heading2Char">
    <w:name w:val="Heading 2 Char"/>
    <w:basedOn w:val="DefaultParagraphFont"/>
    <w:link w:val="Heading2"/>
    <w:rsid w:val="00A71743"/>
    <w:rPr>
      <w:rFonts w:ascii="Arial" w:hAnsi="Arial" w:cs="Arial"/>
      <w:b/>
      <w:bCs/>
      <w:iCs/>
      <w:color w:val="008080"/>
      <w:sz w:val="28"/>
      <w:szCs w:val="28"/>
      <w:lang w:eastAsia="en-US"/>
    </w:rPr>
  </w:style>
  <w:style w:type="character" w:customStyle="1" w:styleId="apple-converted-space">
    <w:name w:val="apple-converted-space"/>
    <w:basedOn w:val="DefaultParagraphFont"/>
    <w:rsid w:val="00E864F4"/>
  </w:style>
  <w:style w:type="paragraph" w:styleId="Revision">
    <w:name w:val="Revision"/>
    <w:hidden/>
    <w:uiPriority w:val="99"/>
    <w:semiHidden/>
    <w:rsid w:val="000F16B2"/>
    <w:rPr>
      <w:rFonts w:ascii="Arial" w:hAnsi="Arial"/>
      <w:sz w:val="24"/>
      <w:szCs w:val="24"/>
      <w:lang w:eastAsia="en-US"/>
    </w:rPr>
  </w:style>
  <w:style w:type="character" w:customStyle="1" w:styleId="Heading3Char">
    <w:name w:val="Heading 3 Char"/>
    <w:basedOn w:val="DefaultParagraphFont"/>
    <w:link w:val="Heading3"/>
    <w:rsid w:val="009E4178"/>
    <w:rPr>
      <w:rFonts w:ascii="Arial" w:hAnsi="Arial" w:cs="Arial"/>
      <w:color w:val="008080"/>
      <w:sz w:val="28"/>
      <w:szCs w:val="28"/>
      <w:lang w:eastAsia="en-US"/>
    </w:rPr>
  </w:style>
  <w:style w:type="character" w:customStyle="1" w:styleId="Heading4Char">
    <w:name w:val="Heading 4 Char"/>
    <w:basedOn w:val="DefaultParagraphFont"/>
    <w:link w:val="Heading4"/>
    <w:rsid w:val="00BC7162"/>
    <w:rPr>
      <w:rFonts w:ascii="Arial" w:hAnsi="Arial"/>
      <w:bCs/>
      <w:i/>
      <w:color w:val="008080"/>
      <w:sz w:val="24"/>
      <w:szCs w:val="24"/>
      <w:lang w:eastAsia="en-US"/>
    </w:rPr>
  </w:style>
  <w:style w:type="character" w:customStyle="1" w:styleId="Heading5Char">
    <w:name w:val="Heading 5 Char"/>
    <w:aliases w:val="Do Not Use 5 Char"/>
    <w:basedOn w:val="DefaultParagraphFont"/>
    <w:link w:val="Heading5"/>
    <w:rsid w:val="002A4C96"/>
    <w:rPr>
      <w:rFonts w:ascii="Arial" w:hAnsi="Arial"/>
      <w:b/>
      <w:bCs/>
      <w:i/>
      <w:iCs/>
      <w:sz w:val="26"/>
      <w:szCs w:val="26"/>
      <w:lang w:eastAsia="en-US"/>
    </w:rPr>
  </w:style>
  <w:style w:type="character" w:customStyle="1" w:styleId="Heading6Char">
    <w:name w:val="Heading 6 Char"/>
    <w:aliases w:val="Do Not Use 6 Char"/>
    <w:basedOn w:val="DefaultParagraphFont"/>
    <w:link w:val="Heading6"/>
    <w:rsid w:val="002A4C96"/>
    <w:rPr>
      <w:b/>
      <w:bCs/>
      <w:sz w:val="22"/>
      <w:szCs w:val="22"/>
      <w:lang w:eastAsia="en-US"/>
    </w:rPr>
  </w:style>
  <w:style w:type="character" w:customStyle="1" w:styleId="Heading7Char">
    <w:name w:val="Heading 7 Char"/>
    <w:aliases w:val="Do Not Use 7 Char"/>
    <w:basedOn w:val="DefaultParagraphFont"/>
    <w:link w:val="Heading7"/>
    <w:rsid w:val="002A4C96"/>
    <w:rPr>
      <w:sz w:val="24"/>
      <w:szCs w:val="24"/>
      <w:lang w:eastAsia="en-US"/>
    </w:rPr>
  </w:style>
  <w:style w:type="character" w:customStyle="1" w:styleId="Heading8Char">
    <w:name w:val="Heading 8 Char"/>
    <w:aliases w:val="Do Not Use 8 Char"/>
    <w:basedOn w:val="DefaultParagraphFont"/>
    <w:link w:val="Heading8"/>
    <w:rsid w:val="002A4C96"/>
    <w:rPr>
      <w:i/>
      <w:iCs/>
      <w:sz w:val="24"/>
      <w:szCs w:val="24"/>
      <w:lang w:eastAsia="en-US"/>
    </w:rPr>
  </w:style>
  <w:style w:type="character" w:customStyle="1" w:styleId="Heading9Char">
    <w:name w:val="Heading 9 Char"/>
    <w:aliases w:val="Do Not Use 9 Char"/>
    <w:basedOn w:val="DefaultParagraphFont"/>
    <w:link w:val="Heading9"/>
    <w:rsid w:val="002A4C96"/>
    <w:rPr>
      <w:rFonts w:ascii="Arial" w:hAnsi="Arial" w:cs="Arial"/>
      <w:sz w:val="22"/>
      <w:szCs w:val="22"/>
      <w:lang w:eastAsia="en-US"/>
    </w:rPr>
  </w:style>
  <w:style w:type="character" w:customStyle="1" w:styleId="HeaderChar">
    <w:name w:val="Header Char"/>
    <w:basedOn w:val="DefaultParagraphFont"/>
    <w:link w:val="Header"/>
    <w:semiHidden/>
    <w:rsid w:val="002A4C96"/>
    <w:rPr>
      <w:rFonts w:ascii="Arial" w:hAnsi="Arial"/>
      <w:sz w:val="24"/>
      <w:szCs w:val="24"/>
      <w:lang w:eastAsia="en-US"/>
    </w:rPr>
  </w:style>
  <w:style w:type="character" w:customStyle="1" w:styleId="FooterChar">
    <w:name w:val="Footer Char"/>
    <w:basedOn w:val="DefaultParagraphFont"/>
    <w:link w:val="Footer"/>
    <w:semiHidden/>
    <w:rsid w:val="002A4C96"/>
    <w:rPr>
      <w:rFonts w:ascii="Arial" w:hAnsi="Arial"/>
      <w:sz w:val="24"/>
      <w:szCs w:val="24"/>
      <w:lang w:eastAsia="en-US"/>
    </w:rPr>
  </w:style>
  <w:style w:type="character" w:customStyle="1" w:styleId="BodyText3Char">
    <w:name w:val="Body Text 3 Char"/>
    <w:basedOn w:val="DefaultParagraphFont"/>
    <w:link w:val="BodyText3"/>
    <w:semiHidden/>
    <w:rsid w:val="002A4C96"/>
    <w:rPr>
      <w:sz w:val="16"/>
      <w:szCs w:val="16"/>
      <w:lang w:eastAsia="en-US"/>
    </w:rPr>
  </w:style>
  <w:style w:type="character" w:customStyle="1" w:styleId="BodyTextIndentChar">
    <w:name w:val="Body Text Indent Char"/>
    <w:basedOn w:val="DefaultParagraphFont"/>
    <w:link w:val="BodyTextIndent"/>
    <w:semiHidden/>
    <w:rsid w:val="002A4C96"/>
    <w:rPr>
      <w:rFonts w:ascii="Arial" w:hAnsi="Arial"/>
      <w:sz w:val="24"/>
      <w:szCs w:val="24"/>
      <w:lang w:eastAsia="en-US"/>
    </w:rPr>
  </w:style>
  <w:style w:type="character" w:customStyle="1" w:styleId="BodyTextIndent3Char">
    <w:name w:val="Body Text Indent 3 Char"/>
    <w:basedOn w:val="DefaultParagraphFont"/>
    <w:link w:val="BodyTextIndent3"/>
    <w:semiHidden/>
    <w:rsid w:val="002A4C96"/>
    <w:rPr>
      <w:rFonts w:ascii="Arial" w:hAnsi="Arial"/>
      <w:sz w:val="16"/>
      <w:szCs w:val="16"/>
      <w:lang w:eastAsia="en-US"/>
    </w:rPr>
  </w:style>
  <w:style w:type="character" w:customStyle="1" w:styleId="BodyTextChar">
    <w:name w:val="Body Text Char"/>
    <w:basedOn w:val="DefaultParagraphFont"/>
    <w:link w:val="BodyText"/>
    <w:semiHidden/>
    <w:rsid w:val="002A4C96"/>
    <w:rPr>
      <w:sz w:val="24"/>
      <w:szCs w:val="24"/>
      <w:lang w:eastAsia="en-US"/>
    </w:rPr>
  </w:style>
  <w:style w:type="character" w:customStyle="1" w:styleId="BalloonTextChar">
    <w:name w:val="Balloon Text Char"/>
    <w:basedOn w:val="DefaultParagraphFont"/>
    <w:link w:val="BalloonText"/>
    <w:semiHidden/>
    <w:rsid w:val="002A4C96"/>
    <w:rPr>
      <w:rFonts w:ascii="Tahoma" w:hAnsi="Tahoma" w:cs="Tahoma"/>
      <w:sz w:val="16"/>
      <w:szCs w:val="16"/>
      <w:lang w:eastAsia="en-US"/>
    </w:rPr>
  </w:style>
  <w:style w:type="character" w:customStyle="1" w:styleId="DocumentMapChar">
    <w:name w:val="Document Map Char"/>
    <w:basedOn w:val="DefaultParagraphFont"/>
    <w:link w:val="DocumentMap"/>
    <w:semiHidden/>
    <w:rsid w:val="002A4C96"/>
    <w:rPr>
      <w:rFonts w:ascii="Tahoma" w:hAnsi="Tahoma" w:cs="Tahoma"/>
      <w:sz w:val="24"/>
      <w:szCs w:val="24"/>
      <w:shd w:val="clear" w:color="auto" w:fill="000080"/>
      <w:lang w:eastAsia="en-US"/>
    </w:rPr>
  </w:style>
  <w:style w:type="character" w:customStyle="1" w:styleId="EndnoteTextChar">
    <w:name w:val="Endnote Text Char"/>
    <w:basedOn w:val="DefaultParagraphFont"/>
    <w:link w:val="EndnoteText"/>
    <w:semiHidden/>
    <w:rsid w:val="002A4C96"/>
    <w:rPr>
      <w:rFonts w:ascii="Arial" w:hAnsi="Arial"/>
      <w:lang w:eastAsia="en-US"/>
    </w:rPr>
  </w:style>
  <w:style w:type="character" w:customStyle="1" w:styleId="CommentTextChar">
    <w:name w:val="Comment Text Char"/>
    <w:basedOn w:val="DefaultParagraphFont"/>
    <w:link w:val="CommentText"/>
    <w:semiHidden/>
    <w:rsid w:val="002A4C96"/>
    <w:rPr>
      <w:rFonts w:ascii="Arial" w:hAnsi="Arial"/>
      <w:lang w:eastAsia="en-US"/>
    </w:rPr>
  </w:style>
  <w:style w:type="character" w:customStyle="1" w:styleId="CommentSubjectChar">
    <w:name w:val="Comment Subject Char"/>
    <w:basedOn w:val="CommentTextChar"/>
    <w:link w:val="CommentSubject"/>
    <w:semiHidden/>
    <w:rsid w:val="002A4C96"/>
    <w:rPr>
      <w:rFonts w:ascii="Arial" w:hAnsi="Arial"/>
      <w:b/>
      <w:bCs/>
      <w:lang w:eastAsia="en-US"/>
    </w:rPr>
  </w:style>
  <w:style w:type="character" w:customStyle="1" w:styleId="BodyText2Char">
    <w:name w:val="Body Text 2 Char"/>
    <w:basedOn w:val="DefaultParagraphFont"/>
    <w:link w:val="BodyText2"/>
    <w:semiHidden/>
    <w:rsid w:val="002A4C96"/>
    <w:rPr>
      <w:rFonts w:ascii="Arial" w:hAnsi="Arial"/>
      <w:sz w:val="24"/>
      <w:szCs w:val="24"/>
      <w:lang w:eastAsia="en-US"/>
    </w:rPr>
  </w:style>
  <w:style w:type="table" w:styleId="TableGrid">
    <w:name w:val="Table Grid"/>
    <w:basedOn w:val="TableNormal"/>
    <w:rsid w:val="002A4C96"/>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rsid w:val="00EE6B85"/>
    <w:pPr>
      <w:spacing w:before="0" w:after="160" w:line="240" w:lineRule="exact"/>
    </w:pPr>
    <w:rPr>
      <w:sz w:val="20"/>
      <w:szCs w:val="20"/>
      <w:lang w:val="en-US"/>
    </w:rPr>
  </w:style>
  <w:style w:type="character" w:customStyle="1" w:styleId="CharChar141">
    <w:name w:val="Char Char141"/>
    <w:basedOn w:val="DefaultParagraphFont"/>
    <w:rsid w:val="00EE6B85"/>
    <w:rPr>
      <w:rFonts w:ascii="Arial" w:hAnsi="Arial" w:cs="Arial"/>
      <w:b/>
      <w:bCs/>
      <w:iCs/>
      <w:color w:val="008080"/>
      <w:sz w:val="28"/>
      <w:szCs w:val="28"/>
      <w:lang w:val="en-GB" w:eastAsia="en-US" w:bidi="ar-SA"/>
    </w:rPr>
  </w:style>
  <w:style w:type="character" w:customStyle="1" w:styleId="CharChar131">
    <w:name w:val="Char Char131"/>
    <w:basedOn w:val="DefaultParagraphFont"/>
    <w:rsid w:val="00EE6B85"/>
    <w:rPr>
      <w:rFonts w:ascii="Arial" w:hAnsi="Arial" w:cs="Arial"/>
      <w:color w:val="008080"/>
      <w:sz w:val="28"/>
      <w:szCs w:val="28"/>
      <w:lang w:eastAsia="en-US"/>
    </w:rPr>
  </w:style>
  <w:style w:type="character" w:customStyle="1" w:styleId="CharChar121">
    <w:name w:val="Char Char121"/>
    <w:basedOn w:val="DefaultParagraphFont"/>
    <w:rsid w:val="00EE6B85"/>
    <w:rPr>
      <w:rFonts w:ascii="Arial" w:hAnsi="Arial"/>
      <w:bCs/>
      <w:i/>
      <w:color w:val="008080"/>
      <w:sz w:val="24"/>
      <w:szCs w:val="24"/>
      <w:lang w:eastAsia="en-US"/>
    </w:rPr>
  </w:style>
  <w:style w:type="character" w:customStyle="1" w:styleId="CharChar111">
    <w:name w:val="Char Char111"/>
    <w:basedOn w:val="DefaultParagraphFont"/>
    <w:rsid w:val="00EE6B85"/>
    <w:rPr>
      <w:rFonts w:ascii="Arial" w:hAnsi="Arial"/>
      <w:sz w:val="24"/>
      <w:szCs w:val="24"/>
      <w:lang w:eastAsia="en-US"/>
    </w:rPr>
  </w:style>
  <w:style w:type="character" w:customStyle="1" w:styleId="CharChar101">
    <w:name w:val="Char Char101"/>
    <w:basedOn w:val="DefaultParagraphFont"/>
    <w:rsid w:val="00EE6B85"/>
    <w:rPr>
      <w:rFonts w:ascii="Arial" w:hAnsi="Arial"/>
      <w:sz w:val="24"/>
      <w:szCs w:val="24"/>
      <w:lang w:eastAsia="en-US"/>
    </w:rPr>
  </w:style>
  <w:style w:type="character" w:customStyle="1" w:styleId="CharChar81">
    <w:name w:val="Char Char81"/>
    <w:basedOn w:val="DefaultParagraphFont"/>
    <w:rsid w:val="00EE6B85"/>
    <w:rPr>
      <w:sz w:val="16"/>
      <w:szCs w:val="16"/>
      <w:lang w:eastAsia="en-US"/>
    </w:rPr>
  </w:style>
  <w:style w:type="character" w:customStyle="1" w:styleId="CharChar71">
    <w:name w:val="Char Char71"/>
    <w:basedOn w:val="DefaultParagraphFont"/>
    <w:rsid w:val="00EE6B85"/>
    <w:rPr>
      <w:rFonts w:ascii="Arial" w:hAnsi="Arial"/>
      <w:sz w:val="24"/>
      <w:szCs w:val="24"/>
      <w:lang w:eastAsia="en-US"/>
    </w:rPr>
  </w:style>
  <w:style w:type="character" w:customStyle="1" w:styleId="CharChar61">
    <w:name w:val="Char Char61"/>
    <w:basedOn w:val="DefaultParagraphFont"/>
    <w:rsid w:val="00EE6B85"/>
    <w:rPr>
      <w:rFonts w:ascii="Arial" w:hAnsi="Arial"/>
      <w:sz w:val="16"/>
      <w:szCs w:val="16"/>
      <w:lang w:eastAsia="en-US"/>
    </w:rPr>
  </w:style>
  <w:style w:type="character" w:customStyle="1" w:styleId="CharChar51">
    <w:name w:val="Char Char51"/>
    <w:basedOn w:val="DefaultParagraphFont"/>
    <w:rsid w:val="00EE6B85"/>
    <w:rPr>
      <w:sz w:val="24"/>
      <w:szCs w:val="24"/>
      <w:lang w:eastAsia="en-US"/>
    </w:rPr>
  </w:style>
  <w:style w:type="character" w:customStyle="1" w:styleId="CharChar15">
    <w:name w:val="Char Char15"/>
    <w:basedOn w:val="DefaultParagraphFont"/>
    <w:rsid w:val="00EE6B85"/>
    <w:rPr>
      <w:rFonts w:ascii="Arial" w:hAnsi="Arial"/>
      <w:sz w:val="24"/>
      <w:szCs w:val="24"/>
      <w:lang w:eastAsia="en-US"/>
    </w:rPr>
  </w:style>
  <w:style w:type="paragraph" w:styleId="TOCHeading">
    <w:name w:val="TOC Heading"/>
    <w:basedOn w:val="Heading1"/>
    <w:next w:val="Normal"/>
    <w:uiPriority w:val="39"/>
    <w:semiHidden/>
    <w:unhideWhenUsed/>
    <w:qFormat/>
    <w:rsid w:val="00EE6B85"/>
    <w:pPr>
      <w:keepLines/>
      <w:numPr>
        <w:numId w:val="0"/>
      </w:numPr>
      <w:spacing w:before="480" w:after="0" w:line="276" w:lineRule="auto"/>
      <w:outlineLvl w:val="9"/>
    </w:pPr>
    <w:rPr>
      <w:rFonts w:ascii="Cambria" w:hAnsi="Cambria" w:cs="Times New Roman"/>
      <w:color w:val="365F91"/>
      <w:kern w:val="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7554">
      <w:bodyDiv w:val="1"/>
      <w:marLeft w:val="0"/>
      <w:marRight w:val="0"/>
      <w:marTop w:val="0"/>
      <w:marBottom w:val="0"/>
      <w:divBdr>
        <w:top w:val="none" w:sz="0" w:space="0" w:color="auto"/>
        <w:left w:val="none" w:sz="0" w:space="0" w:color="auto"/>
        <w:bottom w:val="none" w:sz="0" w:space="0" w:color="auto"/>
        <w:right w:val="none" w:sz="0" w:space="0" w:color="auto"/>
      </w:divBdr>
    </w:div>
    <w:div w:id="11490727">
      <w:bodyDiv w:val="1"/>
      <w:marLeft w:val="0"/>
      <w:marRight w:val="0"/>
      <w:marTop w:val="0"/>
      <w:marBottom w:val="0"/>
      <w:divBdr>
        <w:top w:val="none" w:sz="0" w:space="0" w:color="auto"/>
        <w:left w:val="none" w:sz="0" w:space="0" w:color="auto"/>
        <w:bottom w:val="none" w:sz="0" w:space="0" w:color="auto"/>
        <w:right w:val="none" w:sz="0" w:space="0" w:color="auto"/>
      </w:divBdr>
    </w:div>
    <w:div w:id="15086867">
      <w:bodyDiv w:val="1"/>
      <w:marLeft w:val="0"/>
      <w:marRight w:val="0"/>
      <w:marTop w:val="0"/>
      <w:marBottom w:val="0"/>
      <w:divBdr>
        <w:top w:val="none" w:sz="0" w:space="0" w:color="auto"/>
        <w:left w:val="none" w:sz="0" w:space="0" w:color="auto"/>
        <w:bottom w:val="none" w:sz="0" w:space="0" w:color="auto"/>
        <w:right w:val="none" w:sz="0" w:space="0" w:color="auto"/>
      </w:divBdr>
    </w:div>
    <w:div w:id="28067916">
      <w:bodyDiv w:val="1"/>
      <w:marLeft w:val="0"/>
      <w:marRight w:val="0"/>
      <w:marTop w:val="0"/>
      <w:marBottom w:val="0"/>
      <w:divBdr>
        <w:top w:val="none" w:sz="0" w:space="0" w:color="auto"/>
        <w:left w:val="none" w:sz="0" w:space="0" w:color="auto"/>
        <w:bottom w:val="none" w:sz="0" w:space="0" w:color="auto"/>
        <w:right w:val="none" w:sz="0" w:space="0" w:color="auto"/>
      </w:divBdr>
    </w:div>
    <w:div w:id="31730497">
      <w:bodyDiv w:val="1"/>
      <w:marLeft w:val="0"/>
      <w:marRight w:val="0"/>
      <w:marTop w:val="0"/>
      <w:marBottom w:val="0"/>
      <w:divBdr>
        <w:top w:val="none" w:sz="0" w:space="0" w:color="auto"/>
        <w:left w:val="none" w:sz="0" w:space="0" w:color="auto"/>
        <w:bottom w:val="none" w:sz="0" w:space="0" w:color="auto"/>
        <w:right w:val="none" w:sz="0" w:space="0" w:color="auto"/>
      </w:divBdr>
    </w:div>
    <w:div w:id="34742600">
      <w:bodyDiv w:val="1"/>
      <w:marLeft w:val="0"/>
      <w:marRight w:val="0"/>
      <w:marTop w:val="0"/>
      <w:marBottom w:val="0"/>
      <w:divBdr>
        <w:top w:val="none" w:sz="0" w:space="0" w:color="auto"/>
        <w:left w:val="none" w:sz="0" w:space="0" w:color="auto"/>
        <w:bottom w:val="none" w:sz="0" w:space="0" w:color="auto"/>
        <w:right w:val="none" w:sz="0" w:space="0" w:color="auto"/>
      </w:divBdr>
    </w:div>
    <w:div w:id="35739839">
      <w:bodyDiv w:val="1"/>
      <w:marLeft w:val="0"/>
      <w:marRight w:val="0"/>
      <w:marTop w:val="0"/>
      <w:marBottom w:val="0"/>
      <w:divBdr>
        <w:top w:val="none" w:sz="0" w:space="0" w:color="auto"/>
        <w:left w:val="none" w:sz="0" w:space="0" w:color="auto"/>
        <w:bottom w:val="none" w:sz="0" w:space="0" w:color="auto"/>
        <w:right w:val="none" w:sz="0" w:space="0" w:color="auto"/>
      </w:divBdr>
    </w:div>
    <w:div w:id="40594058">
      <w:bodyDiv w:val="1"/>
      <w:marLeft w:val="0"/>
      <w:marRight w:val="0"/>
      <w:marTop w:val="0"/>
      <w:marBottom w:val="0"/>
      <w:divBdr>
        <w:top w:val="none" w:sz="0" w:space="0" w:color="auto"/>
        <w:left w:val="none" w:sz="0" w:space="0" w:color="auto"/>
        <w:bottom w:val="none" w:sz="0" w:space="0" w:color="auto"/>
        <w:right w:val="none" w:sz="0" w:space="0" w:color="auto"/>
      </w:divBdr>
    </w:div>
    <w:div w:id="40860216">
      <w:bodyDiv w:val="1"/>
      <w:marLeft w:val="0"/>
      <w:marRight w:val="0"/>
      <w:marTop w:val="0"/>
      <w:marBottom w:val="0"/>
      <w:divBdr>
        <w:top w:val="none" w:sz="0" w:space="0" w:color="auto"/>
        <w:left w:val="none" w:sz="0" w:space="0" w:color="auto"/>
        <w:bottom w:val="none" w:sz="0" w:space="0" w:color="auto"/>
        <w:right w:val="none" w:sz="0" w:space="0" w:color="auto"/>
      </w:divBdr>
    </w:div>
    <w:div w:id="43916613">
      <w:bodyDiv w:val="1"/>
      <w:marLeft w:val="0"/>
      <w:marRight w:val="0"/>
      <w:marTop w:val="0"/>
      <w:marBottom w:val="0"/>
      <w:divBdr>
        <w:top w:val="none" w:sz="0" w:space="0" w:color="auto"/>
        <w:left w:val="none" w:sz="0" w:space="0" w:color="auto"/>
        <w:bottom w:val="none" w:sz="0" w:space="0" w:color="auto"/>
        <w:right w:val="none" w:sz="0" w:space="0" w:color="auto"/>
      </w:divBdr>
    </w:div>
    <w:div w:id="47994458">
      <w:bodyDiv w:val="1"/>
      <w:marLeft w:val="0"/>
      <w:marRight w:val="0"/>
      <w:marTop w:val="0"/>
      <w:marBottom w:val="0"/>
      <w:divBdr>
        <w:top w:val="none" w:sz="0" w:space="0" w:color="auto"/>
        <w:left w:val="none" w:sz="0" w:space="0" w:color="auto"/>
        <w:bottom w:val="none" w:sz="0" w:space="0" w:color="auto"/>
        <w:right w:val="none" w:sz="0" w:space="0" w:color="auto"/>
      </w:divBdr>
    </w:div>
    <w:div w:id="49889657">
      <w:bodyDiv w:val="1"/>
      <w:marLeft w:val="0"/>
      <w:marRight w:val="0"/>
      <w:marTop w:val="0"/>
      <w:marBottom w:val="0"/>
      <w:divBdr>
        <w:top w:val="none" w:sz="0" w:space="0" w:color="auto"/>
        <w:left w:val="none" w:sz="0" w:space="0" w:color="auto"/>
        <w:bottom w:val="none" w:sz="0" w:space="0" w:color="auto"/>
        <w:right w:val="none" w:sz="0" w:space="0" w:color="auto"/>
      </w:divBdr>
    </w:div>
    <w:div w:id="50228116">
      <w:bodyDiv w:val="1"/>
      <w:marLeft w:val="0"/>
      <w:marRight w:val="0"/>
      <w:marTop w:val="0"/>
      <w:marBottom w:val="0"/>
      <w:divBdr>
        <w:top w:val="none" w:sz="0" w:space="0" w:color="auto"/>
        <w:left w:val="none" w:sz="0" w:space="0" w:color="auto"/>
        <w:bottom w:val="none" w:sz="0" w:space="0" w:color="auto"/>
        <w:right w:val="none" w:sz="0" w:space="0" w:color="auto"/>
      </w:divBdr>
    </w:div>
    <w:div w:id="61299654">
      <w:bodyDiv w:val="1"/>
      <w:marLeft w:val="0"/>
      <w:marRight w:val="0"/>
      <w:marTop w:val="0"/>
      <w:marBottom w:val="0"/>
      <w:divBdr>
        <w:top w:val="none" w:sz="0" w:space="0" w:color="auto"/>
        <w:left w:val="none" w:sz="0" w:space="0" w:color="auto"/>
        <w:bottom w:val="none" w:sz="0" w:space="0" w:color="auto"/>
        <w:right w:val="none" w:sz="0" w:space="0" w:color="auto"/>
      </w:divBdr>
    </w:div>
    <w:div w:id="62988546">
      <w:bodyDiv w:val="1"/>
      <w:marLeft w:val="0"/>
      <w:marRight w:val="0"/>
      <w:marTop w:val="0"/>
      <w:marBottom w:val="0"/>
      <w:divBdr>
        <w:top w:val="none" w:sz="0" w:space="0" w:color="auto"/>
        <w:left w:val="none" w:sz="0" w:space="0" w:color="auto"/>
        <w:bottom w:val="none" w:sz="0" w:space="0" w:color="auto"/>
        <w:right w:val="none" w:sz="0" w:space="0" w:color="auto"/>
      </w:divBdr>
    </w:div>
    <w:div w:id="66463285">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72701255">
      <w:bodyDiv w:val="1"/>
      <w:marLeft w:val="0"/>
      <w:marRight w:val="0"/>
      <w:marTop w:val="0"/>
      <w:marBottom w:val="0"/>
      <w:divBdr>
        <w:top w:val="none" w:sz="0" w:space="0" w:color="auto"/>
        <w:left w:val="none" w:sz="0" w:space="0" w:color="auto"/>
        <w:bottom w:val="none" w:sz="0" w:space="0" w:color="auto"/>
        <w:right w:val="none" w:sz="0" w:space="0" w:color="auto"/>
      </w:divBdr>
    </w:div>
    <w:div w:id="77143628">
      <w:bodyDiv w:val="1"/>
      <w:marLeft w:val="0"/>
      <w:marRight w:val="0"/>
      <w:marTop w:val="0"/>
      <w:marBottom w:val="0"/>
      <w:divBdr>
        <w:top w:val="none" w:sz="0" w:space="0" w:color="auto"/>
        <w:left w:val="none" w:sz="0" w:space="0" w:color="auto"/>
        <w:bottom w:val="none" w:sz="0" w:space="0" w:color="auto"/>
        <w:right w:val="none" w:sz="0" w:space="0" w:color="auto"/>
      </w:divBdr>
    </w:div>
    <w:div w:id="86005277">
      <w:bodyDiv w:val="1"/>
      <w:marLeft w:val="0"/>
      <w:marRight w:val="0"/>
      <w:marTop w:val="0"/>
      <w:marBottom w:val="0"/>
      <w:divBdr>
        <w:top w:val="none" w:sz="0" w:space="0" w:color="auto"/>
        <w:left w:val="none" w:sz="0" w:space="0" w:color="auto"/>
        <w:bottom w:val="none" w:sz="0" w:space="0" w:color="auto"/>
        <w:right w:val="none" w:sz="0" w:space="0" w:color="auto"/>
      </w:divBdr>
    </w:div>
    <w:div w:id="94907583">
      <w:bodyDiv w:val="1"/>
      <w:marLeft w:val="0"/>
      <w:marRight w:val="0"/>
      <w:marTop w:val="0"/>
      <w:marBottom w:val="0"/>
      <w:divBdr>
        <w:top w:val="none" w:sz="0" w:space="0" w:color="auto"/>
        <w:left w:val="none" w:sz="0" w:space="0" w:color="auto"/>
        <w:bottom w:val="none" w:sz="0" w:space="0" w:color="auto"/>
        <w:right w:val="none" w:sz="0" w:space="0" w:color="auto"/>
      </w:divBdr>
    </w:div>
    <w:div w:id="98793643">
      <w:bodyDiv w:val="1"/>
      <w:marLeft w:val="0"/>
      <w:marRight w:val="0"/>
      <w:marTop w:val="0"/>
      <w:marBottom w:val="0"/>
      <w:divBdr>
        <w:top w:val="none" w:sz="0" w:space="0" w:color="auto"/>
        <w:left w:val="none" w:sz="0" w:space="0" w:color="auto"/>
        <w:bottom w:val="none" w:sz="0" w:space="0" w:color="auto"/>
        <w:right w:val="none" w:sz="0" w:space="0" w:color="auto"/>
      </w:divBdr>
    </w:div>
    <w:div w:id="99303328">
      <w:bodyDiv w:val="1"/>
      <w:marLeft w:val="0"/>
      <w:marRight w:val="0"/>
      <w:marTop w:val="0"/>
      <w:marBottom w:val="0"/>
      <w:divBdr>
        <w:top w:val="none" w:sz="0" w:space="0" w:color="auto"/>
        <w:left w:val="none" w:sz="0" w:space="0" w:color="auto"/>
        <w:bottom w:val="none" w:sz="0" w:space="0" w:color="auto"/>
        <w:right w:val="none" w:sz="0" w:space="0" w:color="auto"/>
      </w:divBdr>
    </w:div>
    <w:div w:id="103307157">
      <w:bodyDiv w:val="1"/>
      <w:marLeft w:val="0"/>
      <w:marRight w:val="0"/>
      <w:marTop w:val="0"/>
      <w:marBottom w:val="0"/>
      <w:divBdr>
        <w:top w:val="none" w:sz="0" w:space="0" w:color="auto"/>
        <w:left w:val="none" w:sz="0" w:space="0" w:color="auto"/>
        <w:bottom w:val="none" w:sz="0" w:space="0" w:color="auto"/>
        <w:right w:val="none" w:sz="0" w:space="0" w:color="auto"/>
      </w:divBdr>
    </w:div>
    <w:div w:id="111479256">
      <w:bodyDiv w:val="1"/>
      <w:marLeft w:val="0"/>
      <w:marRight w:val="0"/>
      <w:marTop w:val="0"/>
      <w:marBottom w:val="0"/>
      <w:divBdr>
        <w:top w:val="none" w:sz="0" w:space="0" w:color="auto"/>
        <w:left w:val="none" w:sz="0" w:space="0" w:color="auto"/>
        <w:bottom w:val="none" w:sz="0" w:space="0" w:color="auto"/>
        <w:right w:val="none" w:sz="0" w:space="0" w:color="auto"/>
      </w:divBdr>
    </w:div>
    <w:div w:id="112137185">
      <w:bodyDiv w:val="1"/>
      <w:marLeft w:val="0"/>
      <w:marRight w:val="0"/>
      <w:marTop w:val="0"/>
      <w:marBottom w:val="0"/>
      <w:divBdr>
        <w:top w:val="none" w:sz="0" w:space="0" w:color="auto"/>
        <w:left w:val="none" w:sz="0" w:space="0" w:color="auto"/>
        <w:bottom w:val="none" w:sz="0" w:space="0" w:color="auto"/>
        <w:right w:val="none" w:sz="0" w:space="0" w:color="auto"/>
      </w:divBdr>
    </w:div>
    <w:div w:id="114254217">
      <w:bodyDiv w:val="1"/>
      <w:marLeft w:val="0"/>
      <w:marRight w:val="0"/>
      <w:marTop w:val="0"/>
      <w:marBottom w:val="0"/>
      <w:divBdr>
        <w:top w:val="none" w:sz="0" w:space="0" w:color="auto"/>
        <w:left w:val="none" w:sz="0" w:space="0" w:color="auto"/>
        <w:bottom w:val="none" w:sz="0" w:space="0" w:color="auto"/>
        <w:right w:val="none" w:sz="0" w:space="0" w:color="auto"/>
      </w:divBdr>
    </w:div>
    <w:div w:id="125127489">
      <w:bodyDiv w:val="1"/>
      <w:marLeft w:val="0"/>
      <w:marRight w:val="0"/>
      <w:marTop w:val="0"/>
      <w:marBottom w:val="0"/>
      <w:divBdr>
        <w:top w:val="none" w:sz="0" w:space="0" w:color="auto"/>
        <w:left w:val="none" w:sz="0" w:space="0" w:color="auto"/>
        <w:bottom w:val="none" w:sz="0" w:space="0" w:color="auto"/>
        <w:right w:val="none" w:sz="0" w:space="0" w:color="auto"/>
      </w:divBdr>
    </w:div>
    <w:div w:id="125203444">
      <w:bodyDiv w:val="1"/>
      <w:marLeft w:val="0"/>
      <w:marRight w:val="0"/>
      <w:marTop w:val="0"/>
      <w:marBottom w:val="0"/>
      <w:divBdr>
        <w:top w:val="none" w:sz="0" w:space="0" w:color="auto"/>
        <w:left w:val="none" w:sz="0" w:space="0" w:color="auto"/>
        <w:bottom w:val="none" w:sz="0" w:space="0" w:color="auto"/>
        <w:right w:val="none" w:sz="0" w:space="0" w:color="auto"/>
      </w:divBdr>
    </w:div>
    <w:div w:id="125854145">
      <w:bodyDiv w:val="1"/>
      <w:marLeft w:val="0"/>
      <w:marRight w:val="0"/>
      <w:marTop w:val="0"/>
      <w:marBottom w:val="0"/>
      <w:divBdr>
        <w:top w:val="none" w:sz="0" w:space="0" w:color="auto"/>
        <w:left w:val="none" w:sz="0" w:space="0" w:color="auto"/>
        <w:bottom w:val="none" w:sz="0" w:space="0" w:color="auto"/>
        <w:right w:val="none" w:sz="0" w:space="0" w:color="auto"/>
      </w:divBdr>
    </w:div>
    <w:div w:id="129396907">
      <w:bodyDiv w:val="1"/>
      <w:marLeft w:val="0"/>
      <w:marRight w:val="0"/>
      <w:marTop w:val="0"/>
      <w:marBottom w:val="0"/>
      <w:divBdr>
        <w:top w:val="none" w:sz="0" w:space="0" w:color="auto"/>
        <w:left w:val="none" w:sz="0" w:space="0" w:color="auto"/>
        <w:bottom w:val="none" w:sz="0" w:space="0" w:color="auto"/>
        <w:right w:val="none" w:sz="0" w:space="0" w:color="auto"/>
      </w:divBdr>
    </w:div>
    <w:div w:id="141121378">
      <w:bodyDiv w:val="1"/>
      <w:marLeft w:val="0"/>
      <w:marRight w:val="0"/>
      <w:marTop w:val="0"/>
      <w:marBottom w:val="0"/>
      <w:divBdr>
        <w:top w:val="none" w:sz="0" w:space="0" w:color="auto"/>
        <w:left w:val="none" w:sz="0" w:space="0" w:color="auto"/>
        <w:bottom w:val="none" w:sz="0" w:space="0" w:color="auto"/>
        <w:right w:val="none" w:sz="0" w:space="0" w:color="auto"/>
      </w:divBdr>
    </w:div>
    <w:div w:id="144014343">
      <w:bodyDiv w:val="1"/>
      <w:marLeft w:val="0"/>
      <w:marRight w:val="0"/>
      <w:marTop w:val="0"/>
      <w:marBottom w:val="0"/>
      <w:divBdr>
        <w:top w:val="none" w:sz="0" w:space="0" w:color="auto"/>
        <w:left w:val="none" w:sz="0" w:space="0" w:color="auto"/>
        <w:bottom w:val="none" w:sz="0" w:space="0" w:color="auto"/>
        <w:right w:val="none" w:sz="0" w:space="0" w:color="auto"/>
      </w:divBdr>
    </w:div>
    <w:div w:id="147212200">
      <w:bodyDiv w:val="1"/>
      <w:marLeft w:val="0"/>
      <w:marRight w:val="0"/>
      <w:marTop w:val="0"/>
      <w:marBottom w:val="0"/>
      <w:divBdr>
        <w:top w:val="none" w:sz="0" w:space="0" w:color="auto"/>
        <w:left w:val="none" w:sz="0" w:space="0" w:color="auto"/>
        <w:bottom w:val="none" w:sz="0" w:space="0" w:color="auto"/>
        <w:right w:val="none" w:sz="0" w:space="0" w:color="auto"/>
      </w:divBdr>
    </w:div>
    <w:div w:id="148983435">
      <w:bodyDiv w:val="1"/>
      <w:marLeft w:val="0"/>
      <w:marRight w:val="0"/>
      <w:marTop w:val="0"/>
      <w:marBottom w:val="0"/>
      <w:divBdr>
        <w:top w:val="none" w:sz="0" w:space="0" w:color="auto"/>
        <w:left w:val="none" w:sz="0" w:space="0" w:color="auto"/>
        <w:bottom w:val="none" w:sz="0" w:space="0" w:color="auto"/>
        <w:right w:val="none" w:sz="0" w:space="0" w:color="auto"/>
      </w:divBdr>
    </w:div>
    <w:div w:id="153112829">
      <w:bodyDiv w:val="1"/>
      <w:marLeft w:val="0"/>
      <w:marRight w:val="0"/>
      <w:marTop w:val="0"/>
      <w:marBottom w:val="0"/>
      <w:divBdr>
        <w:top w:val="none" w:sz="0" w:space="0" w:color="auto"/>
        <w:left w:val="none" w:sz="0" w:space="0" w:color="auto"/>
        <w:bottom w:val="none" w:sz="0" w:space="0" w:color="auto"/>
        <w:right w:val="none" w:sz="0" w:space="0" w:color="auto"/>
      </w:divBdr>
    </w:div>
    <w:div w:id="159081898">
      <w:bodyDiv w:val="1"/>
      <w:marLeft w:val="0"/>
      <w:marRight w:val="0"/>
      <w:marTop w:val="0"/>
      <w:marBottom w:val="0"/>
      <w:divBdr>
        <w:top w:val="none" w:sz="0" w:space="0" w:color="auto"/>
        <w:left w:val="none" w:sz="0" w:space="0" w:color="auto"/>
        <w:bottom w:val="none" w:sz="0" w:space="0" w:color="auto"/>
        <w:right w:val="none" w:sz="0" w:space="0" w:color="auto"/>
      </w:divBdr>
    </w:div>
    <w:div w:id="181480694">
      <w:bodyDiv w:val="1"/>
      <w:marLeft w:val="0"/>
      <w:marRight w:val="0"/>
      <w:marTop w:val="0"/>
      <w:marBottom w:val="0"/>
      <w:divBdr>
        <w:top w:val="none" w:sz="0" w:space="0" w:color="auto"/>
        <w:left w:val="none" w:sz="0" w:space="0" w:color="auto"/>
        <w:bottom w:val="none" w:sz="0" w:space="0" w:color="auto"/>
        <w:right w:val="none" w:sz="0" w:space="0" w:color="auto"/>
      </w:divBdr>
    </w:div>
    <w:div w:id="182548601">
      <w:bodyDiv w:val="1"/>
      <w:marLeft w:val="0"/>
      <w:marRight w:val="0"/>
      <w:marTop w:val="0"/>
      <w:marBottom w:val="0"/>
      <w:divBdr>
        <w:top w:val="none" w:sz="0" w:space="0" w:color="auto"/>
        <w:left w:val="none" w:sz="0" w:space="0" w:color="auto"/>
        <w:bottom w:val="none" w:sz="0" w:space="0" w:color="auto"/>
        <w:right w:val="none" w:sz="0" w:space="0" w:color="auto"/>
      </w:divBdr>
    </w:div>
    <w:div w:id="187331179">
      <w:bodyDiv w:val="1"/>
      <w:marLeft w:val="0"/>
      <w:marRight w:val="0"/>
      <w:marTop w:val="0"/>
      <w:marBottom w:val="0"/>
      <w:divBdr>
        <w:top w:val="none" w:sz="0" w:space="0" w:color="auto"/>
        <w:left w:val="none" w:sz="0" w:space="0" w:color="auto"/>
        <w:bottom w:val="none" w:sz="0" w:space="0" w:color="auto"/>
        <w:right w:val="none" w:sz="0" w:space="0" w:color="auto"/>
      </w:divBdr>
    </w:div>
    <w:div w:id="189729278">
      <w:bodyDiv w:val="1"/>
      <w:marLeft w:val="0"/>
      <w:marRight w:val="0"/>
      <w:marTop w:val="0"/>
      <w:marBottom w:val="0"/>
      <w:divBdr>
        <w:top w:val="none" w:sz="0" w:space="0" w:color="auto"/>
        <w:left w:val="none" w:sz="0" w:space="0" w:color="auto"/>
        <w:bottom w:val="none" w:sz="0" w:space="0" w:color="auto"/>
        <w:right w:val="none" w:sz="0" w:space="0" w:color="auto"/>
      </w:divBdr>
    </w:div>
    <w:div w:id="191462854">
      <w:bodyDiv w:val="1"/>
      <w:marLeft w:val="0"/>
      <w:marRight w:val="0"/>
      <w:marTop w:val="0"/>
      <w:marBottom w:val="0"/>
      <w:divBdr>
        <w:top w:val="none" w:sz="0" w:space="0" w:color="auto"/>
        <w:left w:val="none" w:sz="0" w:space="0" w:color="auto"/>
        <w:bottom w:val="none" w:sz="0" w:space="0" w:color="auto"/>
        <w:right w:val="none" w:sz="0" w:space="0" w:color="auto"/>
      </w:divBdr>
    </w:div>
    <w:div w:id="193929672">
      <w:bodyDiv w:val="1"/>
      <w:marLeft w:val="0"/>
      <w:marRight w:val="0"/>
      <w:marTop w:val="0"/>
      <w:marBottom w:val="0"/>
      <w:divBdr>
        <w:top w:val="none" w:sz="0" w:space="0" w:color="auto"/>
        <w:left w:val="none" w:sz="0" w:space="0" w:color="auto"/>
        <w:bottom w:val="none" w:sz="0" w:space="0" w:color="auto"/>
        <w:right w:val="none" w:sz="0" w:space="0" w:color="auto"/>
      </w:divBdr>
    </w:div>
    <w:div w:id="194851597">
      <w:bodyDiv w:val="1"/>
      <w:marLeft w:val="0"/>
      <w:marRight w:val="0"/>
      <w:marTop w:val="0"/>
      <w:marBottom w:val="0"/>
      <w:divBdr>
        <w:top w:val="none" w:sz="0" w:space="0" w:color="auto"/>
        <w:left w:val="none" w:sz="0" w:space="0" w:color="auto"/>
        <w:bottom w:val="none" w:sz="0" w:space="0" w:color="auto"/>
        <w:right w:val="none" w:sz="0" w:space="0" w:color="auto"/>
      </w:divBdr>
    </w:div>
    <w:div w:id="197205756">
      <w:bodyDiv w:val="1"/>
      <w:marLeft w:val="0"/>
      <w:marRight w:val="0"/>
      <w:marTop w:val="0"/>
      <w:marBottom w:val="0"/>
      <w:divBdr>
        <w:top w:val="none" w:sz="0" w:space="0" w:color="auto"/>
        <w:left w:val="none" w:sz="0" w:space="0" w:color="auto"/>
        <w:bottom w:val="none" w:sz="0" w:space="0" w:color="auto"/>
        <w:right w:val="none" w:sz="0" w:space="0" w:color="auto"/>
      </w:divBdr>
    </w:div>
    <w:div w:id="198510960">
      <w:bodyDiv w:val="1"/>
      <w:marLeft w:val="0"/>
      <w:marRight w:val="0"/>
      <w:marTop w:val="0"/>
      <w:marBottom w:val="0"/>
      <w:divBdr>
        <w:top w:val="none" w:sz="0" w:space="0" w:color="auto"/>
        <w:left w:val="none" w:sz="0" w:space="0" w:color="auto"/>
        <w:bottom w:val="none" w:sz="0" w:space="0" w:color="auto"/>
        <w:right w:val="none" w:sz="0" w:space="0" w:color="auto"/>
      </w:divBdr>
    </w:div>
    <w:div w:id="203449011">
      <w:bodyDiv w:val="1"/>
      <w:marLeft w:val="0"/>
      <w:marRight w:val="0"/>
      <w:marTop w:val="0"/>
      <w:marBottom w:val="0"/>
      <w:divBdr>
        <w:top w:val="none" w:sz="0" w:space="0" w:color="auto"/>
        <w:left w:val="none" w:sz="0" w:space="0" w:color="auto"/>
        <w:bottom w:val="none" w:sz="0" w:space="0" w:color="auto"/>
        <w:right w:val="none" w:sz="0" w:space="0" w:color="auto"/>
      </w:divBdr>
    </w:div>
    <w:div w:id="205264233">
      <w:bodyDiv w:val="1"/>
      <w:marLeft w:val="0"/>
      <w:marRight w:val="0"/>
      <w:marTop w:val="0"/>
      <w:marBottom w:val="0"/>
      <w:divBdr>
        <w:top w:val="none" w:sz="0" w:space="0" w:color="auto"/>
        <w:left w:val="none" w:sz="0" w:space="0" w:color="auto"/>
        <w:bottom w:val="none" w:sz="0" w:space="0" w:color="auto"/>
        <w:right w:val="none" w:sz="0" w:space="0" w:color="auto"/>
      </w:divBdr>
    </w:div>
    <w:div w:id="206335320">
      <w:bodyDiv w:val="1"/>
      <w:marLeft w:val="0"/>
      <w:marRight w:val="0"/>
      <w:marTop w:val="0"/>
      <w:marBottom w:val="0"/>
      <w:divBdr>
        <w:top w:val="none" w:sz="0" w:space="0" w:color="auto"/>
        <w:left w:val="none" w:sz="0" w:space="0" w:color="auto"/>
        <w:bottom w:val="none" w:sz="0" w:space="0" w:color="auto"/>
        <w:right w:val="none" w:sz="0" w:space="0" w:color="auto"/>
      </w:divBdr>
    </w:div>
    <w:div w:id="230435419">
      <w:bodyDiv w:val="1"/>
      <w:marLeft w:val="0"/>
      <w:marRight w:val="0"/>
      <w:marTop w:val="0"/>
      <w:marBottom w:val="0"/>
      <w:divBdr>
        <w:top w:val="none" w:sz="0" w:space="0" w:color="auto"/>
        <w:left w:val="none" w:sz="0" w:space="0" w:color="auto"/>
        <w:bottom w:val="none" w:sz="0" w:space="0" w:color="auto"/>
        <w:right w:val="none" w:sz="0" w:space="0" w:color="auto"/>
      </w:divBdr>
    </w:div>
    <w:div w:id="231239684">
      <w:bodyDiv w:val="1"/>
      <w:marLeft w:val="0"/>
      <w:marRight w:val="0"/>
      <w:marTop w:val="0"/>
      <w:marBottom w:val="0"/>
      <w:divBdr>
        <w:top w:val="none" w:sz="0" w:space="0" w:color="auto"/>
        <w:left w:val="none" w:sz="0" w:space="0" w:color="auto"/>
        <w:bottom w:val="none" w:sz="0" w:space="0" w:color="auto"/>
        <w:right w:val="none" w:sz="0" w:space="0" w:color="auto"/>
      </w:divBdr>
    </w:div>
    <w:div w:id="231816320">
      <w:bodyDiv w:val="1"/>
      <w:marLeft w:val="0"/>
      <w:marRight w:val="0"/>
      <w:marTop w:val="0"/>
      <w:marBottom w:val="0"/>
      <w:divBdr>
        <w:top w:val="none" w:sz="0" w:space="0" w:color="auto"/>
        <w:left w:val="none" w:sz="0" w:space="0" w:color="auto"/>
        <w:bottom w:val="none" w:sz="0" w:space="0" w:color="auto"/>
        <w:right w:val="none" w:sz="0" w:space="0" w:color="auto"/>
      </w:divBdr>
    </w:div>
    <w:div w:id="233246372">
      <w:bodyDiv w:val="1"/>
      <w:marLeft w:val="0"/>
      <w:marRight w:val="0"/>
      <w:marTop w:val="0"/>
      <w:marBottom w:val="0"/>
      <w:divBdr>
        <w:top w:val="none" w:sz="0" w:space="0" w:color="auto"/>
        <w:left w:val="none" w:sz="0" w:space="0" w:color="auto"/>
        <w:bottom w:val="none" w:sz="0" w:space="0" w:color="auto"/>
        <w:right w:val="none" w:sz="0" w:space="0" w:color="auto"/>
      </w:divBdr>
    </w:div>
    <w:div w:id="239486090">
      <w:bodyDiv w:val="1"/>
      <w:marLeft w:val="0"/>
      <w:marRight w:val="0"/>
      <w:marTop w:val="0"/>
      <w:marBottom w:val="0"/>
      <w:divBdr>
        <w:top w:val="none" w:sz="0" w:space="0" w:color="auto"/>
        <w:left w:val="none" w:sz="0" w:space="0" w:color="auto"/>
        <w:bottom w:val="none" w:sz="0" w:space="0" w:color="auto"/>
        <w:right w:val="none" w:sz="0" w:space="0" w:color="auto"/>
      </w:divBdr>
    </w:div>
    <w:div w:id="253978846">
      <w:bodyDiv w:val="1"/>
      <w:marLeft w:val="0"/>
      <w:marRight w:val="0"/>
      <w:marTop w:val="0"/>
      <w:marBottom w:val="0"/>
      <w:divBdr>
        <w:top w:val="none" w:sz="0" w:space="0" w:color="auto"/>
        <w:left w:val="none" w:sz="0" w:space="0" w:color="auto"/>
        <w:bottom w:val="none" w:sz="0" w:space="0" w:color="auto"/>
        <w:right w:val="none" w:sz="0" w:space="0" w:color="auto"/>
      </w:divBdr>
    </w:div>
    <w:div w:id="261651723">
      <w:bodyDiv w:val="1"/>
      <w:marLeft w:val="0"/>
      <w:marRight w:val="0"/>
      <w:marTop w:val="0"/>
      <w:marBottom w:val="0"/>
      <w:divBdr>
        <w:top w:val="none" w:sz="0" w:space="0" w:color="auto"/>
        <w:left w:val="none" w:sz="0" w:space="0" w:color="auto"/>
        <w:bottom w:val="none" w:sz="0" w:space="0" w:color="auto"/>
        <w:right w:val="none" w:sz="0" w:space="0" w:color="auto"/>
      </w:divBdr>
    </w:div>
    <w:div w:id="269705241">
      <w:bodyDiv w:val="1"/>
      <w:marLeft w:val="0"/>
      <w:marRight w:val="0"/>
      <w:marTop w:val="0"/>
      <w:marBottom w:val="0"/>
      <w:divBdr>
        <w:top w:val="none" w:sz="0" w:space="0" w:color="auto"/>
        <w:left w:val="none" w:sz="0" w:space="0" w:color="auto"/>
        <w:bottom w:val="none" w:sz="0" w:space="0" w:color="auto"/>
        <w:right w:val="none" w:sz="0" w:space="0" w:color="auto"/>
      </w:divBdr>
    </w:div>
    <w:div w:id="270480914">
      <w:bodyDiv w:val="1"/>
      <w:marLeft w:val="0"/>
      <w:marRight w:val="0"/>
      <w:marTop w:val="0"/>
      <w:marBottom w:val="0"/>
      <w:divBdr>
        <w:top w:val="none" w:sz="0" w:space="0" w:color="auto"/>
        <w:left w:val="none" w:sz="0" w:space="0" w:color="auto"/>
        <w:bottom w:val="none" w:sz="0" w:space="0" w:color="auto"/>
        <w:right w:val="none" w:sz="0" w:space="0" w:color="auto"/>
      </w:divBdr>
    </w:div>
    <w:div w:id="274823651">
      <w:bodyDiv w:val="1"/>
      <w:marLeft w:val="0"/>
      <w:marRight w:val="0"/>
      <w:marTop w:val="0"/>
      <w:marBottom w:val="0"/>
      <w:divBdr>
        <w:top w:val="none" w:sz="0" w:space="0" w:color="auto"/>
        <w:left w:val="none" w:sz="0" w:space="0" w:color="auto"/>
        <w:bottom w:val="none" w:sz="0" w:space="0" w:color="auto"/>
        <w:right w:val="none" w:sz="0" w:space="0" w:color="auto"/>
      </w:divBdr>
    </w:div>
    <w:div w:id="275021692">
      <w:bodyDiv w:val="1"/>
      <w:marLeft w:val="0"/>
      <w:marRight w:val="0"/>
      <w:marTop w:val="0"/>
      <w:marBottom w:val="0"/>
      <w:divBdr>
        <w:top w:val="none" w:sz="0" w:space="0" w:color="auto"/>
        <w:left w:val="none" w:sz="0" w:space="0" w:color="auto"/>
        <w:bottom w:val="none" w:sz="0" w:space="0" w:color="auto"/>
        <w:right w:val="none" w:sz="0" w:space="0" w:color="auto"/>
      </w:divBdr>
    </w:div>
    <w:div w:id="279386544">
      <w:bodyDiv w:val="1"/>
      <w:marLeft w:val="0"/>
      <w:marRight w:val="0"/>
      <w:marTop w:val="0"/>
      <w:marBottom w:val="0"/>
      <w:divBdr>
        <w:top w:val="none" w:sz="0" w:space="0" w:color="auto"/>
        <w:left w:val="none" w:sz="0" w:space="0" w:color="auto"/>
        <w:bottom w:val="none" w:sz="0" w:space="0" w:color="auto"/>
        <w:right w:val="none" w:sz="0" w:space="0" w:color="auto"/>
      </w:divBdr>
    </w:div>
    <w:div w:id="285740229">
      <w:bodyDiv w:val="1"/>
      <w:marLeft w:val="0"/>
      <w:marRight w:val="0"/>
      <w:marTop w:val="0"/>
      <w:marBottom w:val="0"/>
      <w:divBdr>
        <w:top w:val="none" w:sz="0" w:space="0" w:color="auto"/>
        <w:left w:val="none" w:sz="0" w:space="0" w:color="auto"/>
        <w:bottom w:val="none" w:sz="0" w:space="0" w:color="auto"/>
        <w:right w:val="none" w:sz="0" w:space="0" w:color="auto"/>
      </w:divBdr>
    </w:div>
    <w:div w:id="290132959">
      <w:bodyDiv w:val="1"/>
      <w:marLeft w:val="0"/>
      <w:marRight w:val="0"/>
      <w:marTop w:val="0"/>
      <w:marBottom w:val="0"/>
      <w:divBdr>
        <w:top w:val="none" w:sz="0" w:space="0" w:color="auto"/>
        <w:left w:val="none" w:sz="0" w:space="0" w:color="auto"/>
        <w:bottom w:val="none" w:sz="0" w:space="0" w:color="auto"/>
        <w:right w:val="none" w:sz="0" w:space="0" w:color="auto"/>
      </w:divBdr>
    </w:div>
    <w:div w:id="290284336">
      <w:bodyDiv w:val="1"/>
      <w:marLeft w:val="0"/>
      <w:marRight w:val="0"/>
      <w:marTop w:val="0"/>
      <w:marBottom w:val="0"/>
      <w:divBdr>
        <w:top w:val="none" w:sz="0" w:space="0" w:color="auto"/>
        <w:left w:val="none" w:sz="0" w:space="0" w:color="auto"/>
        <w:bottom w:val="none" w:sz="0" w:space="0" w:color="auto"/>
        <w:right w:val="none" w:sz="0" w:space="0" w:color="auto"/>
      </w:divBdr>
    </w:div>
    <w:div w:id="304548302">
      <w:bodyDiv w:val="1"/>
      <w:marLeft w:val="0"/>
      <w:marRight w:val="0"/>
      <w:marTop w:val="0"/>
      <w:marBottom w:val="0"/>
      <w:divBdr>
        <w:top w:val="none" w:sz="0" w:space="0" w:color="auto"/>
        <w:left w:val="none" w:sz="0" w:space="0" w:color="auto"/>
        <w:bottom w:val="none" w:sz="0" w:space="0" w:color="auto"/>
        <w:right w:val="none" w:sz="0" w:space="0" w:color="auto"/>
      </w:divBdr>
    </w:div>
    <w:div w:id="323123254">
      <w:bodyDiv w:val="1"/>
      <w:marLeft w:val="0"/>
      <w:marRight w:val="0"/>
      <w:marTop w:val="0"/>
      <w:marBottom w:val="0"/>
      <w:divBdr>
        <w:top w:val="none" w:sz="0" w:space="0" w:color="auto"/>
        <w:left w:val="none" w:sz="0" w:space="0" w:color="auto"/>
        <w:bottom w:val="none" w:sz="0" w:space="0" w:color="auto"/>
        <w:right w:val="none" w:sz="0" w:space="0" w:color="auto"/>
      </w:divBdr>
    </w:div>
    <w:div w:id="325132600">
      <w:bodyDiv w:val="1"/>
      <w:marLeft w:val="0"/>
      <w:marRight w:val="0"/>
      <w:marTop w:val="0"/>
      <w:marBottom w:val="0"/>
      <w:divBdr>
        <w:top w:val="none" w:sz="0" w:space="0" w:color="auto"/>
        <w:left w:val="none" w:sz="0" w:space="0" w:color="auto"/>
        <w:bottom w:val="none" w:sz="0" w:space="0" w:color="auto"/>
        <w:right w:val="none" w:sz="0" w:space="0" w:color="auto"/>
      </w:divBdr>
    </w:div>
    <w:div w:id="331566063">
      <w:bodyDiv w:val="1"/>
      <w:marLeft w:val="0"/>
      <w:marRight w:val="0"/>
      <w:marTop w:val="0"/>
      <w:marBottom w:val="0"/>
      <w:divBdr>
        <w:top w:val="none" w:sz="0" w:space="0" w:color="auto"/>
        <w:left w:val="none" w:sz="0" w:space="0" w:color="auto"/>
        <w:bottom w:val="none" w:sz="0" w:space="0" w:color="auto"/>
        <w:right w:val="none" w:sz="0" w:space="0" w:color="auto"/>
      </w:divBdr>
    </w:div>
    <w:div w:id="332221179">
      <w:bodyDiv w:val="1"/>
      <w:marLeft w:val="0"/>
      <w:marRight w:val="0"/>
      <w:marTop w:val="0"/>
      <w:marBottom w:val="0"/>
      <w:divBdr>
        <w:top w:val="none" w:sz="0" w:space="0" w:color="auto"/>
        <w:left w:val="none" w:sz="0" w:space="0" w:color="auto"/>
        <w:bottom w:val="none" w:sz="0" w:space="0" w:color="auto"/>
        <w:right w:val="none" w:sz="0" w:space="0" w:color="auto"/>
      </w:divBdr>
    </w:div>
    <w:div w:id="334844492">
      <w:bodyDiv w:val="1"/>
      <w:marLeft w:val="0"/>
      <w:marRight w:val="0"/>
      <w:marTop w:val="0"/>
      <w:marBottom w:val="0"/>
      <w:divBdr>
        <w:top w:val="none" w:sz="0" w:space="0" w:color="auto"/>
        <w:left w:val="none" w:sz="0" w:space="0" w:color="auto"/>
        <w:bottom w:val="none" w:sz="0" w:space="0" w:color="auto"/>
        <w:right w:val="none" w:sz="0" w:space="0" w:color="auto"/>
      </w:divBdr>
    </w:div>
    <w:div w:id="337199891">
      <w:bodyDiv w:val="1"/>
      <w:marLeft w:val="0"/>
      <w:marRight w:val="0"/>
      <w:marTop w:val="0"/>
      <w:marBottom w:val="0"/>
      <w:divBdr>
        <w:top w:val="none" w:sz="0" w:space="0" w:color="auto"/>
        <w:left w:val="none" w:sz="0" w:space="0" w:color="auto"/>
        <w:bottom w:val="none" w:sz="0" w:space="0" w:color="auto"/>
        <w:right w:val="none" w:sz="0" w:space="0" w:color="auto"/>
      </w:divBdr>
    </w:div>
    <w:div w:id="343358156">
      <w:bodyDiv w:val="1"/>
      <w:marLeft w:val="0"/>
      <w:marRight w:val="0"/>
      <w:marTop w:val="0"/>
      <w:marBottom w:val="0"/>
      <w:divBdr>
        <w:top w:val="none" w:sz="0" w:space="0" w:color="auto"/>
        <w:left w:val="none" w:sz="0" w:space="0" w:color="auto"/>
        <w:bottom w:val="none" w:sz="0" w:space="0" w:color="auto"/>
        <w:right w:val="none" w:sz="0" w:space="0" w:color="auto"/>
      </w:divBdr>
    </w:div>
    <w:div w:id="345788891">
      <w:bodyDiv w:val="1"/>
      <w:marLeft w:val="0"/>
      <w:marRight w:val="0"/>
      <w:marTop w:val="0"/>
      <w:marBottom w:val="0"/>
      <w:divBdr>
        <w:top w:val="none" w:sz="0" w:space="0" w:color="auto"/>
        <w:left w:val="none" w:sz="0" w:space="0" w:color="auto"/>
        <w:bottom w:val="none" w:sz="0" w:space="0" w:color="auto"/>
        <w:right w:val="none" w:sz="0" w:space="0" w:color="auto"/>
      </w:divBdr>
    </w:div>
    <w:div w:id="352387773">
      <w:bodyDiv w:val="1"/>
      <w:marLeft w:val="0"/>
      <w:marRight w:val="0"/>
      <w:marTop w:val="0"/>
      <w:marBottom w:val="0"/>
      <w:divBdr>
        <w:top w:val="none" w:sz="0" w:space="0" w:color="auto"/>
        <w:left w:val="none" w:sz="0" w:space="0" w:color="auto"/>
        <w:bottom w:val="none" w:sz="0" w:space="0" w:color="auto"/>
        <w:right w:val="none" w:sz="0" w:space="0" w:color="auto"/>
      </w:divBdr>
    </w:div>
    <w:div w:id="361244806">
      <w:bodyDiv w:val="1"/>
      <w:marLeft w:val="0"/>
      <w:marRight w:val="0"/>
      <w:marTop w:val="0"/>
      <w:marBottom w:val="0"/>
      <w:divBdr>
        <w:top w:val="none" w:sz="0" w:space="0" w:color="auto"/>
        <w:left w:val="none" w:sz="0" w:space="0" w:color="auto"/>
        <w:bottom w:val="none" w:sz="0" w:space="0" w:color="auto"/>
        <w:right w:val="none" w:sz="0" w:space="0" w:color="auto"/>
      </w:divBdr>
    </w:div>
    <w:div w:id="374424850">
      <w:bodyDiv w:val="1"/>
      <w:marLeft w:val="0"/>
      <w:marRight w:val="0"/>
      <w:marTop w:val="0"/>
      <w:marBottom w:val="0"/>
      <w:divBdr>
        <w:top w:val="none" w:sz="0" w:space="0" w:color="auto"/>
        <w:left w:val="none" w:sz="0" w:space="0" w:color="auto"/>
        <w:bottom w:val="none" w:sz="0" w:space="0" w:color="auto"/>
        <w:right w:val="none" w:sz="0" w:space="0" w:color="auto"/>
      </w:divBdr>
    </w:div>
    <w:div w:id="380400908">
      <w:bodyDiv w:val="1"/>
      <w:marLeft w:val="0"/>
      <w:marRight w:val="0"/>
      <w:marTop w:val="0"/>
      <w:marBottom w:val="0"/>
      <w:divBdr>
        <w:top w:val="none" w:sz="0" w:space="0" w:color="auto"/>
        <w:left w:val="none" w:sz="0" w:space="0" w:color="auto"/>
        <w:bottom w:val="none" w:sz="0" w:space="0" w:color="auto"/>
        <w:right w:val="none" w:sz="0" w:space="0" w:color="auto"/>
      </w:divBdr>
    </w:div>
    <w:div w:id="384449456">
      <w:bodyDiv w:val="1"/>
      <w:marLeft w:val="0"/>
      <w:marRight w:val="0"/>
      <w:marTop w:val="0"/>
      <w:marBottom w:val="0"/>
      <w:divBdr>
        <w:top w:val="none" w:sz="0" w:space="0" w:color="auto"/>
        <w:left w:val="none" w:sz="0" w:space="0" w:color="auto"/>
        <w:bottom w:val="none" w:sz="0" w:space="0" w:color="auto"/>
        <w:right w:val="none" w:sz="0" w:space="0" w:color="auto"/>
      </w:divBdr>
    </w:div>
    <w:div w:id="385880839">
      <w:bodyDiv w:val="1"/>
      <w:marLeft w:val="0"/>
      <w:marRight w:val="0"/>
      <w:marTop w:val="0"/>
      <w:marBottom w:val="0"/>
      <w:divBdr>
        <w:top w:val="none" w:sz="0" w:space="0" w:color="auto"/>
        <w:left w:val="none" w:sz="0" w:space="0" w:color="auto"/>
        <w:bottom w:val="none" w:sz="0" w:space="0" w:color="auto"/>
        <w:right w:val="none" w:sz="0" w:space="0" w:color="auto"/>
      </w:divBdr>
    </w:div>
    <w:div w:id="391851906">
      <w:bodyDiv w:val="1"/>
      <w:marLeft w:val="0"/>
      <w:marRight w:val="0"/>
      <w:marTop w:val="0"/>
      <w:marBottom w:val="0"/>
      <w:divBdr>
        <w:top w:val="none" w:sz="0" w:space="0" w:color="auto"/>
        <w:left w:val="none" w:sz="0" w:space="0" w:color="auto"/>
        <w:bottom w:val="none" w:sz="0" w:space="0" w:color="auto"/>
        <w:right w:val="none" w:sz="0" w:space="0" w:color="auto"/>
      </w:divBdr>
    </w:div>
    <w:div w:id="392967586">
      <w:bodyDiv w:val="1"/>
      <w:marLeft w:val="0"/>
      <w:marRight w:val="0"/>
      <w:marTop w:val="0"/>
      <w:marBottom w:val="0"/>
      <w:divBdr>
        <w:top w:val="none" w:sz="0" w:space="0" w:color="auto"/>
        <w:left w:val="none" w:sz="0" w:space="0" w:color="auto"/>
        <w:bottom w:val="none" w:sz="0" w:space="0" w:color="auto"/>
        <w:right w:val="none" w:sz="0" w:space="0" w:color="auto"/>
      </w:divBdr>
    </w:div>
    <w:div w:id="406458466">
      <w:bodyDiv w:val="1"/>
      <w:marLeft w:val="0"/>
      <w:marRight w:val="0"/>
      <w:marTop w:val="0"/>
      <w:marBottom w:val="0"/>
      <w:divBdr>
        <w:top w:val="none" w:sz="0" w:space="0" w:color="auto"/>
        <w:left w:val="none" w:sz="0" w:space="0" w:color="auto"/>
        <w:bottom w:val="none" w:sz="0" w:space="0" w:color="auto"/>
        <w:right w:val="none" w:sz="0" w:space="0" w:color="auto"/>
      </w:divBdr>
    </w:div>
    <w:div w:id="407654363">
      <w:bodyDiv w:val="1"/>
      <w:marLeft w:val="0"/>
      <w:marRight w:val="0"/>
      <w:marTop w:val="0"/>
      <w:marBottom w:val="0"/>
      <w:divBdr>
        <w:top w:val="none" w:sz="0" w:space="0" w:color="auto"/>
        <w:left w:val="none" w:sz="0" w:space="0" w:color="auto"/>
        <w:bottom w:val="none" w:sz="0" w:space="0" w:color="auto"/>
        <w:right w:val="none" w:sz="0" w:space="0" w:color="auto"/>
      </w:divBdr>
    </w:div>
    <w:div w:id="412360845">
      <w:bodyDiv w:val="1"/>
      <w:marLeft w:val="0"/>
      <w:marRight w:val="0"/>
      <w:marTop w:val="0"/>
      <w:marBottom w:val="0"/>
      <w:divBdr>
        <w:top w:val="none" w:sz="0" w:space="0" w:color="auto"/>
        <w:left w:val="none" w:sz="0" w:space="0" w:color="auto"/>
        <w:bottom w:val="none" w:sz="0" w:space="0" w:color="auto"/>
        <w:right w:val="none" w:sz="0" w:space="0" w:color="auto"/>
      </w:divBdr>
    </w:div>
    <w:div w:id="412707498">
      <w:bodyDiv w:val="1"/>
      <w:marLeft w:val="0"/>
      <w:marRight w:val="0"/>
      <w:marTop w:val="0"/>
      <w:marBottom w:val="0"/>
      <w:divBdr>
        <w:top w:val="none" w:sz="0" w:space="0" w:color="auto"/>
        <w:left w:val="none" w:sz="0" w:space="0" w:color="auto"/>
        <w:bottom w:val="none" w:sz="0" w:space="0" w:color="auto"/>
        <w:right w:val="none" w:sz="0" w:space="0" w:color="auto"/>
      </w:divBdr>
    </w:div>
    <w:div w:id="413404475">
      <w:bodyDiv w:val="1"/>
      <w:marLeft w:val="0"/>
      <w:marRight w:val="0"/>
      <w:marTop w:val="0"/>
      <w:marBottom w:val="0"/>
      <w:divBdr>
        <w:top w:val="none" w:sz="0" w:space="0" w:color="auto"/>
        <w:left w:val="none" w:sz="0" w:space="0" w:color="auto"/>
        <w:bottom w:val="none" w:sz="0" w:space="0" w:color="auto"/>
        <w:right w:val="none" w:sz="0" w:space="0" w:color="auto"/>
      </w:divBdr>
    </w:div>
    <w:div w:id="415827511">
      <w:bodyDiv w:val="1"/>
      <w:marLeft w:val="0"/>
      <w:marRight w:val="0"/>
      <w:marTop w:val="0"/>
      <w:marBottom w:val="0"/>
      <w:divBdr>
        <w:top w:val="none" w:sz="0" w:space="0" w:color="auto"/>
        <w:left w:val="none" w:sz="0" w:space="0" w:color="auto"/>
        <w:bottom w:val="none" w:sz="0" w:space="0" w:color="auto"/>
        <w:right w:val="none" w:sz="0" w:space="0" w:color="auto"/>
      </w:divBdr>
    </w:div>
    <w:div w:id="418992172">
      <w:bodyDiv w:val="1"/>
      <w:marLeft w:val="0"/>
      <w:marRight w:val="0"/>
      <w:marTop w:val="0"/>
      <w:marBottom w:val="0"/>
      <w:divBdr>
        <w:top w:val="none" w:sz="0" w:space="0" w:color="auto"/>
        <w:left w:val="none" w:sz="0" w:space="0" w:color="auto"/>
        <w:bottom w:val="none" w:sz="0" w:space="0" w:color="auto"/>
        <w:right w:val="none" w:sz="0" w:space="0" w:color="auto"/>
      </w:divBdr>
    </w:div>
    <w:div w:id="421876980">
      <w:bodyDiv w:val="1"/>
      <w:marLeft w:val="0"/>
      <w:marRight w:val="0"/>
      <w:marTop w:val="0"/>
      <w:marBottom w:val="0"/>
      <w:divBdr>
        <w:top w:val="none" w:sz="0" w:space="0" w:color="auto"/>
        <w:left w:val="none" w:sz="0" w:space="0" w:color="auto"/>
        <w:bottom w:val="none" w:sz="0" w:space="0" w:color="auto"/>
        <w:right w:val="none" w:sz="0" w:space="0" w:color="auto"/>
      </w:divBdr>
    </w:div>
    <w:div w:id="425460387">
      <w:bodyDiv w:val="1"/>
      <w:marLeft w:val="0"/>
      <w:marRight w:val="0"/>
      <w:marTop w:val="0"/>
      <w:marBottom w:val="0"/>
      <w:divBdr>
        <w:top w:val="none" w:sz="0" w:space="0" w:color="auto"/>
        <w:left w:val="none" w:sz="0" w:space="0" w:color="auto"/>
        <w:bottom w:val="none" w:sz="0" w:space="0" w:color="auto"/>
        <w:right w:val="none" w:sz="0" w:space="0" w:color="auto"/>
      </w:divBdr>
    </w:div>
    <w:div w:id="426462951">
      <w:bodyDiv w:val="1"/>
      <w:marLeft w:val="0"/>
      <w:marRight w:val="0"/>
      <w:marTop w:val="0"/>
      <w:marBottom w:val="0"/>
      <w:divBdr>
        <w:top w:val="none" w:sz="0" w:space="0" w:color="auto"/>
        <w:left w:val="none" w:sz="0" w:space="0" w:color="auto"/>
        <w:bottom w:val="none" w:sz="0" w:space="0" w:color="auto"/>
        <w:right w:val="none" w:sz="0" w:space="0" w:color="auto"/>
      </w:divBdr>
    </w:div>
    <w:div w:id="426849730">
      <w:bodyDiv w:val="1"/>
      <w:marLeft w:val="0"/>
      <w:marRight w:val="0"/>
      <w:marTop w:val="0"/>
      <w:marBottom w:val="0"/>
      <w:divBdr>
        <w:top w:val="none" w:sz="0" w:space="0" w:color="auto"/>
        <w:left w:val="none" w:sz="0" w:space="0" w:color="auto"/>
        <w:bottom w:val="none" w:sz="0" w:space="0" w:color="auto"/>
        <w:right w:val="none" w:sz="0" w:space="0" w:color="auto"/>
      </w:divBdr>
    </w:div>
    <w:div w:id="432946232">
      <w:bodyDiv w:val="1"/>
      <w:marLeft w:val="0"/>
      <w:marRight w:val="0"/>
      <w:marTop w:val="0"/>
      <w:marBottom w:val="0"/>
      <w:divBdr>
        <w:top w:val="none" w:sz="0" w:space="0" w:color="auto"/>
        <w:left w:val="none" w:sz="0" w:space="0" w:color="auto"/>
        <w:bottom w:val="none" w:sz="0" w:space="0" w:color="auto"/>
        <w:right w:val="none" w:sz="0" w:space="0" w:color="auto"/>
      </w:divBdr>
    </w:div>
    <w:div w:id="433287603">
      <w:bodyDiv w:val="1"/>
      <w:marLeft w:val="0"/>
      <w:marRight w:val="0"/>
      <w:marTop w:val="0"/>
      <w:marBottom w:val="0"/>
      <w:divBdr>
        <w:top w:val="none" w:sz="0" w:space="0" w:color="auto"/>
        <w:left w:val="none" w:sz="0" w:space="0" w:color="auto"/>
        <w:bottom w:val="none" w:sz="0" w:space="0" w:color="auto"/>
        <w:right w:val="none" w:sz="0" w:space="0" w:color="auto"/>
      </w:divBdr>
    </w:div>
    <w:div w:id="436218827">
      <w:bodyDiv w:val="1"/>
      <w:marLeft w:val="0"/>
      <w:marRight w:val="0"/>
      <w:marTop w:val="0"/>
      <w:marBottom w:val="0"/>
      <w:divBdr>
        <w:top w:val="none" w:sz="0" w:space="0" w:color="auto"/>
        <w:left w:val="none" w:sz="0" w:space="0" w:color="auto"/>
        <w:bottom w:val="none" w:sz="0" w:space="0" w:color="auto"/>
        <w:right w:val="none" w:sz="0" w:space="0" w:color="auto"/>
      </w:divBdr>
    </w:div>
    <w:div w:id="438260323">
      <w:bodyDiv w:val="1"/>
      <w:marLeft w:val="0"/>
      <w:marRight w:val="0"/>
      <w:marTop w:val="0"/>
      <w:marBottom w:val="0"/>
      <w:divBdr>
        <w:top w:val="none" w:sz="0" w:space="0" w:color="auto"/>
        <w:left w:val="none" w:sz="0" w:space="0" w:color="auto"/>
        <w:bottom w:val="none" w:sz="0" w:space="0" w:color="auto"/>
        <w:right w:val="none" w:sz="0" w:space="0" w:color="auto"/>
      </w:divBdr>
    </w:div>
    <w:div w:id="441654707">
      <w:bodyDiv w:val="1"/>
      <w:marLeft w:val="0"/>
      <w:marRight w:val="0"/>
      <w:marTop w:val="0"/>
      <w:marBottom w:val="0"/>
      <w:divBdr>
        <w:top w:val="none" w:sz="0" w:space="0" w:color="auto"/>
        <w:left w:val="none" w:sz="0" w:space="0" w:color="auto"/>
        <w:bottom w:val="none" w:sz="0" w:space="0" w:color="auto"/>
        <w:right w:val="none" w:sz="0" w:space="0" w:color="auto"/>
      </w:divBdr>
    </w:div>
    <w:div w:id="445003197">
      <w:bodyDiv w:val="1"/>
      <w:marLeft w:val="0"/>
      <w:marRight w:val="0"/>
      <w:marTop w:val="0"/>
      <w:marBottom w:val="0"/>
      <w:divBdr>
        <w:top w:val="none" w:sz="0" w:space="0" w:color="auto"/>
        <w:left w:val="none" w:sz="0" w:space="0" w:color="auto"/>
        <w:bottom w:val="none" w:sz="0" w:space="0" w:color="auto"/>
        <w:right w:val="none" w:sz="0" w:space="0" w:color="auto"/>
      </w:divBdr>
    </w:div>
    <w:div w:id="447890537">
      <w:bodyDiv w:val="1"/>
      <w:marLeft w:val="0"/>
      <w:marRight w:val="0"/>
      <w:marTop w:val="0"/>
      <w:marBottom w:val="0"/>
      <w:divBdr>
        <w:top w:val="none" w:sz="0" w:space="0" w:color="auto"/>
        <w:left w:val="none" w:sz="0" w:space="0" w:color="auto"/>
        <w:bottom w:val="none" w:sz="0" w:space="0" w:color="auto"/>
        <w:right w:val="none" w:sz="0" w:space="0" w:color="auto"/>
      </w:divBdr>
    </w:div>
    <w:div w:id="452670261">
      <w:bodyDiv w:val="1"/>
      <w:marLeft w:val="0"/>
      <w:marRight w:val="0"/>
      <w:marTop w:val="0"/>
      <w:marBottom w:val="0"/>
      <w:divBdr>
        <w:top w:val="none" w:sz="0" w:space="0" w:color="auto"/>
        <w:left w:val="none" w:sz="0" w:space="0" w:color="auto"/>
        <w:bottom w:val="none" w:sz="0" w:space="0" w:color="auto"/>
        <w:right w:val="none" w:sz="0" w:space="0" w:color="auto"/>
      </w:divBdr>
    </w:div>
    <w:div w:id="457379531">
      <w:bodyDiv w:val="1"/>
      <w:marLeft w:val="0"/>
      <w:marRight w:val="0"/>
      <w:marTop w:val="0"/>
      <w:marBottom w:val="0"/>
      <w:divBdr>
        <w:top w:val="none" w:sz="0" w:space="0" w:color="auto"/>
        <w:left w:val="none" w:sz="0" w:space="0" w:color="auto"/>
        <w:bottom w:val="none" w:sz="0" w:space="0" w:color="auto"/>
        <w:right w:val="none" w:sz="0" w:space="0" w:color="auto"/>
      </w:divBdr>
    </w:div>
    <w:div w:id="466053262">
      <w:bodyDiv w:val="1"/>
      <w:marLeft w:val="0"/>
      <w:marRight w:val="0"/>
      <w:marTop w:val="0"/>
      <w:marBottom w:val="0"/>
      <w:divBdr>
        <w:top w:val="none" w:sz="0" w:space="0" w:color="auto"/>
        <w:left w:val="none" w:sz="0" w:space="0" w:color="auto"/>
        <w:bottom w:val="none" w:sz="0" w:space="0" w:color="auto"/>
        <w:right w:val="none" w:sz="0" w:space="0" w:color="auto"/>
      </w:divBdr>
    </w:div>
    <w:div w:id="470490045">
      <w:bodyDiv w:val="1"/>
      <w:marLeft w:val="0"/>
      <w:marRight w:val="0"/>
      <w:marTop w:val="0"/>
      <w:marBottom w:val="0"/>
      <w:divBdr>
        <w:top w:val="none" w:sz="0" w:space="0" w:color="auto"/>
        <w:left w:val="none" w:sz="0" w:space="0" w:color="auto"/>
        <w:bottom w:val="none" w:sz="0" w:space="0" w:color="auto"/>
        <w:right w:val="none" w:sz="0" w:space="0" w:color="auto"/>
      </w:divBdr>
    </w:div>
    <w:div w:id="471866774">
      <w:bodyDiv w:val="1"/>
      <w:marLeft w:val="0"/>
      <w:marRight w:val="0"/>
      <w:marTop w:val="0"/>
      <w:marBottom w:val="0"/>
      <w:divBdr>
        <w:top w:val="none" w:sz="0" w:space="0" w:color="auto"/>
        <w:left w:val="none" w:sz="0" w:space="0" w:color="auto"/>
        <w:bottom w:val="none" w:sz="0" w:space="0" w:color="auto"/>
        <w:right w:val="none" w:sz="0" w:space="0" w:color="auto"/>
      </w:divBdr>
    </w:div>
    <w:div w:id="472406218">
      <w:bodyDiv w:val="1"/>
      <w:marLeft w:val="0"/>
      <w:marRight w:val="0"/>
      <w:marTop w:val="0"/>
      <w:marBottom w:val="0"/>
      <w:divBdr>
        <w:top w:val="none" w:sz="0" w:space="0" w:color="auto"/>
        <w:left w:val="none" w:sz="0" w:space="0" w:color="auto"/>
        <w:bottom w:val="none" w:sz="0" w:space="0" w:color="auto"/>
        <w:right w:val="none" w:sz="0" w:space="0" w:color="auto"/>
      </w:divBdr>
    </w:div>
    <w:div w:id="476537501">
      <w:bodyDiv w:val="1"/>
      <w:marLeft w:val="0"/>
      <w:marRight w:val="0"/>
      <w:marTop w:val="0"/>
      <w:marBottom w:val="0"/>
      <w:divBdr>
        <w:top w:val="none" w:sz="0" w:space="0" w:color="auto"/>
        <w:left w:val="none" w:sz="0" w:space="0" w:color="auto"/>
        <w:bottom w:val="none" w:sz="0" w:space="0" w:color="auto"/>
        <w:right w:val="none" w:sz="0" w:space="0" w:color="auto"/>
      </w:divBdr>
    </w:div>
    <w:div w:id="477963873">
      <w:bodyDiv w:val="1"/>
      <w:marLeft w:val="0"/>
      <w:marRight w:val="0"/>
      <w:marTop w:val="0"/>
      <w:marBottom w:val="0"/>
      <w:divBdr>
        <w:top w:val="none" w:sz="0" w:space="0" w:color="auto"/>
        <w:left w:val="none" w:sz="0" w:space="0" w:color="auto"/>
        <w:bottom w:val="none" w:sz="0" w:space="0" w:color="auto"/>
        <w:right w:val="none" w:sz="0" w:space="0" w:color="auto"/>
      </w:divBdr>
    </w:div>
    <w:div w:id="479813969">
      <w:bodyDiv w:val="1"/>
      <w:marLeft w:val="0"/>
      <w:marRight w:val="0"/>
      <w:marTop w:val="0"/>
      <w:marBottom w:val="0"/>
      <w:divBdr>
        <w:top w:val="none" w:sz="0" w:space="0" w:color="auto"/>
        <w:left w:val="none" w:sz="0" w:space="0" w:color="auto"/>
        <w:bottom w:val="none" w:sz="0" w:space="0" w:color="auto"/>
        <w:right w:val="none" w:sz="0" w:space="0" w:color="auto"/>
      </w:divBdr>
    </w:div>
    <w:div w:id="480003685">
      <w:bodyDiv w:val="1"/>
      <w:marLeft w:val="0"/>
      <w:marRight w:val="0"/>
      <w:marTop w:val="0"/>
      <w:marBottom w:val="0"/>
      <w:divBdr>
        <w:top w:val="none" w:sz="0" w:space="0" w:color="auto"/>
        <w:left w:val="none" w:sz="0" w:space="0" w:color="auto"/>
        <w:bottom w:val="none" w:sz="0" w:space="0" w:color="auto"/>
        <w:right w:val="none" w:sz="0" w:space="0" w:color="auto"/>
      </w:divBdr>
    </w:div>
    <w:div w:id="482236114">
      <w:bodyDiv w:val="1"/>
      <w:marLeft w:val="0"/>
      <w:marRight w:val="0"/>
      <w:marTop w:val="0"/>
      <w:marBottom w:val="0"/>
      <w:divBdr>
        <w:top w:val="none" w:sz="0" w:space="0" w:color="auto"/>
        <w:left w:val="none" w:sz="0" w:space="0" w:color="auto"/>
        <w:bottom w:val="none" w:sz="0" w:space="0" w:color="auto"/>
        <w:right w:val="none" w:sz="0" w:space="0" w:color="auto"/>
      </w:divBdr>
    </w:div>
    <w:div w:id="485707268">
      <w:bodyDiv w:val="1"/>
      <w:marLeft w:val="0"/>
      <w:marRight w:val="0"/>
      <w:marTop w:val="0"/>
      <w:marBottom w:val="0"/>
      <w:divBdr>
        <w:top w:val="none" w:sz="0" w:space="0" w:color="auto"/>
        <w:left w:val="none" w:sz="0" w:space="0" w:color="auto"/>
        <w:bottom w:val="none" w:sz="0" w:space="0" w:color="auto"/>
        <w:right w:val="none" w:sz="0" w:space="0" w:color="auto"/>
      </w:divBdr>
    </w:div>
    <w:div w:id="488132880">
      <w:bodyDiv w:val="1"/>
      <w:marLeft w:val="0"/>
      <w:marRight w:val="0"/>
      <w:marTop w:val="0"/>
      <w:marBottom w:val="0"/>
      <w:divBdr>
        <w:top w:val="none" w:sz="0" w:space="0" w:color="auto"/>
        <w:left w:val="none" w:sz="0" w:space="0" w:color="auto"/>
        <w:bottom w:val="none" w:sz="0" w:space="0" w:color="auto"/>
        <w:right w:val="none" w:sz="0" w:space="0" w:color="auto"/>
      </w:divBdr>
    </w:div>
    <w:div w:id="490754581">
      <w:bodyDiv w:val="1"/>
      <w:marLeft w:val="0"/>
      <w:marRight w:val="0"/>
      <w:marTop w:val="0"/>
      <w:marBottom w:val="0"/>
      <w:divBdr>
        <w:top w:val="none" w:sz="0" w:space="0" w:color="auto"/>
        <w:left w:val="none" w:sz="0" w:space="0" w:color="auto"/>
        <w:bottom w:val="none" w:sz="0" w:space="0" w:color="auto"/>
        <w:right w:val="none" w:sz="0" w:space="0" w:color="auto"/>
      </w:divBdr>
    </w:div>
    <w:div w:id="507064328">
      <w:bodyDiv w:val="1"/>
      <w:marLeft w:val="0"/>
      <w:marRight w:val="0"/>
      <w:marTop w:val="0"/>
      <w:marBottom w:val="0"/>
      <w:divBdr>
        <w:top w:val="none" w:sz="0" w:space="0" w:color="auto"/>
        <w:left w:val="none" w:sz="0" w:space="0" w:color="auto"/>
        <w:bottom w:val="none" w:sz="0" w:space="0" w:color="auto"/>
        <w:right w:val="none" w:sz="0" w:space="0" w:color="auto"/>
      </w:divBdr>
    </w:div>
    <w:div w:id="507601815">
      <w:bodyDiv w:val="1"/>
      <w:marLeft w:val="0"/>
      <w:marRight w:val="0"/>
      <w:marTop w:val="0"/>
      <w:marBottom w:val="0"/>
      <w:divBdr>
        <w:top w:val="none" w:sz="0" w:space="0" w:color="auto"/>
        <w:left w:val="none" w:sz="0" w:space="0" w:color="auto"/>
        <w:bottom w:val="none" w:sz="0" w:space="0" w:color="auto"/>
        <w:right w:val="none" w:sz="0" w:space="0" w:color="auto"/>
      </w:divBdr>
    </w:div>
    <w:div w:id="509566699">
      <w:bodyDiv w:val="1"/>
      <w:marLeft w:val="0"/>
      <w:marRight w:val="0"/>
      <w:marTop w:val="0"/>
      <w:marBottom w:val="0"/>
      <w:divBdr>
        <w:top w:val="none" w:sz="0" w:space="0" w:color="auto"/>
        <w:left w:val="none" w:sz="0" w:space="0" w:color="auto"/>
        <w:bottom w:val="none" w:sz="0" w:space="0" w:color="auto"/>
        <w:right w:val="none" w:sz="0" w:space="0" w:color="auto"/>
      </w:divBdr>
    </w:div>
    <w:div w:id="511183075">
      <w:bodyDiv w:val="1"/>
      <w:marLeft w:val="0"/>
      <w:marRight w:val="0"/>
      <w:marTop w:val="0"/>
      <w:marBottom w:val="0"/>
      <w:divBdr>
        <w:top w:val="none" w:sz="0" w:space="0" w:color="auto"/>
        <w:left w:val="none" w:sz="0" w:space="0" w:color="auto"/>
        <w:bottom w:val="none" w:sz="0" w:space="0" w:color="auto"/>
        <w:right w:val="none" w:sz="0" w:space="0" w:color="auto"/>
      </w:divBdr>
    </w:div>
    <w:div w:id="515077340">
      <w:bodyDiv w:val="1"/>
      <w:marLeft w:val="0"/>
      <w:marRight w:val="0"/>
      <w:marTop w:val="0"/>
      <w:marBottom w:val="0"/>
      <w:divBdr>
        <w:top w:val="none" w:sz="0" w:space="0" w:color="auto"/>
        <w:left w:val="none" w:sz="0" w:space="0" w:color="auto"/>
        <w:bottom w:val="none" w:sz="0" w:space="0" w:color="auto"/>
        <w:right w:val="none" w:sz="0" w:space="0" w:color="auto"/>
      </w:divBdr>
    </w:div>
    <w:div w:id="516968133">
      <w:bodyDiv w:val="1"/>
      <w:marLeft w:val="0"/>
      <w:marRight w:val="0"/>
      <w:marTop w:val="0"/>
      <w:marBottom w:val="0"/>
      <w:divBdr>
        <w:top w:val="none" w:sz="0" w:space="0" w:color="auto"/>
        <w:left w:val="none" w:sz="0" w:space="0" w:color="auto"/>
        <w:bottom w:val="none" w:sz="0" w:space="0" w:color="auto"/>
        <w:right w:val="none" w:sz="0" w:space="0" w:color="auto"/>
      </w:divBdr>
    </w:div>
    <w:div w:id="519703440">
      <w:bodyDiv w:val="1"/>
      <w:marLeft w:val="0"/>
      <w:marRight w:val="0"/>
      <w:marTop w:val="0"/>
      <w:marBottom w:val="0"/>
      <w:divBdr>
        <w:top w:val="none" w:sz="0" w:space="0" w:color="auto"/>
        <w:left w:val="none" w:sz="0" w:space="0" w:color="auto"/>
        <w:bottom w:val="none" w:sz="0" w:space="0" w:color="auto"/>
        <w:right w:val="none" w:sz="0" w:space="0" w:color="auto"/>
      </w:divBdr>
    </w:div>
    <w:div w:id="523638530">
      <w:bodyDiv w:val="1"/>
      <w:marLeft w:val="0"/>
      <w:marRight w:val="0"/>
      <w:marTop w:val="0"/>
      <w:marBottom w:val="0"/>
      <w:divBdr>
        <w:top w:val="none" w:sz="0" w:space="0" w:color="auto"/>
        <w:left w:val="none" w:sz="0" w:space="0" w:color="auto"/>
        <w:bottom w:val="none" w:sz="0" w:space="0" w:color="auto"/>
        <w:right w:val="none" w:sz="0" w:space="0" w:color="auto"/>
      </w:divBdr>
    </w:div>
    <w:div w:id="523978747">
      <w:bodyDiv w:val="1"/>
      <w:marLeft w:val="0"/>
      <w:marRight w:val="0"/>
      <w:marTop w:val="0"/>
      <w:marBottom w:val="0"/>
      <w:divBdr>
        <w:top w:val="none" w:sz="0" w:space="0" w:color="auto"/>
        <w:left w:val="none" w:sz="0" w:space="0" w:color="auto"/>
        <w:bottom w:val="none" w:sz="0" w:space="0" w:color="auto"/>
        <w:right w:val="none" w:sz="0" w:space="0" w:color="auto"/>
      </w:divBdr>
    </w:div>
    <w:div w:id="528765983">
      <w:bodyDiv w:val="1"/>
      <w:marLeft w:val="0"/>
      <w:marRight w:val="0"/>
      <w:marTop w:val="0"/>
      <w:marBottom w:val="0"/>
      <w:divBdr>
        <w:top w:val="none" w:sz="0" w:space="0" w:color="auto"/>
        <w:left w:val="none" w:sz="0" w:space="0" w:color="auto"/>
        <w:bottom w:val="none" w:sz="0" w:space="0" w:color="auto"/>
        <w:right w:val="none" w:sz="0" w:space="0" w:color="auto"/>
      </w:divBdr>
    </w:div>
    <w:div w:id="542520625">
      <w:bodyDiv w:val="1"/>
      <w:marLeft w:val="0"/>
      <w:marRight w:val="0"/>
      <w:marTop w:val="0"/>
      <w:marBottom w:val="0"/>
      <w:divBdr>
        <w:top w:val="none" w:sz="0" w:space="0" w:color="auto"/>
        <w:left w:val="none" w:sz="0" w:space="0" w:color="auto"/>
        <w:bottom w:val="none" w:sz="0" w:space="0" w:color="auto"/>
        <w:right w:val="none" w:sz="0" w:space="0" w:color="auto"/>
      </w:divBdr>
    </w:div>
    <w:div w:id="542790930">
      <w:bodyDiv w:val="1"/>
      <w:marLeft w:val="0"/>
      <w:marRight w:val="0"/>
      <w:marTop w:val="0"/>
      <w:marBottom w:val="0"/>
      <w:divBdr>
        <w:top w:val="none" w:sz="0" w:space="0" w:color="auto"/>
        <w:left w:val="none" w:sz="0" w:space="0" w:color="auto"/>
        <w:bottom w:val="none" w:sz="0" w:space="0" w:color="auto"/>
        <w:right w:val="none" w:sz="0" w:space="0" w:color="auto"/>
      </w:divBdr>
    </w:div>
    <w:div w:id="550533633">
      <w:bodyDiv w:val="1"/>
      <w:marLeft w:val="0"/>
      <w:marRight w:val="0"/>
      <w:marTop w:val="0"/>
      <w:marBottom w:val="0"/>
      <w:divBdr>
        <w:top w:val="none" w:sz="0" w:space="0" w:color="auto"/>
        <w:left w:val="none" w:sz="0" w:space="0" w:color="auto"/>
        <w:bottom w:val="none" w:sz="0" w:space="0" w:color="auto"/>
        <w:right w:val="none" w:sz="0" w:space="0" w:color="auto"/>
      </w:divBdr>
    </w:div>
    <w:div w:id="551186991">
      <w:bodyDiv w:val="1"/>
      <w:marLeft w:val="0"/>
      <w:marRight w:val="0"/>
      <w:marTop w:val="0"/>
      <w:marBottom w:val="0"/>
      <w:divBdr>
        <w:top w:val="none" w:sz="0" w:space="0" w:color="auto"/>
        <w:left w:val="none" w:sz="0" w:space="0" w:color="auto"/>
        <w:bottom w:val="none" w:sz="0" w:space="0" w:color="auto"/>
        <w:right w:val="none" w:sz="0" w:space="0" w:color="auto"/>
      </w:divBdr>
    </w:div>
    <w:div w:id="553394239">
      <w:bodyDiv w:val="1"/>
      <w:marLeft w:val="0"/>
      <w:marRight w:val="0"/>
      <w:marTop w:val="0"/>
      <w:marBottom w:val="0"/>
      <w:divBdr>
        <w:top w:val="none" w:sz="0" w:space="0" w:color="auto"/>
        <w:left w:val="none" w:sz="0" w:space="0" w:color="auto"/>
        <w:bottom w:val="none" w:sz="0" w:space="0" w:color="auto"/>
        <w:right w:val="none" w:sz="0" w:space="0" w:color="auto"/>
      </w:divBdr>
    </w:div>
    <w:div w:id="553808020">
      <w:bodyDiv w:val="1"/>
      <w:marLeft w:val="0"/>
      <w:marRight w:val="0"/>
      <w:marTop w:val="0"/>
      <w:marBottom w:val="0"/>
      <w:divBdr>
        <w:top w:val="none" w:sz="0" w:space="0" w:color="auto"/>
        <w:left w:val="none" w:sz="0" w:space="0" w:color="auto"/>
        <w:bottom w:val="none" w:sz="0" w:space="0" w:color="auto"/>
        <w:right w:val="none" w:sz="0" w:space="0" w:color="auto"/>
      </w:divBdr>
    </w:div>
    <w:div w:id="555434259">
      <w:bodyDiv w:val="1"/>
      <w:marLeft w:val="0"/>
      <w:marRight w:val="0"/>
      <w:marTop w:val="0"/>
      <w:marBottom w:val="0"/>
      <w:divBdr>
        <w:top w:val="none" w:sz="0" w:space="0" w:color="auto"/>
        <w:left w:val="none" w:sz="0" w:space="0" w:color="auto"/>
        <w:bottom w:val="none" w:sz="0" w:space="0" w:color="auto"/>
        <w:right w:val="none" w:sz="0" w:space="0" w:color="auto"/>
      </w:divBdr>
    </w:div>
    <w:div w:id="558133872">
      <w:bodyDiv w:val="1"/>
      <w:marLeft w:val="0"/>
      <w:marRight w:val="0"/>
      <w:marTop w:val="0"/>
      <w:marBottom w:val="0"/>
      <w:divBdr>
        <w:top w:val="none" w:sz="0" w:space="0" w:color="auto"/>
        <w:left w:val="none" w:sz="0" w:space="0" w:color="auto"/>
        <w:bottom w:val="none" w:sz="0" w:space="0" w:color="auto"/>
        <w:right w:val="none" w:sz="0" w:space="0" w:color="auto"/>
      </w:divBdr>
    </w:div>
    <w:div w:id="564293266">
      <w:bodyDiv w:val="1"/>
      <w:marLeft w:val="0"/>
      <w:marRight w:val="0"/>
      <w:marTop w:val="0"/>
      <w:marBottom w:val="0"/>
      <w:divBdr>
        <w:top w:val="none" w:sz="0" w:space="0" w:color="auto"/>
        <w:left w:val="none" w:sz="0" w:space="0" w:color="auto"/>
        <w:bottom w:val="none" w:sz="0" w:space="0" w:color="auto"/>
        <w:right w:val="none" w:sz="0" w:space="0" w:color="auto"/>
      </w:divBdr>
    </w:div>
    <w:div w:id="566307804">
      <w:bodyDiv w:val="1"/>
      <w:marLeft w:val="0"/>
      <w:marRight w:val="0"/>
      <w:marTop w:val="0"/>
      <w:marBottom w:val="0"/>
      <w:divBdr>
        <w:top w:val="none" w:sz="0" w:space="0" w:color="auto"/>
        <w:left w:val="none" w:sz="0" w:space="0" w:color="auto"/>
        <w:bottom w:val="none" w:sz="0" w:space="0" w:color="auto"/>
        <w:right w:val="none" w:sz="0" w:space="0" w:color="auto"/>
      </w:divBdr>
    </w:div>
    <w:div w:id="568613501">
      <w:bodyDiv w:val="1"/>
      <w:marLeft w:val="0"/>
      <w:marRight w:val="0"/>
      <w:marTop w:val="0"/>
      <w:marBottom w:val="0"/>
      <w:divBdr>
        <w:top w:val="none" w:sz="0" w:space="0" w:color="auto"/>
        <w:left w:val="none" w:sz="0" w:space="0" w:color="auto"/>
        <w:bottom w:val="none" w:sz="0" w:space="0" w:color="auto"/>
        <w:right w:val="none" w:sz="0" w:space="0" w:color="auto"/>
      </w:divBdr>
    </w:div>
    <w:div w:id="570702562">
      <w:bodyDiv w:val="1"/>
      <w:marLeft w:val="0"/>
      <w:marRight w:val="0"/>
      <w:marTop w:val="0"/>
      <w:marBottom w:val="0"/>
      <w:divBdr>
        <w:top w:val="none" w:sz="0" w:space="0" w:color="auto"/>
        <w:left w:val="none" w:sz="0" w:space="0" w:color="auto"/>
        <w:bottom w:val="none" w:sz="0" w:space="0" w:color="auto"/>
        <w:right w:val="none" w:sz="0" w:space="0" w:color="auto"/>
      </w:divBdr>
    </w:div>
    <w:div w:id="580724762">
      <w:bodyDiv w:val="1"/>
      <w:marLeft w:val="0"/>
      <w:marRight w:val="0"/>
      <w:marTop w:val="0"/>
      <w:marBottom w:val="0"/>
      <w:divBdr>
        <w:top w:val="none" w:sz="0" w:space="0" w:color="auto"/>
        <w:left w:val="none" w:sz="0" w:space="0" w:color="auto"/>
        <w:bottom w:val="none" w:sz="0" w:space="0" w:color="auto"/>
        <w:right w:val="none" w:sz="0" w:space="0" w:color="auto"/>
      </w:divBdr>
    </w:div>
    <w:div w:id="590045056">
      <w:bodyDiv w:val="1"/>
      <w:marLeft w:val="0"/>
      <w:marRight w:val="0"/>
      <w:marTop w:val="0"/>
      <w:marBottom w:val="0"/>
      <w:divBdr>
        <w:top w:val="none" w:sz="0" w:space="0" w:color="auto"/>
        <w:left w:val="none" w:sz="0" w:space="0" w:color="auto"/>
        <w:bottom w:val="none" w:sz="0" w:space="0" w:color="auto"/>
        <w:right w:val="none" w:sz="0" w:space="0" w:color="auto"/>
      </w:divBdr>
    </w:div>
    <w:div w:id="607005027">
      <w:bodyDiv w:val="1"/>
      <w:marLeft w:val="0"/>
      <w:marRight w:val="0"/>
      <w:marTop w:val="0"/>
      <w:marBottom w:val="0"/>
      <w:divBdr>
        <w:top w:val="none" w:sz="0" w:space="0" w:color="auto"/>
        <w:left w:val="none" w:sz="0" w:space="0" w:color="auto"/>
        <w:bottom w:val="none" w:sz="0" w:space="0" w:color="auto"/>
        <w:right w:val="none" w:sz="0" w:space="0" w:color="auto"/>
      </w:divBdr>
    </w:div>
    <w:div w:id="607196554">
      <w:bodyDiv w:val="1"/>
      <w:marLeft w:val="0"/>
      <w:marRight w:val="0"/>
      <w:marTop w:val="0"/>
      <w:marBottom w:val="0"/>
      <w:divBdr>
        <w:top w:val="none" w:sz="0" w:space="0" w:color="auto"/>
        <w:left w:val="none" w:sz="0" w:space="0" w:color="auto"/>
        <w:bottom w:val="none" w:sz="0" w:space="0" w:color="auto"/>
        <w:right w:val="none" w:sz="0" w:space="0" w:color="auto"/>
      </w:divBdr>
    </w:div>
    <w:div w:id="624895095">
      <w:bodyDiv w:val="1"/>
      <w:marLeft w:val="0"/>
      <w:marRight w:val="0"/>
      <w:marTop w:val="0"/>
      <w:marBottom w:val="0"/>
      <w:divBdr>
        <w:top w:val="none" w:sz="0" w:space="0" w:color="auto"/>
        <w:left w:val="none" w:sz="0" w:space="0" w:color="auto"/>
        <w:bottom w:val="none" w:sz="0" w:space="0" w:color="auto"/>
        <w:right w:val="none" w:sz="0" w:space="0" w:color="auto"/>
      </w:divBdr>
    </w:div>
    <w:div w:id="627661199">
      <w:bodyDiv w:val="1"/>
      <w:marLeft w:val="0"/>
      <w:marRight w:val="0"/>
      <w:marTop w:val="0"/>
      <w:marBottom w:val="0"/>
      <w:divBdr>
        <w:top w:val="none" w:sz="0" w:space="0" w:color="auto"/>
        <w:left w:val="none" w:sz="0" w:space="0" w:color="auto"/>
        <w:bottom w:val="none" w:sz="0" w:space="0" w:color="auto"/>
        <w:right w:val="none" w:sz="0" w:space="0" w:color="auto"/>
      </w:divBdr>
    </w:div>
    <w:div w:id="634264685">
      <w:bodyDiv w:val="1"/>
      <w:marLeft w:val="0"/>
      <w:marRight w:val="0"/>
      <w:marTop w:val="0"/>
      <w:marBottom w:val="0"/>
      <w:divBdr>
        <w:top w:val="none" w:sz="0" w:space="0" w:color="auto"/>
        <w:left w:val="none" w:sz="0" w:space="0" w:color="auto"/>
        <w:bottom w:val="none" w:sz="0" w:space="0" w:color="auto"/>
        <w:right w:val="none" w:sz="0" w:space="0" w:color="auto"/>
      </w:divBdr>
    </w:div>
    <w:div w:id="635378157">
      <w:bodyDiv w:val="1"/>
      <w:marLeft w:val="0"/>
      <w:marRight w:val="0"/>
      <w:marTop w:val="0"/>
      <w:marBottom w:val="0"/>
      <w:divBdr>
        <w:top w:val="none" w:sz="0" w:space="0" w:color="auto"/>
        <w:left w:val="none" w:sz="0" w:space="0" w:color="auto"/>
        <w:bottom w:val="none" w:sz="0" w:space="0" w:color="auto"/>
        <w:right w:val="none" w:sz="0" w:space="0" w:color="auto"/>
      </w:divBdr>
    </w:div>
    <w:div w:id="635910455">
      <w:bodyDiv w:val="1"/>
      <w:marLeft w:val="0"/>
      <w:marRight w:val="0"/>
      <w:marTop w:val="0"/>
      <w:marBottom w:val="0"/>
      <w:divBdr>
        <w:top w:val="none" w:sz="0" w:space="0" w:color="auto"/>
        <w:left w:val="none" w:sz="0" w:space="0" w:color="auto"/>
        <w:bottom w:val="none" w:sz="0" w:space="0" w:color="auto"/>
        <w:right w:val="none" w:sz="0" w:space="0" w:color="auto"/>
      </w:divBdr>
    </w:div>
    <w:div w:id="638658163">
      <w:bodyDiv w:val="1"/>
      <w:marLeft w:val="0"/>
      <w:marRight w:val="0"/>
      <w:marTop w:val="0"/>
      <w:marBottom w:val="0"/>
      <w:divBdr>
        <w:top w:val="none" w:sz="0" w:space="0" w:color="auto"/>
        <w:left w:val="none" w:sz="0" w:space="0" w:color="auto"/>
        <w:bottom w:val="none" w:sz="0" w:space="0" w:color="auto"/>
        <w:right w:val="none" w:sz="0" w:space="0" w:color="auto"/>
      </w:divBdr>
    </w:div>
    <w:div w:id="640694657">
      <w:bodyDiv w:val="1"/>
      <w:marLeft w:val="0"/>
      <w:marRight w:val="0"/>
      <w:marTop w:val="0"/>
      <w:marBottom w:val="0"/>
      <w:divBdr>
        <w:top w:val="none" w:sz="0" w:space="0" w:color="auto"/>
        <w:left w:val="none" w:sz="0" w:space="0" w:color="auto"/>
        <w:bottom w:val="none" w:sz="0" w:space="0" w:color="auto"/>
        <w:right w:val="none" w:sz="0" w:space="0" w:color="auto"/>
      </w:divBdr>
    </w:div>
    <w:div w:id="643778544">
      <w:bodyDiv w:val="1"/>
      <w:marLeft w:val="0"/>
      <w:marRight w:val="0"/>
      <w:marTop w:val="0"/>
      <w:marBottom w:val="0"/>
      <w:divBdr>
        <w:top w:val="none" w:sz="0" w:space="0" w:color="auto"/>
        <w:left w:val="none" w:sz="0" w:space="0" w:color="auto"/>
        <w:bottom w:val="none" w:sz="0" w:space="0" w:color="auto"/>
        <w:right w:val="none" w:sz="0" w:space="0" w:color="auto"/>
      </w:divBdr>
    </w:div>
    <w:div w:id="645595437">
      <w:bodyDiv w:val="1"/>
      <w:marLeft w:val="0"/>
      <w:marRight w:val="0"/>
      <w:marTop w:val="0"/>
      <w:marBottom w:val="0"/>
      <w:divBdr>
        <w:top w:val="none" w:sz="0" w:space="0" w:color="auto"/>
        <w:left w:val="none" w:sz="0" w:space="0" w:color="auto"/>
        <w:bottom w:val="none" w:sz="0" w:space="0" w:color="auto"/>
        <w:right w:val="none" w:sz="0" w:space="0" w:color="auto"/>
      </w:divBdr>
    </w:div>
    <w:div w:id="657998802">
      <w:bodyDiv w:val="1"/>
      <w:marLeft w:val="0"/>
      <w:marRight w:val="0"/>
      <w:marTop w:val="0"/>
      <w:marBottom w:val="0"/>
      <w:divBdr>
        <w:top w:val="none" w:sz="0" w:space="0" w:color="auto"/>
        <w:left w:val="none" w:sz="0" w:space="0" w:color="auto"/>
        <w:bottom w:val="none" w:sz="0" w:space="0" w:color="auto"/>
        <w:right w:val="none" w:sz="0" w:space="0" w:color="auto"/>
      </w:divBdr>
    </w:div>
    <w:div w:id="666055398">
      <w:bodyDiv w:val="1"/>
      <w:marLeft w:val="0"/>
      <w:marRight w:val="0"/>
      <w:marTop w:val="0"/>
      <w:marBottom w:val="0"/>
      <w:divBdr>
        <w:top w:val="none" w:sz="0" w:space="0" w:color="auto"/>
        <w:left w:val="none" w:sz="0" w:space="0" w:color="auto"/>
        <w:bottom w:val="none" w:sz="0" w:space="0" w:color="auto"/>
        <w:right w:val="none" w:sz="0" w:space="0" w:color="auto"/>
      </w:divBdr>
    </w:div>
    <w:div w:id="671105157">
      <w:bodyDiv w:val="1"/>
      <w:marLeft w:val="0"/>
      <w:marRight w:val="0"/>
      <w:marTop w:val="0"/>
      <w:marBottom w:val="0"/>
      <w:divBdr>
        <w:top w:val="none" w:sz="0" w:space="0" w:color="auto"/>
        <w:left w:val="none" w:sz="0" w:space="0" w:color="auto"/>
        <w:bottom w:val="none" w:sz="0" w:space="0" w:color="auto"/>
        <w:right w:val="none" w:sz="0" w:space="0" w:color="auto"/>
      </w:divBdr>
    </w:div>
    <w:div w:id="674042618">
      <w:bodyDiv w:val="1"/>
      <w:marLeft w:val="0"/>
      <w:marRight w:val="0"/>
      <w:marTop w:val="0"/>
      <w:marBottom w:val="0"/>
      <w:divBdr>
        <w:top w:val="none" w:sz="0" w:space="0" w:color="auto"/>
        <w:left w:val="none" w:sz="0" w:space="0" w:color="auto"/>
        <w:bottom w:val="none" w:sz="0" w:space="0" w:color="auto"/>
        <w:right w:val="none" w:sz="0" w:space="0" w:color="auto"/>
      </w:divBdr>
    </w:div>
    <w:div w:id="676469998">
      <w:bodyDiv w:val="1"/>
      <w:marLeft w:val="0"/>
      <w:marRight w:val="0"/>
      <w:marTop w:val="0"/>
      <w:marBottom w:val="0"/>
      <w:divBdr>
        <w:top w:val="none" w:sz="0" w:space="0" w:color="auto"/>
        <w:left w:val="none" w:sz="0" w:space="0" w:color="auto"/>
        <w:bottom w:val="none" w:sz="0" w:space="0" w:color="auto"/>
        <w:right w:val="none" w:sz="0" w:space="0" w:color="auto"/>
      </w:divBdr>
    </w:div>
    <w:div w:id="711343490">
      <w:bodyDiv w:val="1"/>
      <w:marLeft w:val="0"/>
      <w:marRight w:val="0"/>
      <w:marTop w:val="0"/>
      <w:marBottom w:val="0"/>
      <w:divBdr>
        <w:top w:val="none" w:sz="0" w:space="0" w:color="auto"/>
        <w:left w:val="none" w:sz="0" w:space="0" w:color="auto"/>
        <w:bottom w:val="none" w:sz="0" w:space="0" w:color="auto"/>
        <w:right w:val="none" w:sz="0" w:space="0" w:color="auto"/>
      </w:divBdr>
    </w:div>
    <w:div w:id="712077612">
      <w:bodyDiv w:val="1"/>
      <w:marLeft w:val="0"/>
      <w:marRight w:val="0"/>
      <w:marTop w:val="0"/>
      <w:marBottom w:val="0"/>
      <w:divBdr>
        <w:top w:val="none" w:sz="0" w:space="0" w:color="auto"/>
        <w:left w:val="none" w:sz="0" w:space="0" w:color="auto"/>
        <w:bottom w:val="none" w:sz="0" w:space="0" w:color="auto"/>
        <w:right w:val="none" w:sz="0" w:space="0" w:color="auto"/>
      </w:divBdr>
    </w:div>
    <w:div w:id="716785700">
      <w:bodyDiv w:val="1"/>
      <w:marLeft w:val="0"/>
      <w:marRight w:val="0"/>
      <w:marTop w:val="0"/>
      <w:marBottom w:val="0"/>
      <w:divBdr>
        <w:top w:val="none" w:sz="0" w:space="0" w:color="auto"/>
        <w:left w:val="none" w:sz="0" w:space="0" w:color="auto"/>
        <w:bottom w:val="none" w:sz="0" w:space="0" w:color="auto"/>
        <w:right w:val="none" w:sz="0" w:space="0" w:color="auto"/>
      </w:divBdr>
    </w:div>
    <w:div w:id="725878839">
      <w:bodyDiv w:val="1"/>
      <w:marLeft w:val="0"/>
      <w:marRight w:val="0"/>
      <w:marTop w:val="0"/>
      <w:marBottom w:val="0"/>
      <w:divBdr>
        <w:top w:val="none" w:sz="0" w:space="0" w:color="auto"/>
        <w:left w:val="none" w:sz="0" w:space="0" w:color="auto"/>
        <w:bottom w:val="none" w:sz="0" w:space="0" w:color="auto"/>
        <w:right w:val="none" w:sz="0" w:space="0" w:color="auto"/>
      </w:divBdr>
    </w:div>
    <w:div w:id="726493190">
      <w:bodyDiv w:val="1"/>
      <w:marLeft w:val="0"/>
      <w:marRight w:val="0"/>
      <w:marTop w:val="0"/>
      <w:marBottom w:val="0"/>
      <w:divBdr>
        <w:top w:val="none" w:sz="0" w:space="0" w:color="auto"/>
        <w:left w:val="none" w:sz="0" w:space="0" w:color="auto"/>
        <w:bottom w:val="none" w:sz="0" w:space="0" w:color="auto"/>
        <w:right w:val="none" w:sz="0" w:space="0" w:color="auto"/>
      </w:divBdr>
    </w:div>
    <w:div w:id="733430357">
      <w:bodyDiv w:val="1"/>
      <w:marLeft w:val="0"/>
      <w:marRight w:val="0"/>
      <w:marTop w:val="0"/>
      <w:marBottom w:val="0"/>
      <w:divBdr>
        <w:top w:val="none" w:sz="0" w:space="0" w:color="auto"/>
        <w:left w:val="none" w:sz="0" w:space="0" w:color="auto"/>
        <w:bottom w:val="none" w:sz="0" w:space="0" w:color="auto"/>
        <w:right w:val="none" w:sz="0" w:space="0" w:color="auto"/>
      </w:divBdr>
    </w:div>
    <w:div w:id="736169524">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4839045">
      <w:bodyDiv w:val="1"/>
      <w:marLeft w:val="0"/>
      <w:marRight w:val="0"/>
      <w:marTop w:val="0"/>
      <w:marBottom w:val="0"/>
      <w:divBdr>
        <w:top w:val="none" w:sz="0" w:space="0" w:color="auto"/>
        <w:left w:val="none" w:sz="0" w:space="0" w:color="auto"/>
        <w:bottom w:val="none" w:sz="0" w:space="0" w:color="auto"/>
        <w:right w:val="none" w:sz="0" w:space="0" w:color="auto"/>
      </w:divBdr>
    </w:div>
    <w:div w:id="763764108">
      <w:bodyDiv w:val="1"/>
      <w:marLeft w:val="0"/>
      <w:marRight w:val="0"/>
      <w:marTop w:val="0"/>
      <w:marBottom w:val="0"/>
      <w:divBdr>
        <w:top w:val="none" w:sz="0" w:space="0" w:color="auto"/>
        <w:left w:val="none" w:sz="0" w:space="0" w:color="auto"/>
        <w:bottom w:val="none" w:sz="0" w:space="0" w:color="auto"/>
        <w:right w:val="none" w:sz="0" w:space="0" w:color="auto"/>
      </w:divBdr>
    </w:div>
    <w:div w:id="768086747">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7068762">
      <w:bodyDiv w:val="1"/>
      <w:marLeft w:val="0"/>
      <w:marRight w:val="0"/>
      <w:marTop w:val="0"/>
      <w:marBottom w:val="0"/>
      <w:divBdr>
        <w:top w:val="none" w:sz="0" w:space="0" w:color="auto"/>
        <w:left w:val="none" w:sz="0" w:space="0" w:color="auto"/>
        <w:bottom w:val="none" w:sz="0" w:space="0" w:color="auto"/>
        <w:right w:val="none" w:sz="0" w:space="0" w:color="auto"/>
      </w:divBdr>
    </w:div>
    <w:div w:id="778721407">
      <w:bodyDiv w:val="1"/>
      <w:marLeft w:val="0"/>
      <w:marRight w:val="0"/>
      <w:marTop w:val="0"/>
      <w:marBottom w:val="0"/>
      <w:divBdr>
        <w:top w:val="none" w:sz="0" w:space="0" w:color="auto"/>
        <w:left w:val="none" w:sz="0" w:space="0" w:color="auto"/>
        <w:bottom w:val="none" w:sz="0" w:space="0" w:color="auto"/>
        <w:right w:val="none" w:sz="0" w:space="0" w:color="auto"/>
      </w:divBdr>
    </w:div>
    <w:div w:id="780731797">
      <w:bodyDiv w:val="1"/>
      <w:marLeft w:val="0"/>
      <w:marRight w:val="0"/>
      <w:marTop w:val="0"/>
      <w:marBottom w:val="0"/>
      <w:divBdr>
        <w:top w:val="none" w:sz="0" w:space="0" w:color="auto"/>
        <w:left w:val="none" w:sz="0" w:space="0" w:color="auto"/>
        <w:bottom w:val="none" w:sz="0" w:space="0" w:color="auto"/>
        <w:right w:val="none" w:sz="0" w:space="0" w:color="auto"/>
      </w:divBdr>
    </w:div>
    <w:div w:id="786242191">
      <w:bodyDiv w:val="1"/>
      <w:marLeft w:val="0"/>
      <w:marRight w:val="0"/>
      <w:marTop w:val="0"/>
      <w:marBottom w:val="0"/>
      <w:divBdr>
        <w:top w:val="none" w:sz="0" w:space="0" w:color="auto"/>
        <w:left w:val="none" w:sz="0" w:space="0" w:color="auto"/>
        <w:bottom w:val="none" w:sz="0" w:space="0" w:color="auto"/>
        <w:right w:val="none" w:sz="0" w:space="0" w:color="auto"/>
      </w:divBdr>
    </w:div>
    <w:div w:id="790131481">
      <w:bodyDiv w:val="1"/>
      <w:marLeft w:val="0"/>
      <w:marRight w:val="0"/>
      <w:marTop w:val="0"/>
      <w:marBottom w:val="0"/>
      <w:divBdr>
        <w:top w:val="none" w:sz="0" w:space="0" w:color="auto"/>
        <w:left w:val="none" w:sz="0" w:space="0" w:color="auto"/>
        <w:bottom w:val="none" w:sz="0" w:space="0" w:color="auto"/>
        <w:right w:val="none" w:sz="0" w:space="0" w:color="auto"/>
      </w:divBdr>
    </w:div>
    <w:div w:id="791246326">
      <w:bodyDiv w:val="1"/>
      <w:marLeft w:val="0"/>
      <w:marRight w:val="0"/>
      <w:marTop w:val="0"/>
      <w:marBottom w:val="0"/>
      <w:divBdr>
        <w:top w:val="none" w:sz="0" w:space="0" w:color="auto"/>
        <w:left w:val="none" w:sz="0" w:space="0" w:color="auto"/>
        <w:bottom w:val="none" w:sz="0" w:space="0" w:color="auto"/>
        <w:right w:val="none" w:sz="0" w:space="0" w:color="auto"/>
      </w:divBdr>
    </w:div>
    <w:div w:id="791285366">
      <w:bodyDiv w:val="1"/>
      <w:marLeft w:val="0"/>
      <w:marRight w:val="0"/>
      <w:marTop w:val="0"/>
      <w:marBottom w:val="0"/>
      <w:divBdr>
        <w:top w:val="none" w:sz="0" w:space="0" w:color="auto"/>
        <w:left w:val="none" w:sz="0" w:space="0" w:color="auto"/>
        <w:bottom w:val="none" w:sz="0" w:space="0" w:color="auto"/>
        <w:right w:val="none" w:sz="0" w:space="0" w:color="auto"/>
      </w:divBdr>
    </w:div>
    <w:div w:id="792866892">
      <w:bodyDiv w:val="1"/>
      <w:marLeft w:val="0"/>
      <w:marRight w:val="0"/>
      <w:marTop w:val="0"/>
      <w:marBottom w:val="0"/>
      <w:divBdr>
        <w:top w:val="none" w:sz="0" w:space="0" w:color="auto"/>
        <w:left w:val="none" w:sz="0" w:space="0" w:color="auto"/>
        <w:bottom w:val="none" w:sz="0" w:space="0" w:color="auto"/>
        <w:right w:val="none" w:sz="0" w:space="0" w:color="auto"/>
      </w:divBdr>
    </w:div>
    <w:div w:id="804391237">
      <w:bodyDiv w:val="1"/>
      <w:marLeft w:val="0"/>
      <w:marRight w:val="0"/>
      <w:marTop w:val="0"/>
      <w:marBottom w:val="0"/>
      <w:divBdr>
        <w:top w:val="none" w:sz="0" w:space="0" w:color="auto"/>
        <w:left w:val="none" w:sz="0" w:space="0" w:color="auto"/>
        <w:bottom w:val="none" w:sz="0" w:space="0" w:color="auto"/>
        <w:right w:val="none" w:sz="0" w:space="0" w:color="auto"/>
      </w:divBdr>
    </w:div>
    <w:div w:id="805391859">
      <w:bodyDiv w:val="1"/>
      <w:marLeft w:val="0"/>
      <w:marRight w:val="0"/>
      <w:marTop w:val="0"/>
      <w:marBottom w:val="0"/>
      <w:divBdr>
        <w:top w:val="none" w:sz="0" w:space="0" w:color="auto"/>
        <w:left w:val="none" w:sz="0" w:space="0" w:color="auto"/>
        <w:bottom w:val="none" w:sz="0" w:space="0" w:color="auto"/>
        <w:right w:val="none" w:sz="0" w:space="0" w:color="auto"/>
      </w:divBdr>
    </w:div>
    <w:div w:id="805466473">
      <w:bodyDiv w:val="1"/>
      <w:marLeft w:val="0"/>
      <w:marRight w:val="0"/>
      <w:marTop w:val="0"/>
      <w:marBottom w:val="0"/>
      <w:divBdr>
        <w:top w:val="none" w:sz="0" w:space="0" w:color="auto"/>
        <w:left w:val="none" w:sz="0" w:space="0" w:color="auto"/>
        <w:bottom w:val="none" w:sz="0" w:space="0" w:color="auto"/>
        <w:right w:val="none" w:sz="0" w:space="0" w:color="auto"/>
      </w:divBdr>
    </w:div>
    <w:div w:id="810634846">
      <w:bodyDiv w:val="1"/>
      <w:marLeft w:val="0"/>
      <w:marRight w:val="0"/>
      <w:marTop w:val="0"/>
      <w:marBottom w:val="0"/>
      <w:divBdr>
        <w:top w:val="none" w:sz="0" w:space="0" w:color="auto"/>
        <w:left w:val="none" w:sz="0" w:space="0" w:color="auto"/>
        <w:bottom w:val="none" w:sz="0" w:space="0" w:color="auto"/>
        <w:right w:val="none" w:sz="0" w:space="0" w:color="auto"/>
      </w:divBdr>
    </w:div>
    <w:div w:id="821704189">
      <w:bodyDiv w:val="1"/>
      <w:marLeft w:val="0"/>
      <w:marRight w:val="0"/>
      <w:marTop w:val="0"/>
      <w:marBottom w:val="0"/>
      <w:divBdr>
        <w:top w:val="none" w:sz="0" w:space="0" w:color="auto"/>
        <w:left w:val="none" w:sz="0" w:space="0" w:color="auto"/>
        <w:bottom w:val="none" w:sz="0" w:space="0" w:color="auto"/>
        <w:right w:val="none" w:sz="0" w:space="0" w:color="auto"/>
      </w:divBdr>
    </w:div>
    <w:div w:id="822696853">
      <w:bodyDiv w:val="1"/>
      <w:marLeft w:val="0"/>
      <w:marRight w:val="0"/>
      <w:marTop w:val="0"/>
      <w:marBottom w:val="0"/>
      <w:divBdr>
        <w:top w:val="none" w:sz="0" w:space="0" w:color="auto"/>
        <w:left w:val="none" w:sz="0" w:space="0" w:color="auto"/>
        <w:bottom w:val="none" w:sz="0" w:space="0" w:color="auto"/>
        <w:right w:val="none" w:sz="0" w:space="0" w:color="auto"/>
      </w:divBdr>
    </w:div>
    <w:div w:id="829908331">
      <w:bodyDiv w:val="1"/>
      <w:marLeft w:val="0"/>
      <w:marRight w:val="0"/>
      <w:marTop w:val="0"/>
      <w:marBottom w:val="0"/>
      <w:divBdr>
        <w:top w:val="none" w:sz="0" w:space="0" w:color="auto"/>
        <w:left w:val="none" w:sz="0" w:space="0" w:color="auto"/>
        <w:bottom w:val="none" w:sz="0" w:space="0" w:color="auto"/>
        <w:right w:val="none" w:sz="0" w:space="0" w:color="auto"/>
      </w:divBdr>
    </w:div>
    <w:div w:id="833884647">
      <w:bodyDiv w:val="1"/>
      <w:marLeft w:val="0"/>
      <w:marRight w:val="0"/>
      <w:marTop w:val="0"/>
      <w:marBottom w:val="0"/>
      <w:divBdr>
        <w:top w:val="none" w:sz="0" w:space="0" w:color="auto"/>
        <w:left w:val="none" w:sz="0" w:space="0" w:color="auto"/>
        <w:bottom w:val="none" w:sz="0" w:space="0" w:color="auto"/>
        <w:right w:val="none" w:sz="0" w:space="0" w:color="auto"/>
      </w:divBdr>
    </w:div>
    <w:div w:id="838161253">
      <w:bodyDiv w:val="1"/>
      <w:marLeft w:val="0"/>
      <w:marRight w:val="0"/>
      <w:marTop w:val="0"/>
      <w:marBottom w:val="0"/>
      <w:divBdr>
        <w:top w:val="none" w:sz="0" w:space="0" w:color="auto"/>
        <w:left w:val="none" w:sz="0" w:space="0" w:color="auto"/>
        <w:bottom w:val="none" w:sz="0" w:space="0" w:color="auto"/>
        <w:right w:val="none" w:sz="0" w:space="0" w:color="auto"/>
      </w:divBdr>
    </w:div>
    <w:div w:id="839196015">
      <w:bodyDiv w:val="1"/>
      <w:marLeft w:val="0"/>
      <w:marRight w:val="0"/>
      <w:marTop w:val="0"/>
      <w:marBottom w:val="0"/>
      <w:divBdr>
        <w:top w:val="none" w:sz="0" w:space="0" w:color="auto"/>
        <w:left w:val="none" w:sz="0" w:space="0" w:color="auto"/>
        <w:bottom w:val="none" w:sz="0" w:space="0" w:color="auto"/>
        <w:right w:val="none" w:sz="0" w:space="0" w:color="auto"/>
      </w:divBdr>
    </w:div>
    <w:div w:id="839346666">
      <w:bodyDiv w:val="1"/>
      <w:marLeft w:val="0"/>
      <w:marRight w:val="0"/>
      <w:marTop w:val="0"/>
      <w:marBottom w:val="0"/>
      <w:divBdr>
        <w:top w:val="none" w:sz="0" w:space="0" w:color="auto"/>
        <w:left w:val="none" w:sz="0" w:space="0" w:color="auto"/>
        <w:bottom w:val="none" w:sz="0" w:space="0" w:color="auto"/>
        <w:right w:val="none" w:sz="0" w:space="0" w:color="auto"/>
      </w:divBdr>
    </w:div>
    <w:div w:id="844174868">
      <w:bodyDiv w:val="1"/>
      <w:marLeft w:val="0"/>
      <w:marRight w:val="0"/>
      <w:marTop w:val="0"/>
      <w:marBottom w:val="0"/>
      <w:divBdr>
        <w:top w:val="none" w:sz="0" w:space="0" w:color="auto"/>
        <w:left w:val="none" w:sz="0" w:space="0" w:color="auto"/>
        <w:bottom w:val="none" w:sz="0" w:space="0" w:color="auto"/>
        <w:right w:val="none" w:sz="0" w:space="0" w:color="auto"/>
      </w:divBdr>
    </w:div>
    <w:div w:id="853347921">
      <w:bodyDiv w:val="1"/>
      <w:marLeft w:val="0"/>
      <w:marRight w:val="0"/>
      <w:marTop w:val="0"/>
      <w:marBottom w:val="0"/>
      <w:divBdr>
        <w:top w:val="none" w:sz="0" w:space="0" w:color="auto"/>
        <w:left w:val="none" w:sz="0" w:space="0" w:color="auto"/>
        <w:bottom w:val="none" w:sz="0" w:space="0" w:color="auto"/>
        <w:right w:val="none" w:sz="0" w:space="0" w:color="auto"/>
      </w:divBdr>
    </w:div>
    <w:div w:id="861405913">
      <w:bodyDiv w:val="1"/>
      <w:marLeft w:val="0"/>
      <w:marRight w:val="0"/>
      <w:marTop w:val="0"/>
      <w:marBottom w:val="0"/>
      <w:divBdr>
        <w:top w:val="none" w:sz="0" w:space="0" w:color="auto"/>
        <w:left w:val="none" w:sz="0" w:space="0" w:color="auto"/>
        <w:bottom w:val="none" w:sz="0" w:space="0" w:color="auto"/>
        <w:right w:val="none" w:sz="0" w:space="0" w:color="auto"/>
      </w:divBdr>
    </w:div>
    <w:div w:id="868908005">
      <w:bodyDiv w:val="1"/>
      <w:marLeft w:val="0"/>
      <w:marRight w:val="0"/>
      <w:marTop w:val="0"/>
      <w:marBottom w:val="0"/>
      <w:divBdr>
        <w:top w:val="none" w:sz="0" w:space="0" w:color="auto"/>
        <w:left w:val="none" w:sz="0" w:space="0" w:color="auto"/>
        <w:bottom w:val="none" w:sz="0" w:space="0" w:color="auto"/>
        <w:right w:val="none" w:sz="0" w:space="0" w:color="auto"/>
      </w:divBdr>
    </w:div>
    <w:div w:id="871577218">
      <w:bodyDiv w:val="1"/>
      <w:marLeft w:val="0"/>
      <w:marRight w:val="0"/>
      <w:marTop w:val="0"/>
      <w:marBottom w:val="0"/>
      <w:divBdr>
        <w:top w:val="none" w:sz="0" w:space="0" w:color="auto"/>
        <w:left w:val="none" w:sz="0" w:space="0" w:color="auto"/>
        <w:bottom w:val="none" w:sz="0" w:space="0" w:color="auto"/>
        <w:right w:val="none" w:sz="0" w:space="0" w:color="auto"/>
      </w:divBdr>
    </w:div>
    <w:div w:id="874778070">
      <w:bodyDiv w:val="1"/>
      <w:marLeft w:val="0"/>
      <w:marRight w:val="0"/>
      <w:marTop w:val="0"/>
      <w:marBottom w:val="0"/>
      <w:divBdr>
        <w:top w:val="none" w:sz="0" w:space="0" w:color="auto"/>
        <w:left w:val="none" w:sz="0" w:space="0" w:color="auto"/>
        <w:bottom w:val="none" w:sz="0" w:space="0" w:color="auto"/>
        <w:right w:val="none" w:sz="0" w:space="0" w:color="auto"/>
      </w:divBdr>
    </w:div>
    <w:div w:id="878276087">
      <w:bodyDiv w:val="1"/>
      <w:marLeft w:val="0"/>
      <w:marRight w:val="0"/>
      <w:marTop w:val="0"/>
      <w:marBottom w:val="0"/>
      <w:divBdr>
        <w:top w:val="none" w:sz="0" w:space="0" w:color="auto"/>
        <w:left w:val="none" w:sz="0" w:space="0" w:color="auto"/>
        <w:bottom w:val="none" w:sz="0" w:space="0" w:color="auto"/>
        <w:right w:val="none" w:sz="0" w:space="0" w:color="auto"/>
      </w:divBdr>
    </w:div>
    <w:div w:id="890504042">
      <w:bodyDiv w:val="1"/>
      <w:marLeft w:val="0"/>
      <w:marRight w:val="0"/>
      <w:marTop w:val="0"/>
      <w:marBottom w:val="0"/>
      <w:divBdr>
        <w:top w:val="none" w:sz="0" w:space="0" w:color="auto"/>
        <w:left w:val="none" w:sz="0" w:space="0" w:color="auto"/>
        <w:bottom w:val="none" w:sz="0" w:space="0" w:color="auto"/>
        <w:right w:val="none" w:sz="0" w:space="0" w:color="auto"/>
      </w:divBdr>
    </w:div>
    <w:div w:id="896281334">
      <w:bodyDiv w:val="1"/>
      <w:marLeft w:val="0"/>
      <w:marRight w:val="0"/>
      <w:marTop w:val="0"/>
      <w:marBottom w:val="0"/>
      <w:divBdr>
        <w:top w:val="none" w:sz="0" w:space="0" w:color="auto"/>
        <w:left w:val="none" w:sz="0" w:space="0" w:color="auto"/>
        <w:bottom w:val="none" w:sz="0" w:space="0" w:color="auto"/>
        <w:right w:val="none" w:sz="0" w:space="0" w:color="auto"/>
      </w:divBdr>
    </w:div>
    <w:div w:id="897547541">
      <w:bodyDiv w:val="1"/>
      <w:marLeft w:val="0"/>
      <w:marRight w:val="0"/>
      <w:marTop w:val="0"/>
      <w:marBottom w:val="0"/>
      <w:divBdr>
        <w:top w:val="none" w:sz="0" w:space="0" w:color="auto"/>
        <w:left w:val="none" w:sz="0" w:space="0" w:color="auto"/>
        <w:bottom w:val="none" w:sz="0" w:space="0" w:color="auto"/>
        <w:right w:val="none" w:sz="0" w:space="0" w:color="auto"/>
      </w:divBdr>
    </w:div>
    <w:div w:id="897937539">
      <w:bodyDiv w:val="1"/>
      <w:marLeft w:val="0"/>
      <w:marRight w:val="0"/>
      <w:marTop w:val="0"/>
      <w:marBottom w:val="0"/>
      <w:divBdr>
        <w:top w:val="none" w:sz="0" w:space="0" w:color="auto"/>
        <w:left w:val="none" w:sz="0" w:space="0" w:color="auto"/>
        <w:bottom w:val="none" w:sz="0" w:space="0" w:color="auto"/>
        <w:right w:val="none" w:sz="0" w:space="0" w:color="auto"/>
      </w:divBdr>
    </w:div>
    <w:div w:id="899486164">
      <w:bodyDiv w:val="1"/>
      <w:marLeft w:val="0"/>
      <w:marRight w:val="0"/>
      <w:marTop w:val="0"/>
      <w:marBottom w:val="0"/>
      <w:divBdr>
        <w:top w:val="none" w:sz="0" w:space="0" w:color="auto"/>
        <w:left w:val="none" w:sz="0" w:space="0" w:color="auto"/>
        <w:bottom w:val="none" w:sz="0" w:space="0" w:color="auto"/>
        <w:right w:val="none" w:sz="0" w:space="0" w:color="auto"/>
      </w:divBdr>
    </w:div>
    <w:div w:id="901985340">
      <w:bodyDiv w:val="1"/>
      <w:marLeft w:val="0"/>
      <w:marRight w:val="0"/>
      <w:marTop w:val="0"/>
      <w:marBottom w:val="0"/>
      <w:divBdr>
        <w:top w:val="none" w:sz="0" w:space="0" w:color="auto"/>
        <w:left w:val="none" w:sz="0" w:space="0" w:color="auto"/>
        <w:bottom w:val="none" w:sz="0" w:space="0" w:color="auto"/>
        <w:right w:val="none" w:sz="0" w:space="0" w:color="auto"/>
      </w:divBdr>
    </w:div>
    <w:div w:id="907810368">
      <w:bodyDiv w:val="1"/>
      <w:marLeft w:val="0"/>
      <w:marRight w:val="0"/>
      <w:marTop w:val="0"/>
      <w:marBottom w:val="0"/>
      <w:divBdr>
        <w:top w:val="none" w:sz="0" w:space="0" w:color="auto"/>
        <w:left w:val="none" w:sz="0" w:space="0" w:color="auto"/>
        <w:bottom w:val="none" w:sz="0" w:space="0" w:color="auto"/>
        <w:right w:val="none" w:sz="0" w:space="0" w:color="auto"/>
      </w:divBdr>
    </w:div>
    <w:div w:id="914320583">
      <w:bodyDiv w:val="1"/>
      <w:marLeft w:val="0"/>
      <w:marRight w:val="0"/>
      <w:marTop w:val="0"/>
      <w:marBottom w:val="0"/>
      <w:divBdr>
        <w:top w:val="none" w:sz="0" w:space="0" w:color="auto"/>
        <w:left w:val="none" w:sz="0" w:space="0" w:color="auto"/>
        <w:bottom w:val="none" w:sz="0" w:space="0" w:color="auto"/>
        <w:right w:val="none" w:sz="0" w:space="0" w:color="auto"/>
      </w:divBdr>
    </w:div>
    <w:div w:id="916521468">
      <w:bodyDiv w:val="1"/>
      <w:marLeft w:val="0"/>
      <w:marRight w:val="0"/>
      <w:marTop w:val="0"/>
      <w:marBottom w:val="0"/>
      <w:divBdr>
        <w:top w:val="none" w:sz="0" w:space="0" w:color="auto"/>
        <w:left w:val="none" w:sz="0" w:space="0" w:color="auto"/>
        <w:bottom w:val="none" w:sz="0" w:space="0" w:color="auto"/>
        <w:right w:val="none" w:sz="0" w:space="0" w:color="auto"/>
      </w:divBdr>
    </w:div>
    <w:div w:id="931664609">
      <w:bodyDiv w:val="1"/>
      <w:marLeft w:val="0"/>
      <w:marRight w:val="0"/>
      <w:marTop w:val="0"/>
      <w:marBottom w:val="0"/>
      <w:divBdr>
        <w:top w:val="none" w:sz="0" w:space="0" w:color="auto"/>
        <w:left w:val="none" w:sz="0" w:space="0" w:color="auto"/>
        <w:bottom w:val="none" w:sz="0" w:space="0" w:color="auto"/>
        <w:right w:val="none" w:sz="0" w:space="0" w:color="auto"/>
      </w:divBdr>
    </w:div>
    <w:div w:id="932857161">
      <w:bodyDiv w:val="1"/>
      <w:marLeft w:val="0"/>
      <w:marRight w:val="0"/>
      <w:marTop w:val="0"/>
      <w:marBottom w:val="0"/>
      <w:divBdr>
        <w:top w:val="none" w:sz="0" w:space="0" w:color="auto"/>
        <w:left w:val="none" w:sz="0" w:space="0" w:color="auto"/>
        <w:bottom w:val="none" w:sz="0" w:space="0" w:color="auto"/>
        <w:right w:val="none" w:sz="0" w:space="0" w:color="auto"/>
      </w:divBdr>
    </w:div>
    <w:div w:id="938374092">
      <w:bodyDiv w:val="1"/>
      <w:marLeft w:val="0"/>
      <w:marRight w:val="0"/>
      <w:marTop w:val="0"/>
      <w:marBottom w:val="0"/>
      <w:divBdr>
        <w:top w:val="none" w:sz="0" w:space="0" w:color="auto"/>
        <w:left w:val="none" w:sz="0" w:space="0" w:color="auto"/>
        <w:bottom w:val="none" w:sz="0" w:space="0" w:color="auto"/>
        <w:right w:val="none" w:sz="0" w:space="0" w:color="auto"/>
      </w:divBdr>
    </w:div>
    <w:div w:id="939680889">
      <w:bodyDiv w:val="1"/>
      <w:marLeft w:val="0"/>
      <w:marRight w:val="0"/>
      <w:marTop w:val="0"/>
      <w:marBottom w:val="0"/>
      <w:divBdr>
        <w:top w:val="none" w:sz="0" w:space="0" w:color="auto"/>
        <w:left w:val="none" w:sz="0" w:space="0" w:color="auto"/>
        <w:bottom w:val="none" w:sz="0" w:space="0" w:color="auto"/>
        <w:right w:val="none" w:sz="0" w:space="0" w:color="auto"/>
      </w:divBdr>
    </w:div>
    <w:div w:id="945038896">
      <w:bodyDiv w:val="1"/>
      <w:marLeft w:val="0"/>
      <w:marRight w:val="0"/>
      <w:marTop w:val="0"/>
      <w:marBottom w:val="0"/>
      <w:divBdr>
        <w:top w:val="none" w:sz="0" w:space="0" w:color="auto"/>
        <w:left w:val="none" w:sz="0" w:space="0" w:color="auto"/>
        <w:bottom w:val="none" w:sz="0" w:space="0" w:color="auto"/>
        <w:right w:val="none" w:sz="0" w:space="0" w:color="auto"/>
      </w:divBdr>
    </w:div>
    <w:div w:id="951713954">
      <w:bodyDiv w:val="1"/>
      <w:marLeft w:val="0"/>
      <w:marRight w:val="0"/>
      <w:marTop w:val="0"/>
      <w:marBottom w:val="0"/>
      <w:divBdr>
        <w:top w:val="none" w:sz="0" w:space="0" w:color="auto"/>
        <w:left w:val="none" w:sz="0" w:space="0" w:color="auto"/>
        <w:bottom w:val="none" w:sz="0" w:space="0" w:color="auto"/>
        <w:right w:val="none" w:sz="0" w:space="0" w:color="auto"/>
      </w:divBdr>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62659254">
      <w:bodyDiv w:val="1"/>
      <w:marLeft w:val="0"/>
      <w:marRight w:val="0"/>
      <w:marTop w:val="0"/>
      <w:marBottom w:val="0"/>
      <w:divBdr>
        <w:top w:val="none" w:sz="0" w:space="0" w:color="auto"/>
        <w:left w:val="none" w:sz="0" w:space="0" w:color="auto"/>
        <w:bottom w:val="none" w:sz="0" w:space="0" w:color="auto"/>
        <w:right w:val="none" w:sz="0" w:space="0" w:color="auto"/>
      </w:divBdr>
    </w:div>
    <w:div w:id="963193108">
      <w:bodyDiv w:val="1"/>
      <w:marLeft w:val="0"/>
      <w:marRight w:val="0"/>
      <w:marTop w:val="0"/>
      <w:marBottom w:val="0"/>
      <w:divBdr>
        <w:top w:val="none" w:sz="0" w:space="0" w:color="auto"/>
        <w:left w:val="none" w:sz="0" w:space="0" w:color="auto"/>
        <w:bottom w:val="none" w:sz="0" w:space="0" w:color="auto"/>
        <w:right w:val="none" w:sz="0" w:space="0" w:color="auto"/>
      </w:divBdr>
    </w:div>
    <w:div w:id="979654022">
      <w:bodyDiv w:val="1"/>
      <w:marLeft w:val="0"/>
      <w:marRight w:val="0"/>
      <w:marTop w:val="0"/>
      <w:marBottom w:val="0"/>
      <w:divBdr>
        <w:top w:val="none" w:sz="0" w:space="0" w:color="auto"/>
        <w:left w:val="none" w:sz="0" w:space="0" w:color="auto"/>
        <w:bottom w:val="none" w:sz="0" w:space="0" w:color="auto"/>
        <w:right w:val="none" w:sz="0" w:space="0" w:color="auto"/>
      </w:divBdr>
    </w:div>
    <w:div w:id="991064782">
      <w:bodyDiv w:val="1"/>
      <w:marLeft w:val="0"/>
      <w:marRight w:val="0"/>
      <w:marTop w:val="0"/>
      <w:marBottom w:val="0"/>
      <w:divBdr>
        <w:top w:val="none" w:sz="0" w:space="0" w:color="auto"/>
        <w:left w:val="none" w:sz="0" w:space="0" w:color="auto"/>
        <w:bottom w:val="none" w:sz="0" w:space="0" w:color="auto"/>
        <w:right w:val="none" w:sz="0" w:space="0" w:color="auto"/>
      </w:divBdr>
    </w:div>
    <w:div w:id="992028931">
      <w:bodyDiv w:val="1"/>
      <w:marLeft w:val="0"/>
      <w:marRight w:val="0"/>
      <w:marTop w:val="0"/>
      <w:marBottom w:val="0"/>
      <w:divBdr>
        <w:top w:val="none" w:sz="0" w:space="0" w:color="auto"/>
        <w:left w:val="none" w:sz="0" w:space="0" w:color="auto"/>
        <w:bottom w:val="none" w:sz="0" w:space="0" w:color="auto"/>
        <w:right w:val="none" w:sz="0" w:space="0" w:color="auto"/>
      </w:divBdr>
    </w:div>
    <w:div w:id="997805589">
      <w:bodyDiv w:val="1"/>
      <w:marLeft w:val="0"/>
      <w:marRight w:val="0"/>
      <w:marTop w:val="0"/>
      <w:marBottom w:val="0"/>
      <w:divBdr>
        <w:top w:val="none" w:sz="0" w:space="0" w:color="auto"/>
        <w:left w:val="none" w:sz="0" w:space="0" w:color="auto"/>
        <w:bottom w:val="none" w:sz="0" w:space="0" w:color="auto"/>
        <w:right w:val="none" w:sz="0" w:space="0" w:color="auto"/>
      </w:divBdr>
    </w:div>
    <w:div w:id="998728204">
      <w:bodyDiv w:val="1"/>
      <w:marLeft w:val="0"/>
      <w:marRight w:val="0"/>
      <w:marTop w:val="0"/>
      <w:marBottom w:val="0"/>
      <w:divBdr>
        <w:top w:val="none" w:sz="0" w:space="0" w:color="auto"/>
        <w:left w:val="none" w:sz="0" w:space="0" w:color="auto"/>
        <w:bottom w:val="none" w:sz="0" w:space="0" w:color="auto"/>
        <w:right w:val="none" w:sz="0" w:space="0" w:color="auto"/>
      </w:divBdr>
    </w:div>
    <w:div w:id="1004553681">
      <w:bodyDiv w:val="1"/>
      <w:marLeft w:val="0"/>
      <w:marRight w:val="0"/>
      <w:marTop w:val="0"/>
      <w:marBottom w:val="0"/>
      <w:divBdr>
        <w:top w:val="none" w:sz="0" w:space="0" w:color="auto"/>
        <w:left w:val="none" w:sz="0" w:space="0" w:color="auto"/>
        <w:bottom w:val="none" w:sz="0" w:space="0" w:color="auto"/>
        <w:right w:val="none" w:sz="0" w:space="0" w:color="auto"/>
      </w:divBdr>
    </w:div>
    <w:div w:id="1007295553">
      <w:bodyDiv w:val="1"/>
      <w:marLeft w:val="0"/>
      <w:marRight w:val="0"/>
      <w:marTop w:val="0"/>
      <w:marBottom w:val="0"/>
      <w:divBdr>
        <w:top w:val="none" w:sz="0" w:space="0" w:color="auto"/>
        <w:left w:val="none" w:sz="0" w:space="0" w:color="auto"/>
        <w:bottom w:val="none" w:sz="0" w:space="0" w:color="auto"/>
        <w:right w:val="none" w:sz="0" w:space="0" w:color="auto"/>
      </w:divBdr>
    </w:div>
    <w:div w:id="1013651043">
      <w:bodyDiv w:val="1"/>
      <w:marLeft w:val="0"/>
      <w:marRight w:val="0"/>
      <w:marTop w:val="0"/>
      <w:marBottom w:val="0"/>
      <w:divBdr>
        <w:top w:val="none" w:sz="0" w:space="0" w:color="auto"/>
        <w:left w:val="none" w:sz="0" w:space="0" w:color="auto"/>
        <w:bottom w:val="none" w:sz="0" w:space="0" w:color="auto"/>
        <w:right w:val="none" w:sz="0" w:space="0" w:color="auto"/>
      </w:divBdr>
    </w:div>
    <w:div w:id="1016082516">
      <w:bodyDiv w:val="1"/>
      <w:marLeft w:val="0"/>
      <w:marRight w:val="0"/>
      <w:marTop w:val="0"/>
      <w:marBottom w:val="0"/>
      <w:divBdr>
        <w:top w:val="none" w:sz="0" w:space="0" w:color="auto"/>
        <w:left w:val="none" w:sz="0" w:space="0" w:color="auto"/>
        <w:bottom w:val="none" w:sz="0" w:space="0" w:color="auto"/>
        <w:right w:val="none" w:sz="0" w:space="0" w:color="auto"/>
      </w:divBdr>
    </w:div>
    <w:div w:id="1019815647">
      <w:bodyDiv w:val="1"/>
      <w:marLeft w:val="0"/>
      <w:marRight w:val="0"/>
      <w:marTop w:val="0"/>
      <w:marBottom w:val="0"/>
      <w:divBdr>
        <w:top w:val="none" w:sz="0" w:space="0" w:color="auto"/>
        <w:left w:val="none" w:sz="0" w:space="0" w:color="auto"/>
        <w:bottom w:val="none" w:sz="0" w:space="0" w:color="auto"/>
        <w:right w:val="none" w:sz="0" w:space="0" w:color="auto"/>
      </w:divBdr>
    </w:div>
    <w:div w:id="1020207969">
      <w:bodyDiv w:val="1"/>
      <w:marLeft w:val="0"/>
      <w:marRight w:val="0"/>
      <w:marTop w:val="0"/>
      <w:marBottom w:val="0"/>
      <w:divBdr>
        <w:top w:val="none" w:sz="0" w:space="0" w:color="auto"/>
        <w:left w:val="none" w:sz="0" w:space="0" w:color="auto"/>
        <w:bottom w:val="none" w:sz="0" w:space="0" w:color="auto"/>
        <w:right w:val="none" w:sz="0" w:space="0" w:color="auto"/>
      </w:divBdr>
    </w:div>
    <w:div w:id="1023287040">
      <w:bodyDiv w:val="1"/>
      <w:marLeft w:val="0"/>
      <w:marRight w:val="0"/>
      <w:marTop w:val="0"/>
      <w:marBottom w:val="0"/>
      <w:divBdr>
        <w:top w:val="none" w:sz="0" w:space="0" w:color="auto"/>
        <w:left w:val="none" w:sz="0" w:space="0" w:color="auto"/>
        <w:bottom w:val="none" w:sz="0" w:space="0" w:color="auto"/>
        <w:right w:val="none" w:sz="0" w:space="0" w:color="auto"/>
      </w:divBdr>
    </w:div>
    <w:div w:id="1025061864">
      <w:bodyDiv w:val="1"/>
      <w:marLeft w:val="0"/>
      <w:marRight w:val="0"/>
      <w:marTop w:val="0"/>
      <w:marBottom w:val="0"/>
      <w:divBdr>
        <w:top w:val="none" w:sz="0" w:space="0" w:color="auto"/>
        <w:left w:val="none" w:sz="0" w:space="0" w:color="auto"/>
        <w:bottom w:val="none" w:sz="0" w:space="0" w:color="auto"/>
        <w:right w:val="none" w:sz="0" w:space="0" w:color="auto"/>
      </w:divBdr>
    </w:div>
    <w:div w:id="1029456026">
      <w:bodyDiv w:val="1"/>
      <w:marLeft w:val="0"/>
      <w:marRight w:val="0"/>
      <w:marTop w:val="0"/>
      <w:marBottom w:val="0"/>
      <w:divBdr>
        <w:top w:val="none" w:sz="0" w:space="0" w:color="auto"/>
        <w:left w:val="none" w:sz="0" w:space="0" w:color="auto"/>
        <w:bottom w:val="none" w:sz="0" w:space="0" w:color="auto"/>
        <w:right w:val="none" w:sz="0" w:space="0" w:color="auto"/>
      </w:divBdr>
    </w:div>
    <w:div w:id="1036462351">
      <w:bodyDiv w:val="1"/>
      <w:marLeft w:val="0"/>
      <w:marRight w:val="0"/>
      <w:marTop w:val="0"/>
      <w:marBottom w:val="0"/>
      <w:divBdr>
        <w:top w:val="none" w:sz="0" w:space="0" w:color="auto"/>
        <w:left w:val="none" w:sz="0" w:space="0" w:color="auto"/>
        <w:bottom w:val="none" w:sz="0" w:space="0" w:color="auto"/>
        <w:right w:val="none" w:sz="0" w:space="0" w:color="auto"/>
      </w:divBdr>
    </w:div>
    <w:div w:id="1039432441">
      <w:bodyDiv w:val="1"/>
      <w:marLeft w:val="0"/>
      <w:marRight w:val="0"/>
      <w:marTop w:val="0"/>
      <w:marBottom w:val="0"/>
      <w:divBdr>
        <w:top w:val="none" w:sz="0" w:space="0" w:color="auto"/>
        <w:left w:val="none" w:sz="0" w:space="0" w:color="auto"/>
        <w:bottom w:val="none" w:sz="0" w:space="0" w:color="auto"/>
        <w:right w:val="none" w:sz="0" w:space="0" w:color="auto"/>
      </w:divBdr>
    </w:div>
    <w:div w:id="1054542473">
      <w:bodyDiv w:val="1"/>
      <w:marLeft w:val="0"/>
      <w:marRight w:val="0"/>
      <w:marTop w:val="0"/>
      <w:marBottom w:val="0"/>
      <w:divBdr>
        <w:top w:val="none" w:sz="0" w:space="0" w:color="auto"/>
        <w:left w:val="none" w:sz="0" w:space="0" w:color="auto"/>
        <w:bottom w:val="none" w:sz="0" w:space="0" w:color="auto"/>
        <w:right w:val="none" w:sz="0" w:space="0" w:color="auto"/>
      </w:divBdr>
    </w:div>
    <w:div w:id="1057825941">
      <w:bodyDiv w:val="1"/>
      <w:marLeft w:val="0"/>
      <w:marRight w:val="0"/>
      <w:marTop w:val="0"/>
      <w:marBottom w:val="0"/>
      <w:divBdr>
        <w:top w:val="none" w:sz="0" w:space="0" w:color="auto"/>
        <w:left w:val="none" w:sz="0" w:space="0" w:color="auto"/>
        <w:bottom w:val="none" w:sz="0" w:space="0" w:color="auto"/>
        <w:right w:val="none" w:sz="0" w:space="0" w:color="auto"/>
      </w:divBdr>
    </w:div>
    <w:div w:id="1060590450">
      <w:bodyDiv w:val="1"/>
      <w:marLeft w:val="0"/>
      <w:marRight w:val="0"/>
      <w:marTop w:val="0"/>
      <w:marBottom w:val="0"/>
      <w:divBdr>
        <w:top w:val="none" w:sz="0" w:space="0" w:color="auto"/>
        <w:left w:val="none" w:sz="0" w:space="0" w:color="auto"/>
        <w:bottom w:val="none" w:sz="0" w:space="0" w:color="auto"/>
        <w:right w:val="none" w:sz="0" w:space="0" w:color="auto"/>
      </w:divBdr>
    </w:div>
    <w:div w:id="1067342727">
      <w:bodyDiv w:val="1"/>
      <w:marLeft w:val="0"/>
      <w:marRight w:val="0"/>
      <w:marTop w:val="0"/>
      <w:marBottom w:val="0"/>
      <w:divBdr>
        <w:top w:val="none" w:sz="0" w:space="0" w:color="auto"/>
        <w:left w:val="none" w:sz="0" w:space="0" w:color="auto"/>
        <w:bottom w:val="none" w:sz="0" w:space="0" w:color="auto"/>
        <w:right w:val="none" w:sz="0" w:space="0" w:color="auto"/>
      </w:divBdr>
    </w:div>
    <w:div w:id="1085371856">
      <w:bodyDiv w:val="1"/>
      <w:marLeft w:val="0"/>
      <w:marRight w:val="0"/>
      <w:marTop w:val="0"/>
      <w:marBottom w:val="0"/>
      <w:divBdr>
        <w:top w:val="none" w:sz="0" w:space="0" w:color="auto"/>
        <w:left w:val="none" w:sz="0" w:space="0" w:color="auto"/>
        <w:bottom w:val="none" w:sz="0" w:space="0" w:color="auto"/>
        <w:right w:val="none" w:sz="0" w:space="0" w:color="auto"/>
      </w:divBdr>
    </w:div>
    <w:div w:id="1101216670">
      <w:bodyDiv w:val="1"/>
      <w:marLeft w:val="0"/>
      <w:marRight w:val="0"/>
      <w:marTop w:val="0"/>
      <w:marBottom w:val="0"/>
      <w:divBdr>
        <w:top w:val="none" w:sz="0" w:space="0" w:color="auto"/>
        <w:left w:val="none" w:sz="0" w:space="0" w:color="auto"/>
        <w:bottom w:val="none" w:sz="0" w:space="0" w:color="auto"/>
        <w:right w:val="none" w:sz="0" w:space="0" w:color="auto"/>
      </w:divBdr>
    </w:div>
    <w:div w:id="1106657212">
      <w:bodyDiv w:val="1"/>
      <w:marLeft w:val="0"/>
      <w:marRight w:val="0"/>
      <w:marTop w:val="0"/>
      <w:marBottom w:val="0"/>
      <w:divBdr>
        <w:top w:val="none" w:sz="0" w:space="0" w:color="auto"/>
        <w:left w:val="none" w:sz="0" w:space="0" w:color="auto"/>
        <w:bottom w:val="none" w:sz="0" w:space="0" w:color="auto"/>
        <w:right w:val="none" w:sz="0" w:space="0" w:color="auto"/>
      </w:divBdr>
    </w:div>
    <w:div w:id="1131173536">
      <w:bodyDiv w:val="1"/>
      <w:marLeft w:val="0"/>
      <w:marRight w:val="0"/>
      <w:marTop w:val="0"/>
      <w:marBottom w:val="0"/>
      <w:divBdr>
        <w:top w:val="none" w:sz="0" w:space="0" w:color="auto"/>
        <w:left w:val="none" w:sz="0" w:space="0" w:color="auto"/>
        <w:bottom w:val="none" w:sz="0" w:space="0" w:color="auto"/>
        <w:right w:val="none" w:sz="0" w:space="0" w:color="auto"/>
      </w:divBdr>
    </w:div>
    <w:div w:id="1136096871">
      <w:bodyDiv w:val="1"/>
      <w:marLeft w:val="0"/>
      <w:marRight w:val="0"/>
      <w:marTop w:val="0"/>
      <w:marBottom w:val="0"/>
      <w:divBdr>
        <w:top w:val="none" w:sz="0" w:space="0" w:color="auto"/>
        <w:left w:val="none" w:sz="0" w:space="0" w:color="auto"/>
        <w:bottom w:val="none" w:sz="0" w:space="0" w:color="auto"/>
        <w:right w:val="none" w:sz="0" w:space="0" w:color="auto"/>
      </w:divBdr>
    </w:div>
    <w:div w:id="1138257040">
      <w:bodyDiv w:val="1"/>
      <w:marLeft w:val="0"/>
      <w:marRight w:val="0"/>
      <w:marTop w:val="0"/>
      <w:marBottom w:val="0"/>
      <w:divBdr>
        <w:top w:val="none" w:sz="0" w:space="0" w:color="auto"/>
        <w:left w:val="none" w:sz="0" w:space="0" w:color="auto"/>
        <w:bottom w:val="none" w:sz="0" w:space="0" w:color="auto"/>
        <w:right w:val="none" w:sz="0" w:space="0" w:color="auto"/>
      </w:divBdr>
    </w:div>
    <w:div w:id="1139808091">
      <w:bodyDiv w:val="1"/>
      <w:marLeft w:val="0"/>
      <w:marRight w:val="0"/>
      <w:marTop w:val="0"/>
      <w:marBottom w:val="0"/>
      <w:divBdr>
        <w:top w:val="none" w:sz="0" w:space="0" w:color="auto"/>
        <w:left w:val="none" w:sz="0" w:space="0" w:color="auto"/>
        <w:bottom w:val="none" w:sz="0" w:space="0" w:color="auto"/>
        <w:right w:val="none" w:sz="0" w:space="0" w:color="auto"/>
      </w:divBdr>
    </w:div>
    <w:div w:id="1144858548">
      <w:bodyDiv w:val="1"/>
      <w:marLeft w:val="0"/>
      <w:marRight w:val="0"/>
      <w:marTop w:val="0"/>
      <w:marBottom w:val="0"/>
      <w:divBdr>
        <w:top w:val="none" w:sz="0" w:space="0" w:color="auto"/>
        <w:left w:val="none" w:sz="0" w:space="0" w:color="auto"/>
        <w:bottom w:val="none" w:sz="0" w:space="0" w:color="auto"/>
        <w:right w:val="none" w:sz="0" w:space="0" w:color="auto"/>
      </w:divBdr>
    </w:div>
    <w:div w:id="1147934245">
      <w:bodyDiv w:val="1"/>
      <w:marLeft w:val="0"/>
      <w:marRight w:val="0"/>
      <w:marTop w:val="0"/>
      <w:marBottom w:val="0"/>
      <w:divBdr>
        <w:top w:val="none" w:sz="0" w:space="0" w:color="auto"/>
        <w:left w:val="none" w:sz="0" w:space="0" w:color="auto"/>
        <w:bottom w:val="none" w:sz="0" w:space="0" w:color="auto"/>
        <w:right w:val="none" w:sz="0" w:space="0" w:color="auto"/>
      </w:divBdr>
    </w:div>
    <w:div w:id="1157192274">
      <w:bodyDiv w:val="1"/>
      <w:marLeft w:val="0"/>
      <w:marRight w:val="0"/>
      <w:marTop w:val="0"/>
      <w:marBottom w:val="0"/>
      <w:divBdr>
        <w:top w:val="none" w:sz="0" w:space="0" w:color="auto"/>
        <w:left w:val="none" w:sz="0" w:space="0" w:color="auto"/>
        <w:bottom w:val="none" w:sz="0" w:space="0" w:color="auto"/>
        <w:right w:val="none" w:sz="0" w:space="0" w:color="auto"/>
      </w:divBdr>
    </w:div>
    <w:div w:id="1166941849">
      <w:bodyDiv w:val="1"/>
      <w:marLeft w:val="0"/>
      <w:marRight w:val="0"/>
      <w:marTop w:val="0"/>
      <w:marBottom w:val="0"/>
      <w:divBdr>
        <w:top w:val="none" w:sz="0" w:space="0" w:color="auto"/>
        <w:left w:val="none" w:sz="0" w:space="0" w:color="auto"/>
        <w:bottom w:val="none" w:sz="0" w:space="0" w:color="auto"/>
        <w:right w:val="none" w:sz="0" w:space="0" w:color="auto"/>
      </w:divBdr>
    </w:div>
    <w:div w:id="1167667250">
      <w:bodyDiv w:val="1"/>
      <w:marLeft w:val="0"/>
      <w:marRight w:val="0"/>
      <w:marTop w:val="0"/>
      <w:marBottom w:val="0"/>
      <w:divBdr>
        <w:top w:val="none" w:sz="0" w:space="0" w:color="auto"/>
        <w:left w:val="none" w:sz="0" w:space="0" w:color="auto"/>
        <w:bottom w:val="none" w:sz="0" w:space="0" w:color="auto"/>
        <w:right w:val="none" w:sz="0" w:space="0" w:color="auto"/>
      </w:divBdr>
    </w:div>
    <w:div w:id="1188763089">
      <w:bodyDiv w:val="1"/>
      <w:marLeft w:val="0"/>
      <w:marRight w:val="0"/>
      <w:marTop w:val="0"/>
      <w:marBottom w:val="0"/>
      <w:divBdr>
        <w:top w:val="none" w:sz="0" w:space="0" w:color="auto"/>
        <w:left w:val="none" w:sz="0" w:space="0" w:color="auto"/>
        <w:bottom w:val="none" w:sz="0" w:space="0" w:color="auto"/>
        <w:right w:val="none" w:sz="0" w:space="0" w:color="auto"/>
      </w:divBdr>
    </w:div>
    <w:div w:id="1190292045">
      <w:bodyDiv w:val="1"/>
      <w:marLeft w:val="0"/>
      <w:marRight w:val="0"/>
      <w:marTop w:val="0"/>
      <w:marBottom w:val="0"/>
      <w:divBdr>
        <w:top w:val="none" w:sz="0" w:space="0" w:color="auto"/>
        <w:left w:val="none" w:sz="0" w:space="0" w:color="auto"/>
        <w:bottom w:val="none" w:sz="0" w:space="0" w:color="auto"/>
        <w:right w:val="none" w:sz="0" w:space="0" w:color="auto"/>
      </w:divBdr>
    </w:div>
    <w:div w:id="1197503149">
      <w:bodyDiv w:val="1"/>
      <w:marLeft w:val="0"/>
      <w:marRight w:val="0"/>
      <w:marTop w:val="0"/>
      <w:marBottom w:val="0"/>
      <w:divBdr>
        <w:top w:val="none" w:sz="0" w:space="0" w:color="auto"/>
        <w:left w:val="none" w:sz="0" w:space="0" w:color="auto"/>
        <w:bottom w:val="none" w:sz="0" w:space="0" w:color="auto"/>
        <w:right w:val="none" w:sz="0" w:space="0" w:color="auto"/>
      </w:divBdr>
    </w:div>
    <w:div w:id="1210847544">
      <w:bodyDiv w:val="1"/>
      <w:marLeft w:val="0"/>
      <w:marRight w:val="0"/>
      <w:marTop w:val="0"/>
      <w:marBottom w:val="0"/>
      <w:divBdr>
        <w:top w:val="none" w:sz="0" w:space="0" w:color="auto"/>
        <w:left w:val="none" w:sz="0" w:space="0" w:color="auto"/>
        <w:bottom w:val="none" w:sz="0" w:space="0" w:color="auto"/>
        <w:right w:val="none" w:sz="0" w:space="0" w:color="auto"/>
      </w:divBdr>
    </w:div>
    <w:div w:id="1218513195">
      <w:bodyDiv w:val="1"/>
      <w:marLeft w:val="0"/>
      <w:marRight w:val="0"/>
      <w:marTop w:val="0"/>
      <w:marBottom w:val="0"/>
      <w:divBdr>
        <w:top w:val="none" w:sz="0" w:space="0" w:color="auto"/>
        <w:left w:val="none" w:sz="0" w:space="0" w:color="auto"/>
        <w:bottom w:val="none" w:sz="0" w:space="0" w:color="auto"/>
        <w:right w:val="none" w:sz="0" w:space="0" w:color="auto"/>
      </w:divBdr>
    </w:div>
    <w:div w:id="1219707653">
      <w:bodyDiv w:val="1"/>
      <w:marLeft w:val="0"/>
      <w:marRight w:val="0"/>
      <w:marTop w:val="0"/>
      <w:marBottom w:val="0"/>
      <w:divBdr>
        <w:top w:val="none" w:sz="0" w:space="0" w:color="auto"/>
        <w:left w:val="none" w:sz="0" w:space="0" w:color="auto"/>
        <w:bottom w:val="none" w:sz="0" w:space="0" w:color="auto"/>
        <w:right w:val="none" w:sz="0" w:space="0" w:color="auto"/>
      </w:divBdr>
    </w:div>
    <w:div w:id="1222672044">
      <w:bodyDiv w:val="1"/>
      <w:marLeft w:val="0"/>
      <w:marRight w:val="0"/>
      <w:marTop w:val="0"/>
      <w:marBottom w:val="0"/>
      <w:divBdr>
        <w:top w:val="none" w:sz="0" w:space="0" w:color="auto"/>
        <w:left w:val="none" w:sz="0" w:space="0" w:color="auto"/>
        <w:bottom w:val="none" w:sz="0" w:space="0" w:color="auto"/>
        <w:right w:val="none" w:sz="0" w:space="0" w:color="auto"/>
      </w:divBdr>
    </w:div>
    <w:div w:id="1223907726">
      <w:bodyDiv w:val="1"/>
      <w:marLeft w:val="0"/>
      <w:marRight w:val="0"/>
      <w:marTop w:val="0"/>
      <w:marBottom w:val="0"/>
      <w:divBdr>
        <w:top w:val="none" w:sz="0" w:space="0" w:color="auto"/>
        <w:left w:val="none" w:sz="0" w:space="0" w:color="auto"/>
        <w:bottom w:val="none" w:sz="0" w:space="0" w:color="auto"/>
        <w:right w:val="none" w:sz="0" w:space="0" w:color="auto"/>
      </w:divBdr>
    </w:div>
    <w:div w:id="1234975703">
      <w:bodyDiv w:val="1"/>
      <w:marLeft w:val="0"/>
      <w:marRight w:val="0"/>
      <w:marTop w:val="0"/>
      <w:marBottom w:val="0"/>
      <w:divBdr>
        <w:top w:val="none" w:sz="0" w:space="0" w:color="auto"/>
        <w:left w:val="none" w:sz="0" w:space="0" w:color="auto"/>
        <w:bottom w:val="none" w:sz="0" w:space="0" w:color="auto"/>
        <w:right w:val="none" w:sz="0" w:space="0" w:color="auto"/>
      </w:divBdr>
    </w:div>
    <w:div w:id="1235431775">
      <w:bodyDiv w:val="1"/>
      <w:marLeft w:val="0"/>
      <w:marRight w:val="0"/>
      <w:marTop w:val="0"/>
      <w:marBottom w:val="0"/>
      <w:divBdr>
        <w:top w:val="none" w:sz="0" w:space="0" w:color="auto"/>
        <w:left w:val="none" w:sz="0" w:space="0" w:color="auto"/>
        <w:bottom w:val="none" w:sz="0" w:space="0" w:color="auto"/>
        <w:right w:val="none" w:sz="0" w:space="0" w:color="auto"/>
      </w:divBdr>
    </w:div>
    <w:div w:id="1237516534">
      <w:bodyDiv w:val="1"/>
      <w:marLeft w:val="0"/>
      <w:marRight w:val="0"/>
      <w:marTop w:val="0"/>
      <w:marBottom w:val="0"/>
      <w:divBdr>
        <w:top w:val="none" w:sz="0" w:space="0" w:color="auto"/>
        <w:left w:val="none" w:sz="0" w:space="0" w:color="auto"/>
        <w:bottom w:val="none" w:sz="0" w:space="0" w:color="auto"/>
        <w:right w:val="none" w:sz="0" w:space="0" w:color="auto"/>
      </w:divBdr>
    </w:div>
    <w:div w:id="1243639465">
      <w:bodyDiv w:val="1"/>
      <w:marLeft w:val="0"/>
      <w:marRight w:val="0"/>
      <w:marTop w:val="0"/>
      <w:marBottom w:val="0"/>
      <w:divBdr>
        <w:top w:val="none" w:sz="0" w:space="0" w:color="auto"/>
        <w:left w:val="none" w:sz="0" w:space="0" w:color="auto"/>
        <w:bottom w:val="none" w:sz="0" w:space="0" w:color="auto"/>
        <w:right w:val="none" w:sz="0" w:space="0" w:color="auto"/>
      </w:divBdr>
    </w:div>
    <w:div w:id="1244681128">
      <w:bodyDiv w:val="1"/>
      <w:marLeft w:val="0"/>
      <w:marRight w:val="0"/>
      <w:marTop w:val="0"/>
      <w:marBottom w:val="0"/>
      <w:divBdr>
        <w:top w:val="none" w:sz="0" w:space="0" w:color="auto"/>
        <w:left w:val="none" w:sz="0" w:space="0" w:color="auto"/>
        <w:bottom w:val="none" w:sz="0" w:space="0" w:color="auto"/>
        <w:right w:val="none" w:sz="0" w:space="0" w:color="auto"/>
      </w:divBdr>
    </w:div>
    <w:div w:id="1250696119">
      <w:bodyDiv w:val="1"/>
      <w:marLeft w:val="0"/>
      <w:marRight w:val="0"/>
      <w:marTop w:val="0"/>
      <w:marBottom w:val="0"/>
      <w:divBdr>
        <w:top w:val="none" w:sz="0" w:space="0" w:color="auto"/>
        <w:left w:val="none" w:sz="0" w:space="0" w:color="auto"/>
        <w:bottom w:val="none" w:sz="0" w:space="0" w:color="auto"/>
        <w:right w:val="none" w:sz="0" w:space="0" w:color="auto"/>
      </w:divBdr>
    </w:div>
    <w:div w:id="1254439834">
      <w:bodyDiv w:val="1"/>
      <w:marLeft w:val="0"/>
      <w:marRight w:val="0"/>
      <w:marTop w:val="0"/>
      <w:marBottom w:val="0"/>
      <w:divBdr>
        <w:top w:val="none" w:sz="0" w:space="0" w:color="auto"/>
        <w:left w:val="none" w:sz="0" w:space="0" w:color="auto"/>
        <w:bottom w:val="none" w:sz="0" w:space="0" w:color="auto"/>
        <w:right w:val="none" w:sz="0" w:space="0" w:color="auto"/>
      </w:divBdr>
    </w:div>
    <w:div w:id="1255017912">
      <w:bodyDiv w:val="1"/>
      <w:marLeft w:val="0"/>
      <w:marRight w:val="0"/>
      <w:marTop w:val="0"/>
      <w:marBottom w:val="0"/>
      <w:divBdr>
        <w:top w:val="none" w:sz="0" w:space="0" w:color="auto"/>
        <w:left w:val="none" w:sz="0" w:space="0" w:color="auto"/>
        <w:bottom w:val="none" w:sz="0" w:space="0" w:color="auto"/>
        <w:right w:val="none" w:sz="0" w:space="0" w:color="auto"/>
      </w:divBdr>
    </w:div>
    <w:div w:id="1257709332">
      <w:bodyDiv w:val="1"/>
      <w:marLeft w:val="0"/>
      <w:marRight w:val="0"/>
      <w:marTop w:val="0"/>
      <w:marBottom w:val="0"/>
      <w:divBdr>
        <w:top w:val="none" w:sz="0" w:space="0" w:color="auto"/>
        <w:left w:val="none" w:sz="0" w:space="0" w:color="auto"/>
        <w:bottom w:val="none" w:sz="0" w:space="0" w:color="auto"/>
        <w:right w:val="none" w:sz="0" w:space="0" w:color="auto"/>
      </w:divBdr>
    </w:div>
    <w:div w:id="1260525646">
      <w:bodyDiv w:val="1"/>
      <w:marLeft w:val="0"/>
      <w:marRight w:val="0"/>
      <w:marTop w:val="0"/>
      <w:marBottom w:val="0"/>
      <w:divBdr>
        <w:top w:val="none" w:sz="0" w:space="0" w:color="auto"/>
        <w:left w:val="none" w:sz="0" w:space="0" w:color="auto"/>
        <w:bottom w:val="none" w:sz="0" w:space="0" w:color="auto"/>
        <w:right w:val="none" w:sz="0" w:space="0" w:color="auto"/>
      </w:divBdr>
    </w:div>
    <w:div w:id="1260721487">
      <w:bodyDiv w:val="1"/>
      <w:marLeft w:val="0"/>
      <w:marRight w:val="0"/>
      <w:marTop w:val="0"/>
      <w:marBottom w:val="0"/>
      <w:divBdr>
        <w:top w:val="none" w:sz="0" w:space="0" w:color="auto"/>
        <w:left w:val="none" w:sz="0" w:space="0" w:color="auto"/>
        <w:bottom w:val="none" w:sz="0" w:space="0" w:color="auto"/>
        <w:right w:val="none" w:sz="0" w:space="0" w:color="auto"/>
      </w:divBdr>
    </w:div>
    <w:div w:id="1265529859">
      <w:bodyDiv w:val="1"/>
      <w:marLeft w:val="0"/>
      <w:marRight w:val="0"/>
      <w:marTop w:val="0"/>
      <w:marBottom w:val="0"/>
      <w:divBdr>
        <w:top w:val="none" w:sz="0" w:space="0" w:color="auto"/>
        <w:left w:val="none" w:sz="0" w:space="0" w:color="auto"/>
        <w:bottom w:val="none" w:sz="0" w:space="0" w:color="auto"/>
        <w:right w:val="none" w:sz="0" w:space="0" w:color="auto"/>
      </w:divBdr>
    </w:div>
    <w:div w:id="1273324582">
      <w:bodyDiv w:val="1"/>
      <w:marLeft w:val="0"/>
      <w:marRight w:val="0"/>
      <w:marTop w:val="0"/>
      <w:marBottom w:val="0"/>
      <w:divBdr>
        <w:top w:val="none" w:sz="0" w:space="0" w:color="auto"/>
        <w:left w:val="none" w:sz="0" w:space="0" w:color="auto"/>
        <w:bottom w:val="none" w:sz="0" w:space="0" w:color="auto"/>
        <w:right w:val="none" w:sz="0" w:space="0" w:color="auto"/>
      </w:divBdr>
    </w:div>
    <w:div w:id="1285431441">
      <w:bodyDiv w:val="1"/>
      <w:marLeft w:val="0"/>
      <w:marRight w:val="0"/>
      <w:marTop w:val="0"/>
      <w:marBottom w:val="0"/>
      <w:divBdr>
        <w:top w:val="none" w:sz="0" w:space="0" w:color="auto"/>
        <w:left w:val="none" w:sz="0" w:space="0" w:color="auto"/>
        <w:bottom w:val="none" w:sz="0" w:space="0" w:color="auto"/>
        <w:right w:val="none" w:sz="0" w:space="0" w:color="auto"/>
      </w:divBdr>
    </w:div>
    <w:div w:id="1286739728">
      <w:bodyDiv w:val="1"/>
      <w:marLeft w:val="0"/>
      <w:marRight w:val="0"/>
      <w:marTop w:val="0"/>
      <w:marBottom w:val="0"/>
      <w:divBdr>
        <w:top w:val="none" w:sz="0" w:space="0" w:color="auto"/>
        <w:left w:val="none" w:sz="0" w:space="0" w:color="auto"/>
        <w:bottom w:val="none" w:sz="0" w:space="0" w:color="auto"/>
        <w:right w:val="none" w:sz="0" w:space="0" w:color="auto"/>
      </w:divBdr>
    </w:div>
    <w:div w:id="1289436010">
      <w:bodyDiv w:val="1"/>
      <w:marLeft w:val="0"/>
      <w:marRight w:val="0"/>
      <w:marTop w:val="0"/>
      <w:marBottom w:val="0"/>
      <w:divBdr>
        <w:top w:val="none" w:sz="0" w:space="0" w:color="auto"/>
        <w:left w:val="none" w:sz="0" w:space="0" w:color="auto"/>
        <w:bottom w:val="none" w:sz="0" w:space="0" w:color="auto"/>
        <w:right w:val="none" w:sz="0" w:space="0" w:color="auto"/>
      </w:divBdr>
    </w:div>
    <w:div w:id="1289437888">
      <w:bodyDiv w:val="1"/>
      <w:marLeft w:val="0"/>
      <w:marRight w:val="0"/>
      <w:marTop w:val="0"/>
      <w:marBottom w:val="0"/>
      <w:divBdr>
        <w:top w:val="none" w:sz="0" w:space="0" w:color="auto"/>
        <w:left w:val="none" w:sz="0" w:space="0" w:color="auto"/>
        <w:bottom w:val="none" w:sz="0" w:space="0" w:color="auto"/>
        <w:right w:val="none" w:sz="0" w:space="0" w:color="auto"/>
      </w:divBdr>
    </w:div>
    <w:div w:id="1289705156">
      <w:bodyDiv w:val="1"/>
      <w:marLeft w:val="0"/>
      <w:marRight w:val="0"/>
      <w:marTop w:val="0"/>
      <w:marBottom w:val="0"/>
      <w:divBdr>
        <w:top w:val="none" w:sz="0" w:space="0" w:color="auto"/>
        <w:left w:val="none" w:sz="0" w:space="0" w:color="auto"/>
        <w:bottom w:val="none" w:sz="0" w:space="0" w:color="auto"/>
        <w:right w:val="none" w:sz="0" w:space="0" w:color="auto"/>
      </w:divBdr>
    </w:div>
    <w:div w:id="1293484057">
      <w:bodyDiv w:val="1"/>
      <w:marLeft w:val="0"/>
      <w:marRight w:val="0"/>
      <w:marTop w:val="0"/>
      <w:marBottom w:val="0"/>
      <w:divBdr>
        <w:top w:val="none" w:sz="0" w:space="0" w:color="auto"/>
        <w:left w:val="none" w:sz="0" w:space="0" w:color="auto"/>
        <w:bottom w:val="none" w:sz="0" w:space="0" w:color="auto"/>
        <w:right w:val="none" w:sz="0" w:space="0" w:color="auto"/>
      </w:divBdr>
    </w:div>
    <w:div w:id="1293635694">
      <w:bodyDiv w:val="1"/>
      <w:marLeft w:val="0"/>
      <w:marRight w:val="0"/>
      <w:marTop w:val="0"/>
      <w:marBottom w:val="0"/>
      <w:divBdr>
        <w:top w:val="none" w:sz="0" w:space="0" w:color="auto"/>
        <w:left w:val="none" w:sz="0" w:space="0" w:color="auto"/>
        <w:bottom w:val="none" w:sz="0" w:space="0" w:color="auto"/>
        <w:right w:val="none" w:sz="0" w:space="0" w:color="auto"/>
      </w:divBdr>
    </w:div>
    <w:div w:id="1297678825">
      <w:bodyDiv w:val="1"/>
      <w:marLeft w:val="0"/>
      <w:marRight w:val="0"/>
      <w:marTop w:val="0"/>
      <w:marBottom w:val="0"/>
      <w:divBdr>
        <w:top w:val="none" w:sz="0" w:space="0" w:color="auto"/>
        <w:left w:val="none" w:sz="0" w:space="0" w:color="auto"/>
        <w:bottom w:val="none" w:sz="0" w:space="0" w:color="auto"/>
        <w:right w:val="none" w:sz="0" w:space="0" w:color="auto"/>
      </w:divBdr>
    </w:div>
    <w:div w:id="1307200484">
      <w:bodyDiv w:val="1"/>
      <w:marLeft w:val="0"/>
      <w:marRight w:val="0"/>
      <w:marTop w:val="0"/>
      <w:marBottom w:val="0"/>
      <w:divBdr>
        <w:top w:val="none" w:sz="0" w:space="0" w:color="auto"/>
        <w:left w:val="none" w:sz="0" w:space="0" w:color="auto"/>
        <w:bottom w:val="none" w:sz="0" w:space="0" w:color="auto"/>
        <w:right w:val="none" w:sz="0" w:space="0" w:color="auto"/>
      </w:divBdr>
    </w:div>
    <w:div w:id="1309048693">
      <w:bodyDiv w:val="1"/>
      <w:marLeft w:val="0"/>
      <w:marRight w:val="0"/>
      <w:marTop w:val="0"/>
      <w:marBottom w:val="0"/>
      <w:divBdr>
        <w:top w:val="none" w:sz="0" w:space="0" w:color="auto"/>
        <w:left w:val="none" w:sz="0" w:space="0" w:color="auto"/>
        <w:bottom w:val="none" w:sz="0" w:space="0" w:color="auto"/>
        <w:right w:val="none" w:sz="0" w:space="0" w:color="auto"/>
      </w:divBdr>
    </w:div>
    <w:div w:id="1309214736">
      <w:bodyDiv w:val="1"/>
      <w:marLeft w:val="0"/>
      <w:marRight w:val="0"/>
      <w:marTop w:val="0"/>
      <w:marBottom w:val="0"/>
      <w:divBdr>
        <w:top w:val="none" w:sz="0" w:space="0" w:color="auto"/>
        <w:left w:val="none" w:sz="0" w:space="0" w:color="auto"/>
        <w:bottom w:val="none" w:sz="0" w:space="0" w:color="auto"/>
        <w:right w:val="none" w:sz="0" w:space="0" w:color="auto"/>
      </w:divBdr>
    </w:div>
    <w:div w:id="1311447153">
      <w:bodyDiv w:val="1"/>
      <w:marLeft w:val="0"/>
      <w:marRight w:val="0"/>
      <w:marTop w:val="0"/>
      <w:marBottom w:val="0"/>
      <w:divBdr>
        <w:top w:val="none" w:sz="0" w:space="0" w:color="auto"/>
        <w:left w:val="none" w:sz="0" w:space="0" w:color="auto"/>
        <w:bottom w:val="none" w:sz="0" w:space="0" w:color="auto"/>
        <w:right w:val="none" w:sz="0" w:space="0" w:color="auto"/>
      </w:divBdr>
    </w:div>
    <w:div w:id="1311791450">
      <w:bodyDiv w:val="1"/>
      <w:marLeft w:val="0"/>
      <w:marRight w:val="0"/>
      <w:marTop w:val="0"/>
      <w:marBottom w:val="0"/>
      <w:divBdr>
        <w:top w:val="none" w:sz="0" w:space="0" w:color="auto"/>
        <w:left w:val="none" w:sz="0" w:space="0" w:color="auto"/>
        <w:bottom w:val="none" w:sz="0" w:space="0" w:color="auto"/>
        <w:right w:val="none" w:sz="0" w:space="0" w:color="auto"/>
      </w:divBdr>
    </w:div>
    <w:div w:id="1311905039">
      <w:bodyDiv w:val="1"/>
      <w:marLeft w:val="0"/>
      <w:marRight w:val="0"/>
      <w:marTop w:val="0"/>
      <w:marBottom w:val="0"/>
      <w:divBdr>
        <w:top w:val="none" w:sz="0" w:space="0" w:color="auto"/>
        <w:left w:val="none" w:sz="0" w:space="0" w:color="auto"/>
        <w:bottom w:val="none" w:sz="0" w:space="0" w:color="auto"/>
        <w:right w:val="none" w:sz="0" w:space="0" w:color="auto"/>
      </w:divBdr>
    </w:div>
    <w:div w:id="1326322310">
      <w:bodyDiv w:val="1"/>
      <w:marLeft w:val="0"/>
      <w:marRight w:val="0"/>
      <w:marTop w:val="0"/>
      <w:marBottom w:val="0"/>
      <w:divBdr>
        <w:top w:val="none" w:sz="0" w:space="0" w:color="auto"/>
        <w:left w:val="none" w:sz="0" w:space="0" w:color="auto"/>
        <w:bottom w:val="none" w:sz="0" w:space="0" w:color="auto"/>
        <w:right w:val="none" w:sz="0" w:space="0" w:color="auto"/>
      </w:divBdr>
    </w:div>
    <w:div w:id="1326934216">
      <w:bodyDiv w:val="1"/>
      <w:marLeft w:val="0"/>
      <w:marRight w:val="0"/>
      <w:marTop w:val="0"/>
      <w:marBottom w:val="0"/>
      <w:divBdr>
        <w:top w:val="none" w:sz="0" w:space="0" w:color="auto"/>
        <w:left w:val="none" w:sz="0" w:space="0" w:color="auto"/>
        <w:bottom w:val="none" w:sz="0" w:space="0" w:color="auto"/>
        <w:right w:val="none" w:sz="0" w:space="0" w:color="auto"/>
      </w:divBdr>
    </w:div>
    <w:div w:id="1327974182">
      <w:bodyDiv w:val="1"/>
      <w:marLeft w:val="0"/>
      <w:marRight w:val="0"/>
      <w:marTop w:val="0"/>
      <w:marBottom w:val="0"/>
      <w:divBdr>
        <w:top w:val="none" w:sz="0" w:space="0" w:color="auto"/>
        <w:left w:val="none" w:sz="0" w:space="0" w:color="auto"/>
        <w:bottom w:val="none" w:sz="0" w:space="0" w:color="auto"/>
        <w:right w:val="none" w:sz="0" w:space="0" w:color="auto"/>
      </w:divBdr>
    </w:div>
    <w:div w:id="1328898971">
      <w:bodyDiv w:val="1"/>
      <w:marLeft w:val="0"/>
      <w:marRight w:val="0"/>
      <w:marTop w:val="0"/>
      <w:marBottom w:val="0"/>
      <w:divBdr>
        <w:top w:val="none" w:sz="0" w:space="0" w:color="auto"/>
        <w:left w:val="none" w:sz="0" w:space="0" w:color="auto"/>
        <w:bottom w:val="none" w:sz="0" w:space="0" w:color="auto"/>
        <w:right w:val="none" w:sz="0" w:space="0" w:color="auto"/>
      </w:divBdr>
    </w:div>
    <w:div w:id="1331983659">
      <w:bodyDiv w:val="1"/>
      <w:marLeft w:val="0"/>
      <w:marRight w:val="0"/>
      <w:marTop w:val="0"/>
      <w:marBottom w:val="0"/>
      <w:divBdr>
        <w:top w:val="none" w:sz="0" w:space="0" w:color="auto"/>
        <w:left w:val="none" w:sz="0" w:space="0" w:color="auto"/>
        <w:bottom w:val="none" w:sz="0" w:space="0" w:color="auto"/>
        <w:right w:val="none" w:sz="0" w:space="0" w:color="auto"/>
      </w:divBdr>
    </w:div>
    <w:div w:id="1333289796">
      <w:bodyDiv w:val="1"/>
      <w:marLeft w:val="0"/>
      <w:marRight w:val="0"/>
      <w:marTop w:val="0"/>
      <w:marBottom w:val="0"/>
      <w:divBdr>
        <w:top w:val="none" w:sz="0" w:space="0" w:color="auto"/>
        <w:left w:val="none" w:sz="0" w:space="0" w:color="auto"/>
        <w:bottom w:val="none" w:sz="0" w:space="0" w:color="auto"/>
        <w:right w:val="none" w:sz="0" w:space="0" w:color="auto"/>
      </w:divBdr>
    </w:div>
    <w:div w:id="1342052465">
      <w:bodyDiv w:val="1"/>
      <w:marLeft w:val="0"/>
      <w:marRight w:val="0"/>
      <w:marTop w:val="0"/>
      <w:marBottom w:val="0"/>
      <w:divBdr>
        <w:top w:val="none" w:sz="0" w:space="0" w:color="auto"/>
        <w:left w:val="none" w:sz="0" w:space="0" w:color="auto"/>
        <w:bottom w:val="none" w:sz="0" w:space="0" w:color="auto"/>
        <w:right w:val="none" w:sz="0" w:space="0" w:color="auto"/>
      </w:divBdr>
    </w:div>
    <w:div w:id="1345858908">
      <w:bodyDiv w:val="1"/>
      <w:marLeft w:val="0"/>
      <w:marRight w:val="0"/>
      <w:marTop w:val="0"/>
      <w:marBottom w:val="0"/>
      <w:divBdr>
        <w:top w:val="none" w:sz="0" w:space="0" w:color="auto"/>
        <w:left w:val="none" w:sz="0" w:space="0" w:color="auto"/>
        <w:bottom w:val="none" w:sz="0" w:space="0" w:color="auto"/>
        <w:right w:val="none" w:sz="0" w:space="0" w:color="auto"/>
      </w:divBdr>
    </w:div>
    <w:div w:id="1345983649">
      <w:bodyDiv w:val="1"/>
      <w:marLeft w:val="0"/>
      <w:marRight w:val="0"/>
      <w:marTop w:val="0"/>
      <w:marBottom w:val="0"/>
      <w:divBdr>
        <w:top w:val="none" w:sz="0" w:space="0" w:color="auto"/>
        <w:left w:val="none" w:sz="0" w:space="0" w:color="auto"/>
        <w:bottom w:val="none" w:sz="0" w:space="0" w:color="auto"/>
        <w:right w:val="none" w:sz="0" w:space="0" w:color="auto"/>
      </w:divBdr>
    </w:div>
    <w:div w:id="1350375630">
      <w:bodyDiv w:val="1"/>
      <w:marLeft w:val="0"/>
      <w:marRight w:val="0"/>
      <w:marTop w:val="0"/>
      <w:marBottom w:val="0"/>
      <w:divBdr>
        <w:top w:val="none" w:sz="0" w:space="0" w:color="auto"/>
        <w:left w:val="none" w:sz="0" w:space="0" w:color="auto"/>
        <w:bottom w:val="none" w:sz="0" w:space="0" w:color="auto"/>
        <w:right w:val="none" w:sz="0" w:space="0" w:color="auto"/>
      </w:divBdr>
    </w:div>
    <w:div w:id="1351032050">
      <w:bodyDiv w:val="1"/>
      <w:marLeft w:val="0"/>
      <w:marRight w:val="0"/>
      <w:marTop w:val="0"/>
      <w:marBottom w:val="0"/>
      <w:divBdr>
        <w:top w:val="none" w:sz="0" w:space="0" w:color="auto"/>
        <w:left w:val="none" w:sz="0" w:space="0" w:color="auto"/>
        <w:bottom w:val="none" w:sz="0" w:space="0" w:color="auto"/>
        <w:right w:val="none" w:sz="0" w:space="0" w:color="auto"/>
      </w:divBdr>
    </w:div>
    <w:div w:id="1355690603">
      <w:bodyDiv w:val="1"/>
      <w:marLeft w:val="0"/>
      <w:marRight w:val="0"/>
      <w:marTop w:val="0"/>
      <w:marBottom w:val="0"/>
      <w:divBdr>
        <w:top w:val="none" w:sz="0" w:space="0" w:color="auto"/>
        <w:left w:val="none" w:sz="0" w:space="0" w:color="auto"/>
        <w:bottom w:val="none" w:sz="0" w:space="0" w:color="auto"/>
        <w:right w:val="none" w:sz="0" w:space="0" w:color="auto"/>
      </w:divBdr>
    </w:div>
    <w:div w:id="1358003443">
      <w:bodyDiv w:val="1"/>
      <w:marLeft w:val="0"/>
      <w:marRight w:val="0"/>
      <w:marTop w:val="0"/>
      <w:marBottom w:val="0"/>
      <w:divBdr>
        <w:top w:val="none" w:sz="0" w:space="0" w:color="auto"/>
        <w:left w:val="none" w:sz="0" w:space="0" w:color="auto"/>
        <w:bottom w:val="none" w:sz="0" w:space="0" w:color="auto"/>
        <w:right w:val="none" w:sz="0" w:space="0" w:color="auto"/>
      </w:divBdr>
    </w:div>
    <w:div w:id="1368676000">
      <w:bodyDiv w:val="1"/>
      <w:marLeft w:val="0"/>
      <w:marRight w:val="0"/>
      <w:marTop w:val="0"/>
      <w:marBottom w:val="0"/>
      <w:divBdr>
        <w:top w:val="none" w:sz="0" w:space="0" w:color="auto"/>
        <w:left w:val="none" w:sz="0" w:space="0" w:color="auto"/>
        <w:bottom w:val="none" w:sz="0" w:space="0" w:color="auto"/>
        <w:right w:val="none" w:sz="0" w:space="0" w:color="auto"/>
      </w:divBdr>
    </w:div>
    <w:div w:id="1381780081">
      <w:bodyDiv w:val="1"/>
      <w:marLeft w:val="0"/>
      <w:marRight w:val="0"/>
      <w:marTop w:val="0"/>
      <w:marBottom w:val="0"/>
      <w:divBdr>
        <w:top w:val="none" w:sz="0" w:space="0" w:color="auto"/>
        <w:left w:val="none" w:sz="0" w:space="0" w:color="auto"/>
        <w:bottom w:val="none" w:sz="0" w:space="0" w:color="auto"/>
        <w:right w:val="none" w:sz="0" w:space="0" w:color="auto"/>
      </w:divBdr>
    </w:div>
    <w:div w:id="1383362699">
      <w:bodyDiv w:val="1"/>
      <w:marLeft w:val="0"/>
      <w:marRight w:val="0"/>
      <w:marTop w:val="0"/>
      <w:marBottom w:val="0"/>
      <w:divBdr>
        <w:top w:val="none" w:sz="0" w:space="0" w:color="auto"/>
        <w:left w:val="none" w:sz="0" w:space="0" w:color="auto"/>
        <w:bottom w:val="none" w:sz="0" w:space="0" w:color="auto"/>
        <w:right w:val="none" w:sz="0" w:space="0" w:color="auto"/>
      </w:divBdr>
    </w:div>
    <w:div w:id="1391420886">
      <w:bodyDiv w:val="1"/>
      <w:marLeft w:val="0"/>
      <w:marRight w:val="0"/>
      <w:marTop w:val="0"/>
      <w:marBottom w:val="0"/>
      <w:divBdr>
        <w:top w:val="none" w:sz="0" w:space="0" w:color="auto"/>
        <w:left w:val="none" w:sz="0" w:space="0" w:color="auto"/>
        <w:bottom w:val="none" w:sz="0" w:space="0" w:color="auto"/>
        <w:right w:val="none" w:sz="0" w:space="0" w:color="auto"/>
      </w:divBdr>
    </w:div>
    <w:div w:id="1397898757">
      <w:bodyDiv w:val="1"/>
      <w:marLeft w:val="0"/>
      <w:marRight w:val="0"/>
      <w:marTop w:val="0"/>
      <w:marBottom w:val="0"/>
      <w:divBdr>
        <w:top w:val="none" w:sz="0" w:space="0" w:color="auto"/>
        <w:left w:val="none" w:sz="0" w:space="0" w:color="auto"/>
        <w:bottom w:val="none" w:sz="0" w:space="0" w:color="auto"/>
        <w:right w:val="none" w:sz="0" w:space="0" w:color="auto"/>
      </w:divBdr>
    </w:div>
    <w:div w:id="1400055544">
      <w:bodyDiv w:val="1"/>
      <w:marLeft w:val="0"/>
      <w:marRight w:val="0"/>
      <w:marTop w:val="0"/>
      <w:marBottom w:val="0"/>
      <w:divBdr>
        <w:top w:val="none" w:sz="0" w:space="0" w:color="auto"/>
        <w:left w:val="none" w:sz="0" w:space="0" w:color="auto"/>
        <w:bottom w:val="none" w:sz="0" w:space="0" w:color="auto"/>
        <w:right w:val="none" w:sz="0" w:space="0" w:color="auto"/>
      </w:divBdr>
    </w:div>
    <w:div w:id="1407608742">
      <w:bodyDiv w:val="1"/>
      <w:marLeft w:val="0"/>
      <w:marRight w:val="0"/>
      <w:marTop w:val="0"/>
      <w:marBottom w:val="0"/>
      <w:divBdr>
        <w:top w:val="none" w:sz="0" w:space="0" w:color="auto"/>
        <w:left w:val="none" w:sz="0" w:space="0" w:color="auto"/>
        <w:bottom w:val="none" w:sz="0" w:space="0" w:color="auto"/>
        <w:right w:val="none" w:sz="0" w:space="0" w:color="auto"/>
      </w:divBdr>
    </w:div>
    <w:div w:id="1412195664">
      <w:bodyDiv w:val="1"/>
      <w:marLeft w:val="0"/>
      <w:marRight w:val="0"/>
      <w:marTop w:val="0"/>
      <w:marBottom w:val="0"/>
      <w:divBdr>
        <w:top w:val="none" w:sz="0" w:space="0" w:color="auto"/>
        <w:left w:val="none" w:sz="0" w:space="0" w:color="auto"/>
        <w:bottom w:val="none" w:sz="0" w:space="0" w:color="auto"/>
        <w:right w:val="none" w:sz="0" w:space="0" w:color="auto"/>
      </w:divBdr>
    </w:div>
    <w:div w:id="1412773888">
      <w:bodyDiv w:val="1"/>
      <w:marLeft w:val="0"/>
      <w:marRight w:val="0"/>
      <w:marTop w:val="0"/>
      <w:marBottom w:val="0"/>
      <w:divBdr>
        <w:top w:val="none" w:sz="0" w:space="0" w:color="auto"/>
        <w:left w:val="none" w:sz="0" w:space="0" w:color="auto"/>
        <w:bottom w:val="none" w:sz="0" w:space="0" w:color="auto"/>
        <w:right w:val="none" w:sz="0" w:space="0" w:color="auto"/>
      </w:divBdr>
    </w:div>
    <w:div w:id="1415931694">
      <w:bodyDiv w:val="1"/>
      <w:marLeft w:val="0"/>
      <w:marRight w:val="0"/>
      <w:marTop w:val="0"/>
      <w:marBottom w:val="0"/>
      <w:divBdr>
        <w:top w:val="none" w:sz="0" w:space="0" w:color="auto"/>
        <w:left w:val="none" w:sz="0" w:space="0" w:color="auto"/>
        <w:bottom w:val="none" w:sz="0" w:space="0" w:color="auto"/>
        <w:right w:val="none" w:sz="0" w:space="0" w:color="auto"/>
      </w:divBdr>
    </w:div>
    <w:div w:id="1418481508">
      <w:bodyDiv w:val="1"/>
      <w:marLeft w:val="0"/>
      <w:marRight w:val="0"/>
      <w:marTop w:val="0"/>
      <w:marBottom w:val="0"/>
      <w:divBdr>
        <w:top w:val="none" w:sz="0" w:space="0" w:color="auto"/>
        <w:left w:val="none" w:sz="0" w:space="0" w:color="auto"/>
        <w:bottom w:val="none" w:sz="0" w:space="0" w:color="auto"/>
        <w:right w:val="none" w:sz="0" w:space="0" w:color="auto"/>
      </w:divBdr>
    </w:div>
    <w:div w:id="1421024320">
      <w:bodyDiv w:val="1"/>
      <w:marLeft w:val="0"/>
      <w:marRight w:val="0"/>
      <w:marTop w:val="0"/>
      <w:marBottom w:val="0"/>
      <w:divBdr>
        <w:top w:val="none" w:sz="0" w:space="0" w:color="auto"/>
        <w:left w:val="none" w:sz="0" w:space="0" w:color="auto"/>
        <w:bottom w:val="none" w:sz="0" w:space="0" w:color="auto"/>
        <w:right w:val="none" w:sz="0" w:space="0" w:color="auto"/>
      </w:divBdr>
    </w:div>
    <w:div w:id="1421370179">
      <w:bodyDiv w:val="1"/>
      <w:marLeft w:val="0"/>
      <w:marRight w:val="0"/>
      <w:marTop w:val="0"/>
      <w:marBottom w:val="0"/>
      <w:divBdr>
        <w:top w:val="none" w:sz="0" w:space="0" w:color="auto"/>
        <w:left w:val="none" w:sz="0" w:space="0" w:color="auto"/>
        <w:bottom w:val="none" w:sz="0" w:space="0" w:color="auto"/>
        <w:right w:val="none" w:sz="0" w:space="0" w:color="auto"/>
      </w:divBdr>
    </w:div>
    <w:div w:id="1430462601">
      <w:bodyDiv w:val="1"/>
      <w:marLeft w:val="0"/>
      <w:marRight w:val="0"/>
      <w:marTop w:val="0"/>
      <w:marBottom w:val="0"/>
      <w:divBdr>
        <w:top w:val="none" w:sz="0" w:space="0" w:color="auto"/>
        <w:left w:val="none" w:sz="0" w:space="0" w:color="auto"/>
        <w:bottom w:val="none" w:sz="0" w:space="0" w:color="auto"/>
        <w:right w:val="none" w:sz="0" w:space="0" w:color="auto"/>
      </w:divBdr>
    </w:div>
    <w:div w:id="1430813256">
      <w:bodyDiv w:val="1"/>
      <w:marLeft w:val="0"/>
      <w:marRight w:val="0"/>
      <w:marTop w:val="0"/>
      <w:marBottom w:val="0"/>
      <w:divBdr>
        <w:top w:val="none" w:sz="0" w:space="0" w:color="auto"/>
        <w:left w:val="none" w:sz="0" w:space="0" w:color="auto"/>
        <w:bottom w:val="none" w:sz="0" w:space="0" w:color="auto"/>
        <w:right w:val="none" w:sz="0" w:space="0" w:color="auto"/>
      </w:divBdr>
    </w:div>
    <w:div w:id="1432165035">
      <w:bodyDiv w:val="1"/>
      <w:marLeft w:val="0"/>
      <w:marRight w:val="0"/>
      <w:marTop w:val="0"/>
      <w:marBottom w:val="0"/>
      <w:divBdr>
        <w:top w:val="none" w:sz="0" w:space="0" w:color="auto"/>
        <w:left w:val="none" w:sz="0" w:space="0" w:color="auto"/>
        <w:bottom w:val="none" w:sz="0" w:space="0" w:color="auto"/>
        <w:right w:val="none" w:sz="0" w:space="0" w:color="auto"/>
      </w:divBdr>
    </w:div>
    <w:div w:id="1437361961">
      <w:bodyDiv w:val="1"/>
      <w:marLeft w:val="0"/>
      <w:marRight w:val="0"/>
      <w:marTop w:val="0"/>
      <w:marBottom w:val="0"/>
      <w:divBdr>
        <w:top w:val="none" w:sz="0" w:space="0" w:color="auto"/>
        <w:left w:val="none" w:sz="0" w:space="0" w:color="auto"/>
        <w:bottom w:val="none" w:sz="0" w:space="0" w:color="auto"/>
        <w:right w:val="none" w:sz="0" w:space="0" w:color="auto"/>
      </w:divBdr>
    </w:div>
    <w:div w:id="1438062251">
      <w:bodyDiv w:val="1"/>
      <w:marLeft w:val="0"/>
      <w:marRight w:val="0"/>
      <w:marTop w:val="0"/>
      <w:marBottom w:val="0"/>
      <w:divBdr>
        <w:top w:val="none" w:sz="0" w:space="0" w:color="auto"/>
        <w:left w:val="none" w:sz="0" w:space="0" w:color="auto"/>
        <w:bottom w:val="none" w:sz="0" w:space="0" w:color="auto"/>
        <w:right w:val="none" w:sz="0" w:space="0" w:color="auto"/>
      </w:divBdr>
    </w:div>
    <w:div w:id="1441604843">
      <w:bodyDiv w:val="1"/>
      <w:marLeft w:val="0"/>
      <w:marRight w:val="0"/>
      <w:marTop w:val="0"/>
      <w:marBottom w:val="0"/>
      <w:divBdr>
        <w:top w:val="none" w:sz="0" w:space="0" w:color="auto"/>
        <w:left w:val="none" w:sz="0" w:space="0" w:color="auto"/>
        <w:bottom w:val="none" w:sz="0" w:space="0" w:color="auto"/>
        <w:right w:val="none" w:sz="0" w:space="0" w:color="auto"/>
      </w:divBdr>
    </w:div>
    <w:div w:id="1445611572">
      <w:bodyDiv w:val="1"/>
      <w:marLeft w:val="0"/>
      <w:marRight w:val="0"/>
      <w:marTop w:val="0"/>
      <w:marBottom w:val="0"/>
      <w:divBdr>
        <w:top w:val="none" w:sz="0" w:space="0" w:color="auto"/>
        <w:left w:val="none" w:sz="0" w:space="0" w:color="auto"/>
        <w:bottom w:val="none" w:sz="0" w:space="0" w:color="auto"/>
        <w:right w:val="none" w:sz="0" w:space="0" w:color="auto"/>
      </w:divBdr>
    </w:div>
    <w:div w:id="1449664687">
      <w:bodyDiv w:val="1"/>
      <w:marLeft w:val="0"/>
      <w:marRight w:val="0"/>
      <w:marTop w:val="0"/>
      <w:marBottom w:val="0"/>
      <w:divBdr>
        <w:top w:val="none" w:sz="0" w:space="0" w:color="auto"/>
        <w:left w:val="none" w:sz="0" w:space="0" w:color="auto"/>
        <w:bottom w:val="none" w:sz="0" w:space="0" w:color="auto"/>
        <w:right w:val="none" w:sz="0" w:space="0" w:color="auto"/>
      </w:divBdr>
    </w:div>
    <w:div w:id="1451362211">
      <w:bodyDiv w:val="1"/>
      <w:marLeft w:val="0"/>
      <w:marRight w:val="0"/>
      <w:marTop w:val="0"/>
      <w:marBottom w:val="0"/>
      <w:divBdr>
        <w:top w:val="none" w:sz="0" w:space="0" w:color="auto"/>
        <w:left w:val="none" w:sz="0" w:space="0" w:color="auto"/>
        <w:bottom w:val="none" w:sz="0" w:space="0" w:color="auto"/>
        <w:right w:val="none" w:sz="0" w:space="0" w:color="auto"/>
      </w:divBdr>
    </w:div>
    <w:div w:id="1456677813">
      <w:bodyDiv w:val="1"/>
      <w:marLeft w:val="0"/>
      <w:marRight w:val="0"/>
      <w:marTop w:val="0"/>
      <w:marBottom w:val="0"/>
      <w:divBdr>
        <w:top w:val="none" w:sz="0" w:space="0" w:color="auto"/>
        <w:left w:val="none" w:sz="0" w:space="0" w:color="auto"/>
        <w:bottom w:val="none" w:sz="0" w:space="0" w:color="auto"/>
        <w:right w:val="none" w:sz="0" w:space="0" w:color="auto"/>
      </w:divBdr>
    </w:div>
    <w:div w:id="1465267143">
      <w:bodyDiv w:val="1"/>
      <w:marLeft w:val="0"/>
      <w:marRight w:val="0"/>
      <w:marTop w:val="0"/>
      <w:marBottom w:val="0"/>
      <w:divBdr>
        <w:top w:val="none" w:sz="0" w:space="0" w:color="auto"/>
        <w:left w:val="none" w:sz="0" w:space="0" w:color="auto"/>
        <w:bottom w:val="none" w:sz="0" w:space="0" w:color="auto"/>
        <w:right w:val="none" w:sz="0" w:space="0" w:color="auto"/>
      </w:divBdr>
    </w:div>
    <w:div w:id="1479803332">
      <w:bodyDiv w:val="1"/>
      <w:marLeft w:val="0"/>
      <w:marRight w:val="0"/>
      <w:marTop w:val="0"/>
      <w:marBottom w:val="0"/>
      <w:divBdr>
        <w:top w:val="none" w:sz="0" w:space="0" w:color="auto"/>
        <w:left w:val="none" w:sz="0" w:space="0" w:color="auto"/>
        <w:bottom w:val="none" w:sz="0" w:space="0" w:color="auto"/>
        <w:right w:val="none" w:sz="0" w:space="0" w:color="auto"/>
      </w:divBdr>
    </w:div>
    <w:div w:id="1482041311">
      <w:bodyDiv w:val="1"/>
      <w:marLeft w:val="0"/>
      <w:marRight w:val="0"/>
      <w:marTop w:val="0"/>
      <w:marBottom w:val="0"/>
      <w:divBdr>
        <w:top w:val="none" w:sz="0" w:space="0" w:color="auto"/>
        <w:left w:val="none" w:sz="0" w:space="0" w:color="auto"/>
        <w:bottom w:val="none" w:sz="0" w:space="0" w:color="auto"/>
        <w:right w:val="none" w:sz="0" w:space="0" w:color="auto"/>
      </w:divBdr>
    </w:div>
    <w:div w:id="1485001634">
      <w:bodyDiv w:val="1"/>
      <w:marLeft w:val="0"/>
      <w:marRight w:val="0"/>
      <w:marTop w:val="0"/>
      <w:marBottom w:val="0"/>
      <w:divBdr>
        <w:top w:val="none" w:sz="0" w:space="0" w:color="auto"/>
        <w:left w:val="none" w:sz="0" w:space="0" w:color="auto"/>
        <w:bottom w:val="none" w:sz="0" w:space="0" w:color="auto"/>
        <w:right w:val="none" w:sz="0" w:space="0" w:color="auto"/>
      </w:divBdr>
    </w:div>
    <w:div w:id="1486240053">
      <w:bodyDiv w:val="1"/>
      <w:marLeft w:val="0"/>
      <w:marRight w:val="0"/>
      <w:marTop w:val="0"/>
      <w:marBottom w:val="0"/>
      <w:divBdr>
        <w:top w:val="none" w:sz="0" w:space="0" w:color="auto"/>
        <w:left w:val="none" w:sz="0" w:space="0" w:color="auto"/>
        <w:bottom w:val="none" w:sz="0" w:space="0" w:color="auto"/>
        <w:right w:val="none" w:sz="0" w:space="0" w:color="auto"/>
      </w:divBdr>
    </w:div>
    <w:div w:id="1488663926">
      <w:bodyDiv w:val="1"/>
      <w:marLeft w:val="0"/>
      <w:marRight w:val="0"/>
      <w:marTop w:val="0"/>
      <w:marBottom w:val="0"/>
      <w:divBdr>
        <w:top w:val="none" w:sz="0" w:space="0" w:color="auto"/>
        <w:left w:val="none" w:sz="0" w:space="0" w:color="auto"/>
        <w:bottom w:val="none" w:sz="0" w:space="0" w:color="auto"/>
        <w:right w:val="none" w:sz="0" w:space="0" w:color="auto"/>
      </w:divBdr>
    </w:div>
    <w:div w:id="1498299697">
      <w:bodyDiv w:val="1"/>
      <w:marLeft w:val="0"/>
      <w:marRight w:val="0"/>
      <w:marTop w:val="0"/>
      <w:marBottom w:val="0"/>
      <w:divBdr>
        <w:top w:val="none" w:sz="0" w:space="0" w:color="auto"/>
        <w:left w:val="none" w:sz="0" w:space="0" w:color="auto"/>
        <w:bottom w:val="none" w:sz="0" w:space="0" w:color="auto"/>
        <w:right w:val="none" w:sz="0" w:space="0" w:color="auto"/>
      </w:divBdr>
    </w:div>
    <w:div w:id="1498301243">
      <w:bodyDiv w:val="1"/>
      <w:marLeft w:val="0"/>
      <w:marRight w:val="0"/>
      <w:marTop w:val="0"/>
      <w:marBottom w:val="0"/>
      <w:divBdr>
        <w:top w:val="none" w:sz="0" w:space="0" w:color="auto"/>
        <w:left w:val="none" w:sz="0" w:space="0" w:color="auto"/>
        <w:bottom w:val="none" w:sz="0" w:space="0" w:color="auto"/>
        <w:right w:val="none" w:sz="0" w:space="0" w:color="auto"/>
      </w:divBdr>
    </w:div>
    <w:div w:id="1501654684">
      <w:bodyDiv w:val="1"/>
      <w:marLeft w:val="0"/>
      <w:marRight w:val="0"/>
      <w:marTop w:val="0"/>
      <w:marBottom w:val="0"/>
      <w:divBdr>
        <w:top w:val="none" w:sz="0" w:space="0" w:color="auto"/>
        <w:left w:val="none" w:sz="0" w:space="0" w:color="auto"/>
        <w:bottom w:val="none" w:sz="0" w:space="0" w:color="auto"/>
        <w:right w:val="none" w:sz="0" w:space="0" w:color="auto"/>
      </w:divBdr>
    </w:div>
    <w:div w:id="1502742095">
      <w:bodyDiv w:val="1"/>
      <w:marLeft w:val="0"/>
      <w:marRight w:val="0"/>
      <w:marTop w:val="0"/>
      <w:marBottom w:val="0"/>
      <w:divBdr>
        <w:top w:val="none" w:sz="0" w:space="0" w:color="auto"/>
        <w:left w:val="none" w:sz="0" w:space="0" w:color="auto"/>
        <w:bottom w:val="none" w:sz="0" w:space="0" w:color="auto"/>
        <w:right w:val="none" w:sz="0" w:space="0" w:color="auto"/>
      </w:divBdr>
    </w:div>
    <w:div w:id="1506286932">
      <w:bodyDiv w:val="1"/>
      <w:marLeft w:val="0"/>
      <w:marRight w:val="0"/>
      <w:marTop w:val="0"/>
      <w:marBottom w:val="0"/>
      <w:divBdr>
        <w:top w:val="none" w:sz="0" w:space="0" w:color="auto"/>
        <w:left w:val="none" w:sz="0" w:space="0" w:color="auto"/>
        <w:bottom w:val="none" w:sz="0" w:space="0" w:color="auto"/>
        <w:right w:val="none" w:sz="0" w:space="0" w:color="auto"/>
      </w:divBdr>
    </w:div>
    <w:div w:id="1506937169">
      <w:bodyDiv w:val="1"/>
      <w:marLeft w:val="0"/>
      <w:marRight w:val="0"/>
      <w:marTop w:val="0"/>
      <w:marBottom w:val="0"/>
      <w:divBdr>
        <w:top w:val="none" w:sz="0" w:space="0" w:color="auto"/>
        <w:left w:val="none" w:sz="0" w:space="0" w:color="auto"/>
        <w:bottom w:val="none" w:sz="0" w:space="0" w:color="auto"/>
        <w:right w:val="none" w:sz="0" w:space="0" w:color="auto"/>
      </w:divBdr>
    </w:div>
    <w:div w:id="1508137694">
      <w:bodyDiv w:val="1"/>
      <w:marLeft w:val="0"/>
      <w:marRight w:val="0"/>
      <w:marTop w:val="0"/>
      <w:marBottom w:val="0"/>
      <w:divBdr>
        <w:top w:val="none" w:sz="0" w:space="0" w:color="auto"/>
        <w:left w:val="none" w:sz="0" w:space="0" w:color="auto"/>
        <w:bottom w:val="none" w:sz="0" w:space="0" w:color="auto"/>
        <w:right w:val="none" w:sz="0" w:space="0" w:color="auto"/>
      </w:divBdr>
    </w:div>
    <w:div w:id="1514610959">
      <w:bodyDiv w:val="1"/>
      <w:marLeft w:val="0"/>
      <w:marRight w:val="0"/>
      <w:marTop w:val="0"/>
      <w:marBottom w:val="0"/>
      <w:divBdr>
        <w:top w:val="none" w:sz="0" w:space="0" w:color="auto"/>
        <w:left w:val="none" w:sz="0" w:space="0" w:color="auto"/>
        <w:bottom w:val="none" w:sz="0" w:space="0" w:color="auto"/>
        <w:right w:val="none" w:sz="0" w:space="0" w:color="auto"/>
      </w:divBdr>
    </w:div>
    <w:div w:id="1530990735">
      <w:bodyDiv w:val="1"/>
      <w:marLeft w:val="0"/>
      <w:marRight w:val="0"/>
      <w:marTop w:val="0"/>
      <w:marBottom w:val="0"/>
      <w:divBdr>
        <w:top w:val="none" w:sz="0" w:space="0" w:color="auto"/>
        <w:left w:val="none" w:sz="0" w:space="0" w:color="auto"/>
        <w:bottom w:val="none" w:sz="0" w:space="0" w:color="auto"/>
        <w:right w:val="none" w:sz="0" w:space="0" w:color="auto"/>
      </w:divBdr>
    </w:div>
    <w:div w:id="1532763922">
      <w:bodyDiv w:val="1"/>
      <w:marLeft w:val="0"/>
      <w:marRight w:val="0"/>
      <w:marTop w:val="0"/>
      <w:marBottom w:val="0"/>
      <w:divBdr>
        <w:top w:val="none" w:sz="0" w:space="0" w:color="auto"/>
        <w:left w:val="none" w:sz="0" w:space="0" w:color="auto"/>
        <w:bottom w:val="none" w:sz="0" w:space="0" w:color="auto"/>
        <w:right w:val="none" w:sz="0" w:space="0" w:color="auto"/>
      </w:divBdr>
    </w:div>
    <w:div w:id="1541478761">
      <w:bodyDiv w:val="1"/>
      <w:marLeft w:val="0"/>
      <w:marRight w:val="0"/>
      <w:marTop w:val="0"/>
      <w:marBottom w:val="0"/>
      <w:divBdr>
        <w:top w:val="none" w:sz="0" w:space="0" w:color="auto"/>
        <w:left w:val="none" w:sz="0" w:space="0" w:color="auto"/>
        <w:bottom w:val="none" w:sz="0" w:space="0" w:color="auto"/>
        <w:right w:val="none" w:sz="0" w:space="0" w:color="auto"/>
      </w:divBdr>
    </w:div>
    <w:div w:id="1550845043">
      <w:bodyDiv w:val="1"/>
      <w:marLeft w:val="0"/>
      <w:marRight w:val="0"/>
      <w:marTop w:val="0"/>
      <w:marBottom w:val="0"/>
      <w:divBdr>
        <w:top w:val="none" w:sz="0" w:space="0" w:color="auto"/>
        <w:left w:val="none" w:sz="0" w:space="0" w:color="auto"/>
        <w:bottom w:val="none" w:sz="0" w:space="0" w:color="auto"/>
        <w:right w:val="none" w:sz="0" w:space="0" w:color="auto"/>
      </w:divBdr>
    </w:div>
    <w:div w:id="1554580497">
      <w:bodyDiv w:val="1"/>
      <w:marLeft w:val="0"/>
      <w:marRight w:val="0"/>
      <w:marTop w:val="0"/>
      <w:marBottom w:val="0"/>
      <w:divBdr>
        <w:top w:val="none" w:sz="0" w:space="0" w:color="auto"/>
        <w:left w:val="none" w:sz="0" w:space="0" w:color="auto"/>
        <w:bottom w:val="none" w:sz="0" w:space="0" w:color="auto"/>
        <w:right w:val="none" w:sz="0" w:space="0" w:color="auto"/>
      </w:divBdr>
    </w:div>
    <w:div w:id="1554778087">
      <w:bodyDiv w:val="1"/>
      <w:marLeft w:val="0"/>
      <w:marRight w:val="0"/>
      <w:marTop w:val="0"/>
      <w:marBottom w:val="0"/>
      <w:divBdr>
        <w:top w:val="none" w:sz="0" w:space="0" w:color="auto"/>
        <w:left w:val="none" w:sz="0" w:space="0" w:color="auto"/>
        <w:bottom w:val="none" w:sz="0" w:space="0" w:color="auto"/>
        <w:right w:val="none" w:sz="0" w:space="0" w:color="auto"/>
      </w:divBdr>
    </w:div>
    <w:div w:id="1556894360">
      <w:bodyDiv w:val="1"/>
      <w:marLeft w:val="0"/>
      <w:marRight w:val="0"/>
      <w:marTop w:val="0"/>
      <w:marBottom w:val="0"/>
      <w:divBdr>
        <w:top w:val="none" w:sz="0" w:space="0" w:color="auto"/>
        <w:left w:val="none" w:sz="0" w:space="0" w:color="auto"/>
        <w:bottom w:val="none" w:sz="0" w:space="0" w:color="auto"/>
        <w:right w:val="none" w:sz="0" w:space="0" w:color="auto"/>
      </w:divBdr>
    </w:div>
    <w:div w:id="1565796343">
      <w:bodyDiv w:val="1"/>
      <w:marLeft w:val="0"/>
      <w:marRight w:val="0"/>
      <w:marTop w:val="0"/>
      <w:marBottom w:val="0"/>
      <w:divBdr>
        <w:top w:val="none" w:sz="0" w:space="0" w:color="auto"/>
        <w:left w:val="none" w:sz="0" w:space="0" w:color="auto"/>
        <w:bottom w:val="none" w:sz="0" w:space="0" w:color="auto"/>
        <w:right w:val="none" w:sz="0" w:space="0" w:color="auto"/>
      </w:divBdr>
    </w:div>
    <w:div w:id="1573195301">
      <w:bodyDiv w:val="1"/>
      <w:marLeft w:val="0"/>
      <w:marRight w:val="0"/>
      <w:marTop w:val="0"/>
      <w:marBottom w:val="0"/>
      <w:divBdr>
        <w:top w:val="none" w:sz="0" w:space="0" w:color="auto"/>
        <w:left w:val="none" w:sz="0" w:space="0" w:color="auto"/>
        <w:bottom w:val="none" w:sz="0" w:space="0" w:color="auto"/>
        <w:right w:val="none" w:sz="0" w:space="0" w:color="auto"/>
      </w:divBdr>
    </w:div>
    <w:div w:id="1573853685">
      <w:bodyDiv w:val="1"/>
      <w:marLeft w:val="0"/>
      <w:marRight w:val="0"/>
      <w:marTop w:val="0"/>
      <w:marBottom w:val="0"/>
      <w:divBdr>
        <w:top w:val="none" w:sz="0" w:space="0" w:color="auto"/>
        <w:left w:val="none" w:sz="0" w:space="0" w:color="auto"/>
        <w:bottom w:val="none" w:sz="0" w:space="0" w:color="auto"/>
        <w:right w:val="none" w:sz="0" w:space="0" w:color="auto"/>
      </w:divBdr>
    </w:div>
    <w:div w:id="1574200182">
      <w:bodyDiv w:val="1"/>
      <w:marLeft w:val="0"/>
      <w:marRight w:val="0"/>
      <w:marTop w:val="0"/>
      <w:marBottom w:val="0"/>
      <w:divBdr>
        <w:top w:val="none" w:sz="0" w:space="0" w:color="auto"/>
        <w:left w:val="none" w:sz="0" w:space="0" w:color="auto"/>
        <w:bottom w:val="none" w:sz="0" w:space="0" w:color="auto"/>
        <w:right w:val="none" w:sz="0" w:space="0" w:color="auto"/>
      </w:divBdr>
    </w:div>
    <w:div w:id="1577125392">
      <w:bodyDiv w:val="1"/>
      <w:marLeft w:val="0"/>
      <w:marRight w:val="0"/>
      <w:marTop w:val="0"/>
      <w:marBottom w:val="0"/>
      <w:divBdr>
        <w:top w:val="none" w:sz="0" w:space="0" w:color="auto"/>
        <w:left w:val="none" w:sz="0" w:space="0" w:color="auto"/>
        <w:bottom w:val="none" w:sz="0" w:space="0" w:color="auto"/>
        <w:right w:val="none" w:sz="0" w:space="0" w:color="auto"/>
      </w:divBdr>
    </w:div>
    <w:div w:id="1588998281">
      <w:bodyDiv w:val="1"/>
      <w:marLeft w:val="0"/>
      <w:marRight w:val="0"/>
      <w:marTop w:val="0"/>
      <w:marBottom w:val="0"/>
      <w:divBdr>
        <w:top w:val="none" w:sz="0" w:space="0" w:color="auto"/>
        <w:left w:val="none" w:sz="0" w:space="0" w:color="auto"/>
        <w:bottom w:val="none" w:sz="0" w:space="0" w:color="auto"/>
        <w:right w:val="none" w:sz="0" w:space="0" w:color="auto"/>
      </w:divBdr>
    </w:div>
    <w:div w:id="1589119366">
      <w:bodyDiv w:val="1"/>
      <w:marLeft w:val="0"/>
      <w:marRight w:val="0"/>
      <w:marTop w:val="0"/>
      <w:marBottom w:val="0"/>
      <w:divBdr>
        <w:top w:val="none" w:sz="0" w:space="0" w:color="auto"/>
        <w:left w:val="none" w:sz="0" w:space="0" w:color="auto"/>
        <w:bottom w:val="none" w:sz="0" w:space="0" w:color="auto"/>
        <w:right w:val="none" w:sz="0" w:space="0" w:color="auto"/>
      </w:divBdr>
    </w:div>
    <w:div w:id="1601450616">
      <w:bodyDiv w:val="1"/>
      <w:marLeft w:val="0"/>
      <w:marRight w:val="0"/>
      <w:marTop w:val="0"/>
      <w:marBottom w:val="0"/>
      <w:divBdr>
        <w:top w:val="none" w:sz="0" w:space="0" w:color="auto"/>
        <w:left w:val="none" w:sz="0" w:space="0" w:color="auto"/>
        <w:bottom w:val="none" w:sz="0" w:space="0" w:color="auto"/>
        <w:right w:val="none" w:sz="0" w:space="0" w:color="auto"/>
      </w:divBdr>
    </w:div>
    <w:div w:id="1602758940">
      <w:bodyDiv w:val="1"/>
      <w:marLeft w:val="0"/>
      <w:marRight w:val="0"/>
      <w:marTop w:val="0"/>
      <w:marBottom w:val="0"/>
      <w:divBdr>
        <w:top w:val="none" w:sz="0" w:space="0" w:color="auto"/>
        <w:left w:val="none" w:sz="0" w:space="0" w:color="auto"/>
        <w:bottom w:val="none" w:sz="0" w:space="0" w:color="auto"/>
        <w:right w:val="none" w:sz="0" w:space="0" w:color="auto"/>
      </w:divBdr>
    </w:div>
    <w:div w:id="1604530053">
      <w:bodyDiv w:val="1"/>
      <w:marLeft w:val="0"/>
      <w:marRight w:val="0"/>
      <w:marTop w:val="0"/>
      <w:marBottom w:val="0"/>
      <w:divBdr>
        <w:top w:val="none" w:sz="0" w:space="0" w:color="auto"/>
        <w:left w:val="none" w:sz="0" w:space="0" w:color="auto"/>
        <w:bottom w:val="none" w:sz="0" w:space="0" w:color="auto"/>
        <w:right w:val="none" w:sz="0" w:space="0" w:color="auto"/>
      </w:divBdr>
    </w:div>
    <w:div w:id="1607543665">
      <w:bodyDiv w:val="1"/>
      <w:marLeft w:val="0"/>
      <w:marRight w:val="0"/>
      <w:marTop w:val="0"/>
      <w:marBottom w:val="0"/>
      <w:divBdr>
        <w:top w:val="none" w:sz="0" w:space="0" w:color="auto"/>
        <w:left w:val="none" w:sz="0" w:space="0" w:color="auto"/>
        <w:bottom w:val="none" w:sz="0" w:space="0" w:color="auto"/>
        <w:right w:val="none" w:sz="0" w:space="0" w:color="auto"/>
      </w:divBdr>
    </w:div>
    <w:div w:id="1612975938">
      <w:bodyDiv w:val="1"/>
      <w:marLeft w:val="0"/>
      <w:marRight w:val="0"/>
      <w:marTop w:val="0"/>
      <w:marBottom w:val="0"/>
      <w:divBdr>
        <w:top w:val="none" w:sz="0" w:space="0" w:color="auto"/>
        <w:left w:val="none" w:sz="0" w:space="0" w:color="auto"/>
        <w:bottom w:val="none" w:sz="0" w:space="0" w:color="auto"/>
        <w:right w:val="none" w:sz="0" w:space="0" w:color="auto"/>
      </w:divBdr>
    </w:div>
    <w:div w:id="1614483700">
      <w:bodyDiv w:val="1"/>
      <w:marLeft w:val="0"/>
      <w:marRight w:val="0"/>
      <w:marTop w:val="0"/>
      <w:marBottom w:val="0"/>
      <w:divBdr>
        <w:top w:val="none" w:sz="0" w:space="0" w:color="auto"/>
        <w:left w:val="none" w:sz="0" w:space="0" w:color="auto"/>
        <w:bottom w:val="none" w:sz="0" w:space="0" w:color="auto"/>
        <w:right w:val="none" w:sz="0" w:space="0" w:color="auto"/>
      </w:divBdr>
    </w:div>
    <w:div w:id="1619097695">
      <w:bodyDiv w:val="1"/>
      <w:marLeft w:val="0"/>
      <w:marRight w:val="0"/>
      <w:marTop w:val="0"/>
      <w:marBottom w:val="0"/>
      <w:divBdr>
        <w:top w:val="none" w:sz="0" w:space="0" w:color="auto"/>
        <w:left w:val="none" w:sz="0" w:space="0" w:color="auto"/>
        <w:bottom w:val="none" w:sz="0" w:space="0" w:color="auto"/>
        <w:right w:val="none" w:sz="0" w:space="0" w:color="auto"/>
      </w:divBdr>
    </w:div>
    <w:div w:id="1620991798">
      <w:bodyDiv w:val="1"/>
      <w:marLeft w:val="0"/>
      <w:marRight w:val="0"/>
      <w:marTop w:val="0"/>
      <w:marBottom w:val="0"/>
      <w:divBdr>
        <w:top w:val="none" w:sz="0" w:space="0" w:color="auto"/>
        <w:left w:val="none" w:sz="0" w:space="0" w:color="auto"/>
        <w:bottom w:val="none" w:sz="0" w:space="0" w:color="auto"/>
        <w:right w:val="none" w:sz="0" w:space="0" w:color="auto"/>
      </w:divBdr>
    </w:div>
    <w:div w:id="1624071764">
      <w:bodyDiv w:val="1"/>
      <w:marLeft w:val="0"/>
      <w:marRight w:val="0"/>
      <w:marTop w:val="0"/>
      <w:marBottom w:val="0"/>
      <w:divBdr>
        <w:top w:val="none" w:sz="0" w:space="0" w:color="auto"/>
        <w:left w:val="none" w:sz="0" w:space="0" w:color="auto"/>
        <w:bottom w:val="none" w:sz="0" w:space="0" w:color="auto"/>
        <w:right w:val="none" w:sz="0" w:space="0" w:color="auto"/>
      </w:divBdr>
    </w:div>
    <w:div w:id="1625581253">
      <w:bodyDiv w:val="1"/>
      <w:marLeft w:val="0"/>
      <w:marRight w:val="0"/>
      <w:marTop w:val="0"/>
      <w:marBottom w:val="0"/>
      <w:divBdr>
        <w:top w:val="none" w:sz="0" w:space="0" w:color="auto"/>
        <w:left w:val="none" w:sz="0" w:space="0" w:color="auto"/>
        <w:bottom w:val="none" w:sz="0" w:space="0" w:color="auto"/>
        <w:right w:val="none" w:sz="0" w:space="0" w:color="auto"/>
      </w:divBdr>
    </w:div>
    <w:div w:id="1627003933">
      <w:bodyDiv w:val="1"/>
      <w:marLeft w:val="0"/>
      <w:marRight w:val="0"/>
      <w:marTop w:val="0"/>
      <w:marBottom w:val="0"/>
      <w:divBdr>
        <w:top w:val="none" w:sz="0" w:space="0" w:color="auto"/>
        <w:left w:val="none" w:sz="0" w:space="0" w:color="auto"/>
        <w:bottom w:val="none" w:sz="0" w:space="0" w:color="auto"/>
        <w:right w:val="none" w:sz="0" w:space="0" w:color="auto"/>
      </w:divBdr>
    </w:div>
    <w:div w:id="1629240347">
      <w:bodyDiv w:val="1"/>
      <w:marLeft w:val="0"/>
      <w:marRight w:val="0"/>
      <w:marTop w:val="0"/>
      <w:marBottom w:val="0"/>
      <w:divBdr>
        <w:top w:val="none" w:sz="0" w:space="0" w:color="auto"/>
        <w:left w:val="none" w:sz="0" w:space="0" w:color="auto"/>
        <w:bottom w:val="none" w:sz="0" w:space="0" w:color="auto"/>
        <w:right w:val="none" w:sz="0" w:space="0" w:color="auto"/>
      </w:divBdr>
    </w:div>
    <w:div w:id="1631007656">
      <w:bodyDiv w:val="1"/>
      <w:marLeft w:val="0"/>
      <w:marRight w:val="0"/>
      <w:marTop w:val="0"/>
      <w:marBottom w:val="0"/>
      <w:divBdr>
        <w:top w:val="none" w:sz="0" w:space="0" w:color="auto"/>
        <w:left w:val="none" w:sz="0" w:space="0" w:color="auto"/>
        <w:bottom w:val="none" w:sz="0" w:space="0" w:color="auto"/>
        <w:right w:val="none" w:sz="0" w:space="0" w:color="auto"/>
      </w:divBdr>
    </w:div>
    <w:div w:id="1633056444">
      <w:bodyDiv w:val="1"/>
      <w:marLeft w:val="0"/>
      <w:marRight w:val="0"/>
      <w:marTop w:val="0"/>
      <w:marBottom w:val="0"/>
      <w:divBdr>
        <w:top w:val="none" w:sz="0" w:space="0" w:color="auto"/>
        <w:left w:val="none" w:sz="0" w:space="0" w:color="auto"/>
        <w:bottom w:val="none" w:sz="0" w:space="0" w:color="auto"/>
        <w:right w:val="none" w:sz="0" w:space="0" w:color="auto"/>
      </w:divBdr>
    </w:div>
    <w:div w:id="1635796798">
      <w:bodyDiv w:val="1"/>
      <w:marLeft w:val="0"/>
      <w:marRight w:val="0"/>
      <w:marTop w:val="0"/>
      <w:marBottom w:val="0"/>
      <w:divBdr>
        <w:top w:val="none" w:sz="0" w:space="0" w:color="auto"/>
        <w:left w:val="none" w:sz="0" w:space="0" w:color="auto"/>
        <w:bottom w:val="none" w:sz="0" w:space="0" w:color="auto"/>
        <w:right w:val="none" w:sz="0" w:space="0" w:color="auto"/>
      </w:divBdr>
    </w:div>
    <w:div w:id="1642612909">
      <w:bodyDiv w:val="1"/>
      <w:marLeft w:val="0"/>
      <w:marRight w:val="0"/>
      <w:marTop w:val="0"/>
      <w:marBottom w:val="0"/>
      <w:divBdr>
        <w:top w:val="none" w:sz="0" w:space="0" w:color="auto"/>
        <w:left w:val="none" w:sz="0" w:space="0" w:color="auto"/>
        <w:bottom w:val="none" w:sz="0" w:space="0" w:color="auto"/>
        <w:right w:val="none" w:sz="0" w:space="0" w:color="auto"/>
      </w:divBdr>
    </w:div>
    <w:div w:id="1645158291">
      <w:bodyDiv w:val="1"/>
      <w:marLeft w:val="0"/>
      <w:marRight w:val="0"/>
      <w:marTop w:val="0"/>
      <w:marBottom w:val="0"/>
      <w:divBdr>
        <w:top w:val="none" w:sz="0" w:space="0" w:color="auto"/>
        <w:left w:val="none" w:sz="0" w:space="0" w:color="auto"/>
        <w:bottom w:val="none" w:sz="0" w:space="0" w:color="auto"/>
        <w:right w:val="none" w:sz="0" w:space="0" w:color="auto"/>
      </w:divBdr>
    </w:div>
    <w:div w:id="1645357533">
      <w:bodyDiv w:val="1"/>
      <w:marLeft w:val="0"/>
      <w:marRight w:val="0"/>
      <w:marTop w:val="0"/>
      <w:marBottom w:val="0"/>
      <w:divBdr>
        <w:top w:val="none" w:sz="0" w:space="0" w:color="auto"/>
        <w:left w:val="none" w:sz="0" w:space="0" w:color="auto"/>
        <w:bottom w:val="none" w:sz="0" w:space="0" w:color="auto"/>
        <w:right w:val="none" w:sz="0" w:space="0" w:color="auto"/>
      </w:divBdr>
    </w:div>
    <w:div w:id="1646935964">
      <w:bodyDiv w:val="1"/>
      <w:marLeft w:val="0"/>
      <w:marRight w:val="0"/>
      <w:marTop w:val="0"/>
      <w:marBottom w:val="0"/>
      <w:divBdr>
        <w:top w:val="none" w:sz="0" w:space="0" w:color="auto"/>
        <w:left w:val="none" w:sz="0" w:space="0" w:color="auto"/>
        <w:bottom w:val="none" w:sz="0" w:space="0" w:color="auto"/>
        <w:right w:val="none" w:sz="0" w:space="0" w:color="auto"/>
      </w:divBdr>
    </w:div>
    <w:div w:id="1647589957">
      <w:bodyDiv w:val="1"/>
      <w:marLeft w:val="0"/>
      <w:marRight w:val="0"/>
      <w:marTop w:val="0"/>
      <w:marBottom w:val="0"/>
      <w:divBdr>
        <w:top w:val="none" w:sz="0" w:space="0" w:color="auto"/>
        <w:left w:val="none" w:sz="0" w:space="0" w:color="auto"/>
        <w:bottom w:val="none" w:sz="0" w:space="0" w:color="auto"/>
        <w:right w:val="none" w:sz="0" w:space="0" w:color="auto"/>
      </w:divBdr>
    </w:div>
    <w:div w:id="1650134744">
      <w:bodyDiv w:val="1"/>
      <w:marLeft w:val="0"/>
      <w:marRight w:val="0"/>
      <w:marTop w:val="0"/>
      <w:marBottom w:val="0"/>
      <w:divBdr>
        <w:top w:val="none" w:sz="0" w:space="0" w:color="auto"/>
        <w:left w:val="none" w:sz="0" w:space="0" w:color="auto"/>
        <w:bottom w:val="none" w:sz="0" w:space="0" w:color="auto"/>
        <w:right w:val="none" w:sz="0" w:space="0" w:color="auto"/>
      </w:divBdr>
    </w:div>
    <w:div w:id="1655259814">
      <w:bodyDiv w:val="1"/>
      <w:marLeft w:val="0"/>
      <w:marRight w:val="0"/>
      <w:marTop w:val="0"/>
      <w:marBottom w:val="0"/>
      <w:divBdr>
        <w:top w:val="none" w:sz="0" w:space="0" w:color="auto"/>
        <w:left w:val="none" w:sz="0" w:space="0" w:color="auto"/>
        <w:bottom w:val="none" w:sz="0" w:space="0" w:color="auto"/>
        <w:right w:val="none" w:sz="0" w:space="0" w:color="auto"/>
      </w:divBdr>
    </w:div>
    <w:div w:id="1660575864">
      <w:bodyDiv w:val="1"/>
      <w:marLeft w:val="0"/>
      <w:marRight w:val="0"/>
      <w:marTop w:val="0"/>
      <w:marBottom w:val="0"/>
      <w:divBdr>
        <w:top w:val="none" w:sz="0" w:space="0" w:color="auto"/>
        <w:left w:val="none" w:sz="0" w:space="0" w:color="auto"/>
        <w:bottom w:val="none" w:sz="0" w:space="0" w:color="auto"/>
        <w:right w:val="none" w:sz="0" w:space="0" w:color="auto"/>
      </w:divBdr>
    </w:div>
    <w:div w:id="1661301995">
      <w:bodyDiv w:val="1"/>
      <w:marLeft w:val="0"/>
      <w:marRight w:val="0"/>
      <w:marTop w:val="0"/>
      <w:marBottom w:val="0"/>
      <w:divBdr>
        <w:top w:val="none" w:sz="0" w:space="0" w:color="auto"/>
        <w:left w:val="none" w:sz="0" w:space="0" w:color="auto"/>
        <w:bottom w:val="none" w:sz="0" w:space="0" w:color="auto"/>
        <w:right w:val="none" w:sz="0" w:space="0" w:color="auto"/>
      </w:divBdr>
    </w:div>
    <w:div w:id="1663772622">
      <w:bodyDiv w:val="1"/>
      <w:marLeft w:val="0"/>
      <w:marRight w:val="0"/>
      <w:marTop w:val="0"/>
      <w:marBottom w:val="0"/>
      <w:divBdr>
        <w:top w:val="none" w:sz="0" w:space="0" w:color="auto"/>
        <w:left w:val="none" w:sz="0" w:space="0" w:color="auto"/>
        <w:bottom w:val="none" w:sz="0" w:space="0" w:color="auto"/>
        <w:right w:val="none" w:sz="0" w:space="0" w:color="auto"/>
      </w:divBdr>
    </w:div>
    <w:div w:id="1674575983">
      <w:bodyDiv w:val="1"/>
      <w:marLeft w:val="0"/>
      <w:marRight w:val="0"/>
      <w:marTop w:val="0"/>
      <w:marBottom w:val="0"/>
      <w:divBdr>
        <w:top w:val="none" w:sz="0" w:space="0" w:color="auto"/>
        <w:left w:val="none" w:sz="0" w:space="0" w:color="auto"/>
        <w:bottom w:val="none" w:sz="0" w:space="0" w:color="auto"/>
        <w:right w:val="none" w:sz="0" w:space="0" w:color="auto"/>
      </w:divBdr>
    </w:div>
    <w:div w:id="1676499294">
      <w:bodyDiv w:val="1"/>
      <w:marLeft w:val="0"/>
      <w:marRight w:val="0"/>
      <w:marTop w:val="0"/>
      <w:marBottom w:val="0"/>
      <w:divBdr>
        <w:top w:val="none" w:sz="0" w:space="0" w:color="auto"/>
        <w:left w:val="none" w:sz="0" w:space="0" w:color="auto"/>
        <w:bottom w:val="none" w:sz="0" w:space="0" w:color="auto"/>
        <w:right w:val="none" w:sz="0" w:space="0" w:color="auto"/>
      </w:divBdr>
    </w:div>
    <w:div w:id="1677269042">
      <w:bodyDiv w:val="1"/>
      <w:marLeft w:val="0"/>
      <w:marRight w:val="0"/>
      <w:marTop w:val="0"/>
      <w:marBottom w:val="0"/>
      <w:divBdr>
        <w:top w:val="none" w:sz="0" w:space="0" w:color="auto"/>
        <w:left w:val="none" w:sz="0" w:space="0" w:color="auto"/>
        <w:bottom w:val="none" w:sz="0" w:space="0" w:color="auto"/>
        <w:right w:val="none" w:sz="0" w:space="0" w:color="auto"/>
      </w:divBdr>
    </w:div>
    <w:div w:id="1682776333">
      <w:bodyDiv w:val="1"/>
      <w:marLeft w:val="0"/>
      <w:marRight w:val="0"/>
      <w:marTop w:val="0"/>
      <w:marBottom w:val="0"/>
      <w:divBdr>
        <w:top w:val="none" w:sz="0" w:space="0" w:color="auto"/>
        <w:left w:val="none" w:sz="0" w:space="0" w:color="auto"/>
        <w:bottom w:val="none" w:sz="0" w:space="0" w:color="auto"/>
        <w:right w:val="none" w:sz="0" w:space="0" w:color="auto"/>
      </w:divBdr>
    </w:div>
    <w:div w:id="1682900611">
      <w:bodyDiv w:val="1"/>
      <w:marLeft w:val="0"/>
      <w:marRight w:val="0"/>
      <w:marTop w:val="0"/>
      <w:marBottom w:val="0"/>
      <w:divBdr>
        <w:top w:val="none" w:sz="0" w:space="0" w:color="auto"/>
        <w:left w:val="none" w:sz="0" w:space="0" w:color="auto"/>
        <w:bottom w:val="none" w:sz="0" w:space="0" w:color="auto"/>
        <w:right w:val="none" w:sz="0" w:space="0" w:color="auto"/>
      </w:divBdr>
    </w:div>
    <w:div w:id="1684548186">
      <w:bodyDiv w:val="1"/>
      <w:marLeft w:val="0"/>
      <w:marRight w:val="0"/>
      <w:marTop w:val="0"/>
      <w:marBottom w:val="0"/>
      <w:divBdr>
        <w:top w:val="none" w:sz="0" w:space="0" w:color="auto"/>
        <w:left w:val="none" w:sz="0" w:space="0" w:color="auto"/>
        <w:bottom w:val="none" w:sz="0" w:space="0" w:color="auto"/>
        <w:right w:val="none" w:sz="0" w:space="0" w:color="auto"/>
      </w:divBdr>
    </w:div>
    <w:div w:id="1685285531">
      <w:bodyDiv w:val="1"/>
      <w:marLeft w:val="0"/>
      <w:marRight w:val="0"/>
      <w:marTop w:val="0"/>
      <w:marBottom w:val="0"/>
      <w:divBdr>
        <w:top w:val="none" w:sz="0" w:space="0" w:color="auto"/>
        <w:left w:val="none" w:sz="0" w:space="0" w:color="auto"/>
        <w:bottom w:val="none" w:sz="0" w:space="0" w:color="auto"/>
        <w:right w:val="none" w:sz="0" w:space="0" w:color="auto"/>
      </w:divBdr>
    </w:div>
    <w:div w:id="1693341912">
      <w:bodyDiv w:val="1"/>
      <w:marLeft w:val="0"/>
      <w:marRight w:val="0"/>
      <w:marTop w:val="0"/>
      <w:marBottom w:val="0"/>
      <w:divBdr>
        <w:top w:val="none" w:sz="0" w:space="0" w:color="auto"/>
        <w:left w:val="none" w:sz="0" w:space="0" w:color="auto"/>
        <w:bottom w:val="none" w:sz="0" w:space="0" w:color="auto"/>
        <w:right w:val="none" w:sz="0" w:space="0" w:color="auto"/>
      </w:divBdr>
    </w:div>
    <w:div w:id="1698114796">
      <w:bodyDiv w:val="1"/>
      <w:marLeft w:val="0"/>
      <w:marRight w:val="0"/>
      <w:marTop w:val="0"/>
      <w:marBottom w:val="0"/>
      <w:divBdr>
        <w:top w:val="none" w:sz="0" w:space="0" w:color="auto"/>
        <w:left w:val="none" w:sz="0" w:space="0" w:color="auto"/>
        <w:bottom w:val="none" w:sz="0" w:space="0" w:color="auto"/>
        <w:right w:val="none" w:sz="0" w:space="0" w:color="auto"/>
      </w:divBdr>
    </w:div>
    <w:div w:id="1701011828">
      <w:bodyDiv w:val="1"/>
      <w:marLeft w:val="0"/>
      <w:marRight w:val="0"/>
      <w:marTop w:val="0"/>
      <w:marBottom w:val="0"/>
      <w:divBdr>
        <w:top w:val="none" w:sz="0" w:space="0" w:color="auto"/>
        <w:left w:val="none" w:sz="0" w:space="0" w:color="auto"/>
        <w:bottom w:val="none" w:sz="0" w:space="0" w:color="auto"/>
        <w:right w:val="none" w:sz="0" w:space="0" w:color="auto"/>
      </w:divBdr>
    </w:div>
    <w:div w:id="1714891582">
      <w:bodyDiv w:val="1"/>
      <w:marLeft w:val="0"/>
      <w:marRight w:val="0"/>
      <w:marTop w:val="0"/>
      <w:marBottom w:val="0"/>
      <w:divBdr>
        <w:top w:val="none" w:sz="0" w:space="0" w:color="auto"/>
        <w:left w:val="none" w:sz="0" w:space="0" w:color="auto"/>
        <w:bottom w:val="none" w:sz="0" w:space="0" w:color="auto"/>
        <w:right w:val="none" w:sz="0" w:space="0" w:color="auto"/>
      </w:divBdr>
    </w:div>
    <w:div w:id="1718510468">
      <w:bodyDiv w:val="1"/>
      <w:marLeft w:val="0"/>
      <w:marRight w:val="0"/>
      <w:marTop w:val="0"/>
      <w:marBottom w:val="0"/>
      <w:divBdr>
        <w:top w:val="none" w:sz="0" w:space="0" w:color="auto"/>
        <w:left w:val="none" w:sz="0" w:space="0" w:color="auto"/>
        <w:bottom w:val="none" w:sz="0" w:space="0" w:color="auto"/>
        <w:right w:val="none" w:sz="0" w:space="0" w:color="auto"/>
      </w:divBdr>
    </w:div>
    <w:div w:id="1722289292">
      <w:bodyDiv w:val="1"/>
      <w:marLeft w:val="0"/>
      <w:marRight w:val="0"/>
      <w:marTop w:val="0"/>
      <w:marBottom w:val="0"/>
      <w:divBdr>
        <w:top w:val="none" w:sz="0" w:space="0" w:color="auto"/>
        <w:left w:val="none" w:sz="0" w:space="0" w:color="auto"/>
        <w:bottom w:val="none" w:sz="0" w:space="0" w:color="auto"/>
        <w:right w:val="none" w:sz="0" w:space="0" w:color="auto"/>
      </w:divBdr>
    </w:div>
    <w:div w:id="1732575262">
      <w:bodyDiv w:val="1"/>
      <w:marLeft w:val="0"/>
      <w:marRight w:val="0"/>
      <w:marTop w:val="0"/>
      <w:marBottom w:val="0"/>
      <w:divBdr>
        <w:top w:val="none" w:sz="0" w:space="0" w:color="auto"/>
        <w:left w:val="none" w:sz="0" w:space="0" w:color="auto"/>
        <w:bottom w:val="none" w:sz="0" w:space="0" w:color="auto"/>
        <w:right w:val="none" w:sz="0" w:space="0" w:color="auto"/>
      </w:divBdr>
    </w:div>
    <w:div w:id="1747416427">
      <w:bodyDiv w:val="1"/>
      <w:marLeft w:val="0"/>
      <w:marRight w:val="0"/>
      <w:marTop w:val="0"/>
      <w:marBottom w:val="0"/>
      <w:divBdr>
        <w:top w:val="none" w:sz="0" w:space="0" w:color="auto"/>
        <w:left w:val="none" w:sz="0" w:space="0" w:color="auto"/>
        <w:bottom w:val="none" w:sz="0" w:space="0" w:color="auto"/>
        <w:right w:val="none" w:sz="0" w:space="0" w:color="auto"/>
      </w:divBdr>
    </w:div>
    <w:div w:id="1749307934">
      <w:bodyDiv w:val="1"/>
      <w:marLeft w:val="0"/>
      <w:marRight w:val="0"/>
      <w:marTop w:val="0"/>
      <w:marBottom w:val="0"/>
      <w:divBdr>
        <w:top w:val="none" w:sz="0" w:space="0" w:color="auto"/>
        <w:left w:val="none" w:sz="0" w:space="0" w:color="auto"/>
        <w:bottom w:val="none" w:sz="0" w:space="0" w:color="auto"/>
        <w:right w:val="none" w:sz="0" w:space="0" w:color="auto"/>
      </w:divBdr>
    </w:div>
    <w:div w:id="1750955757">
      <w:bodyDiv w:val="1"/>
      <w:marLeft w:val="0"/>
      <w:marRight w:val="0"/>
      <w:marTop w:val="0"/>
      <w:marBottom w:val="0"/>
      <w:divBdr>
        <w:top w:val="none" w:sz="0" w:space="0" w:color="auto"/>
        <w:left w:val="none" w:sz="0" w:space="0" w:color="auto"/>
        <w:bottom w:val="none" w:sz="0" w:space="0" w:color="auto"/>
        <w:right w:val="none" w:sz="0" w:space="0" w:color="auto"/>
      </w:divBdr>
    </w:div>
    <w:div w:id="1755205660">
      <w:bodyDiv w:val="1"/>
      <w:marLeft w:val="0"/>
      <w:marRight w:val="0"/>
      <w:marTop w:val="0"/>
      <w:marBottom w:val="0"/>
      <w:divBdr>
        <w:top w:val="none" w:sz="0" w:space="0" w:color="auto"/>
        <w:left w:val="none" w:sz="0" w:space="0" w:color="auto"/>
        <w:bottom w:val="none" w:sz="0" w:space="0" w:color="auto"/>
        <w:right w:val="none" w:sz="0" w:space="0" w:color="auto"/>
      </w:divBdr>
    </w:div>
    <w:div w:id="1772386451">
      <w:bodyDiv w:val="1"/>
      <w:marLeft w:val="0"/>
      <w:marRight w:val="0"/>
      <w:marTop w:val="0"/>
      <w:marBottom w:val="0"/>
      <w:divBdr>
        <w:top w:val="none" w:sz="0" w:space="0" w:color="auto"/>
        <w:left w:val="none" w:sz="0" w:space="0" w:color="auto"/>
        <w:bottom w:val="none" w:sz="0" w:space="0" w:color="auto"/>
        <w:right w:val="none" w:sz="0" w:space="0" w:color="auto"/>
      </w:divBdr>
    </w:div>
    <w:div w:id="1773210446">
      <w:bodyDiv w:val="1"/>
      <w:marLeft w:val="0"/>
      <w:marRight w:val="0"/>
      <w:marTop w:val="0"/>
      <w:marBottom w:val="0"/>
      <w:divBdr>
        <w:top w:val="none" w:sz="0" w:space="0" w:color="auto"/>
        <w:left w:val="none" w:sz="0" w:space="0" w:color="auto"/>
        <w:bottom w:val="none" w:sz="0" w:space="0" w:color="auto"/>
        <w:right w:val="none" w:sz="0" w:space="0" w:color="auto"/>
      </w:divBdr>
    </w:div>
    <w:div w:id="1775049828">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80107181">
      <w:bodyDiv w:val="1"/>
      <w:marLeft w:val="0"/>
      <w:marRight w:val="0"/>
      <w:marTop w:val="0"/>
      <w:marBottom w:val="0"/>
      <w:divBdr>
        <w:top w:val="none" w:sz="0" w:space="0" w:color="auto"/>
        <w:left w:val="none" w:sz="0" w:space="0" w:color="auto"/>
        <w:bottom w:val="none" w:sz="0" w:space="0" w:color="auto"/>
        <w:right w:val="none" w:sz="0" w:space="0" w:color="auto"/>
      </w:divBdr>
    </w:div>
    <w:div w:id="1787000822">
      <w:bodyDiv w:val="1"/>
      <w:marLeft w:val="0"/>
      <w:marRight w:val="0"/>
      <w:marTop w:val="0"/>
      <w:marBottom w:val="0"/>
      <w:divBdr>
        <w:top w:val="none" w:sz="0" w:space="0" w:color="auto"/>
        <w:left w:val="none" w:sz="0" w:space="0" w:color="auto"/>
        <w:bottom w:val="none" w:sz="0" w:space="0" w:color="auto"/>
        <w:right w:val="none" w:sz="0" w:space="0" w:color="auto"/>
      </w:divBdr>
    </w:div>
    <w:div w:id="1787385624">
      <w:bodyDiv w:val="1"/>
      <w:marLeft w:val="0"/>
      <w:marRight w:val="0"/>
      <w:marTop w:val="0"/>
      <w:marBottom w:val="0"/>
      <w:divBdr>
        <w:top w:val="none" w:sz="0" w:space="0" w:color="auto"/>
        <w:left w:val="none" w:sz="0" w:space="0" w:color="auto"/>
        <w:bottom w:val="none" w:sz="0" w:space="0" w:color="auto"/>
        <w:right w:val="none" w:sz="0" w:space="0" w:color="auto"/>
      </w:divBdr>
    </w:div>
    <w:div w:id="1791972078">
      <w:bodyDiv w:val="1"/>
      <w:marLeft w:val="0"/>
      <w:marRight w:val="0"/>
      <w:marTop w:val="0"/>
      <w:marBottom w:val="0"/>
      <w:divBdr>
        <w:top w:val="none" w:sz="0" w:space="0" w:color="auto"/>
        <w:left w:val="none" w:sz="0" w:space="0" w:color="auto"/>
        <w:bottom w:val="none" w:sz="0" w:space="0" w:color="auto"/>
        <w:right w:val="none" w:sz="0" w:space="0" w:color="auto"/>
      </w:divBdr>
    </w:div>
    <w:div w:id="1799566166">
      <w:bodyDiv w:val="1"/>
      <w:marLeft w:val="0"/>
      <w:marRight w:val="0"/>
      <w:marTop w:val="0"/>
      <w:marBottom w:val="0"/>
      <w:divBdr>
        <w:top w:val="none" w:sz="0" w:space="0" w:color="auto"/>
        <w:left w:val="none" w:sz="0" w:space="0" w:color="auto"/>
        <w:bottom w:val="none" w:sz="0" w:space="0" w:color="auto"/>
        <w:right w:val="none" w:sz="0" w:space="0" w:color="auto"/>
      </w:divBdr>
    </w:div>
    <w:div w:id="1800100950">
      <w:bodyDiv w:val="1"/>
      <w:marLeft w:val="0"/>
      <w:marRight w:val="0"/>
      <w:marTop w:val="0"/>
      <w:marBottom w:val="0"/>
      <w:divBdr>
        <w:top w:val="none" w:sz="0" w:space="0" w:color="auto"/>
        <w:left w:val="none" w:sz="0" w:space="0" w:color="auto"/>
        <w:bottom w:val="none" w:sz="0" w:space="0" w:color="auto"/>
        <w:right w:val="none" w:sz="0" w:space="0" w:color="auto"/>
      </w:divBdr>
    </w:div>
    <w:div w:id="1815639729">
      <w:bodyDiv w:val="1"/>
      <w:marLeft w:val="0"/>
      <w:marRight w:val="0"/>
      <w:marTop w:val="0"/>
      <w:marBottom w:val="0"/>
      <w:divBdr>
        <w:top w:val="none" w:sz="0" w:space="0" w:color="auto"/>
        <w:left w:val="none" w:sz="0" w:space="0" w:color="auto"/>
        <w:bottom w:val="none" w:sz="0" w:space="0" w:color="auto"/>
        <w:right w:val="none" w:sz="0" w:space="0" w:color="auto"/>
      </w:divBdr>
    </w:div>
    <w:div w:id="181844874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40382661">
      <w:bodyDiv w:val="1"/>
      <w:marLeft w:val="0"/>
      <w:marRight w:val="0"/>
      <w:marTop w:val="0"/>
      <w:marBottom w:val="0"/>
      <w:divBdr>
        <w:top w:val="none" w:sz="0" w:space="0" w:color="auto"/>
        <w:left w:val="none" w:sz="0" w:space="0" w:color="auto"/>
        <w:bottom w:val="none" w:sz="0" w:space="0" w:color="auto"/>
        <w:right w:val="none" w:sz="0" w:space="0" w:color="auto"/>
      </w:divBdr>
    </w:div>
    <w:div w:id="1841118721">
      <w:bodyDiv w:val="1"/>
      <w:marLeft w:val="0"/>
      <w:marRight w:val="0"/>
      <w:marTop w:val="0"/>
      <w:marBottom w:val="0"/>
      <w:divBdr>
        <w:top w:val="none" w:sz="0" w:space="0" w:color="auto"/>
        <w:left w:val="none" w:sz="0" w:space="0" w:color="auto"/>
        <w:bottom w:val="none" w:sz="0" w:space="0" w:color="auto"/>
        <w:right w:val="none" w:sz="0" w:space="0" w:color="auto"/>
      </w:divBdr>
    </w:div>
    <w:div w:id="1842810714">
      <w:bodyDiv w:val="1"/>
      <w:marLeft w:val="0"/>
      <w:marRight w:val="0"/>
      <w:marTop w:val="0"/>
      <w:marBottom w:val="0"/>
      <w:divBdr>
        <w:top w:val="none" w:sz="0" w:space="0" w:color="auto"/>
        <w:left w:val="none" w:sz="0" w:space="0" w:color="auto"/>
        <w:bottom w:val="none" w:sz="0" w:space="0" w:color="auto"/>
        <w:right w:val="none" w:sz="0" w:space="0" w:color="auto"/>
      </w:divBdr>
    </w:div>
    <w:div w:id="1845052859">
      <w:bodyDiv w:val="1"/>
      <w:marLeft w:val="0"/>
      <w:marRight w:val="0"/>
      <w:marTop w:val="0"/>
      <w:marBottom w:val="0"/>
      <w:divBdr>
        <w:top w:val="none" w:sz="0" w:space="0" w:color="auto"/>
        <w:left w:val="none" w:sz="0" w:space="0" w:color="auto"/>
        <w:bottom w:val="none" w:sz="0" w:space="0" w:color="auto"/>
        <w:right w:val="none" w:sz="0" w:space="0" w:color="auto"/>
      </w:divBdr>
    </w:div>
    <w:div w:id="1849900481">
      <w:bodyDiv w:val="1"/>
      <w:marLeft w:val="0"/>
      <w:marRight w:val="0"/>
      <w:marTop w:val="0"/>
      <w:marBottom w:val="0"/>
      <w:divBdr>
        <w:top w:val="none" w:sz="0" w:space="0" w:color="auto"/>
        <w:left w:val="none" w:sz="0" w:space="0" w:color="auto"/>
        <w:bottom w:val="none" w:sz="0" w:space="0" w:color="auto"/>
        <w:right w:val="none" w:sz="0" w:space="0" w:color="auto"/>
      </w:divBdr>
    </w:div>
    <w:div w:id="1850363009">
      <w:bodyDiv w:val="1"/>
      <w:marLeft w:val="0"/>
      <w:marRight w:val="0"/>
      <w:marTop w:val="0"/>
      <w:marBottom w:val="0"/>
      <w:divBdr>
        <w:top w:val="none" w:sz="0" w:space="0" w:color="auto"/>
        <w:left w:val="none" w:sz="0" w:space="0" w:color="auto"/>
        <w:bottom w:val="none" w:sz="0" w:space="0" w:color="auto"/>
        <w:right w:val="none" w:sz="0" w:space="0" w:color="auto"/>
      </w:divBdr>
    </w:div>
    <w:div w:id="1854344114">
      <w:bodyDiv w:val="1"/>
      <w:marLeft w:val="0"/>
      <w:marRight w:val="0"/>
      <w:marTop w:val="0"/>
      <w:marBottom w:val="0"/>
      <w:divBdr>
        <w:top w:val="none" w:sz="0" w:space="0" w:color="auto"/>
        <w:left w:val="none" w:sz="0" w:space="0" w:color="auto"/>
        <w:bottom w:val="none" w:sz="0" w:space="0" w:color="auto"/>
        <w:right w:val="none" w:sz="0" w:space="0" w:color="auto"/>
      </w:divBdr>
    </w:div>
    <w:div w:id="1855806438">
      <w:bodyDiv w:val="1"/>
      <w:marLeft w:val="0"/>
      <w:marRight w:val="0"/>
      <w:marTop w:val="0"/>
      <w:marBottom w:val="0"/>
      <w:divBdr>
        <w:top w:val="none" w:sz="0" w:space="0" w:color="auto"/>
        <w:left w:val="none" w:sz="0" w:space="0" w:color="auto"/>
        <w:bottom w:val="none" w:sz="0" w:space="0" w:color="auto"/>
        <w:right w:val="none" w:sz="0" w:space="0" w:color="auto"/>
      </w:divBdr>
    </w:div>
    <w:div w:id="1861163401">
      <w:bodyDiv w:val="1"/>
      <w:marLeft w:val="0"/>
      <w:marRight w:val="0"/>
      <w:marTop w:val="0"/>
      <w:marBottom w:val="0"/>
      <w:divBdr>
        <w:top w:val="none" w:sz="0" w:space="0" w:color="auto"/>
        <w:left w:val="none" w:sz="0" w:space="0" w:color="auto"/>
        <w:bottom w:val="none" w:sz="0" w:space="0" w:color="auto"/>
        <w:right w:val="none" w:sz="0" w:space="0" w:color="auto"/>
      </w:divBdr>
    </w:div>
    <w:div w:id="1865636072">
      <w:bodyDiv w:val="1"/>
      <w:marLeft w:val="0"/>
      <w:marRight w:val="0"/>
      <w:marTop w:val="0"/>
      <w:marBottom w:val="0"/>
      <w:divBdr>
        <w:top w:val="none" w:sz="0" w:space="0" w:color="auto"/>
        <w:left w:val="none" w:sz="0" w:space="0" w:color="auto"/>
        <w:bottom w:val="none" w:sz="0" w:space="0" w:color="auto"/>
        <w:right w:val="none" w:sz="0" w:space="0" w:color="auto"/>
      </w:divBdr>
    </w:div>
    <w:div w:id="1873422609">
      <w:bodyDiv w:val="1"/>
      <w:marLeft w:val="0"/>
      <w:marRight w:val="0"/>
      <w:marTop w:val="0"/>
      <w:marBottom w:val="0"/>
      <w:divBdr>
        <w:top w:val="none" w:sz="0" w:space="0" w:color="auto"/>
        <w:left w:val="none" w:sz="0" w:space="0" w:color="auto"/>
        <w:bottom w:val="none" w:sz="0" w:space="0" w:color="auto"/>
        <w:right w:val="none" w:sz="0" w:space="0" w:color="auto"/>
      </w:divBdr>
    </w:div>
    <w:div w:id="1874345244">
      <w:bodyDiv w:val="1"/>
      <w:marLeft w:val="0"/>
      <w:marRight w:val="0"/>
      <w:marTop w:val="0"/>
      <w:marBottom w:val="0"/>
      <w:divBdr>
        <w:top w:val="none" w:sz="0" w:space="0" w:color="auto"/>
        <w:left w:val="none" w:sz="0" w:space="0" w:color="auto"/>
        <w:bottom w:val="none" w:sz="0" w:space="0" w:color="auto"/>
        <w:right w:val="none" w:sz="0" w:space="0" w:color="auto"/>
      </w:divBdr>
    </w:div>
    <w:div w:id="1876043447">
      <w:bodyDiv w:val="1"/>
      <w:marLeft w:val="0"/>
      <w:marRight w:val="0"/>
      <w:marTop w:val="0"/>
      <w:marBottom w:val="0"/>
      <w:divBdr>
        <w:top w:val="none" w:sz="0" w:space="0" w:color="auto"/>
        <w:left w:val="none" w:sz="0" w:space="0" w:color="auto"/>
        <w:bottom w:val="none" w:sz="0" w:space="0" w:color="auto"/>
        <w:right w:val="none" w:sz="0" w:space="0" w:color="auto"/>
      </w:divBdr>
    </w:div>
    <w:div w:id="1878347203">
      <w:bodyDiv w:val="1"/>
      <w:marLeft w:val="0"/>
      <w:marRight w:val="0"/>
      <w:marTop w:val="0"/>
      <w:marBottom w:val="0"/>
      <w:divBdr>
        <w:top w:val="none" w:sz="0" w:space="0" w:color="auto"/>
        <w:left w:val="none" w:sz="0" w:space="0" w:color="auto"/>
        <w:bottom w:val="none" w:sz="0" w:space="0" w:color="auto"/>
        <w:right w:val="none" w:sz="0" w:space="0" w:color="auto"/>
      </w:divBdr>
    </w:div>
    <w:div w:id="1882397680">
      <w:bodyDiv w:val="1"/>
      <w:marLeft w:val="0"/>
      <w:marRight w:val="0"/>
      <w:marTop w:val="0"/>
      <w:marBottom w:val="0"/>
      <w:divBdr>
        <w:top w:val="none" w:sz="0" w:space="0" w:color="auto"/>
        <w:left w:val="none" w:sz="0" w:space="0" w:color="auto"/>
        <w:bottom w:val="none" w:sz="0" w:space="0" w:color="auto"/>
        <w:right w:val="none" w:sz="0" w:space="0" w:color="auto"/>
      </w:divBdr>
    </w:div>
    <w:div w:id="1885604197">
      <w:bodyDiv w:val="1"/>
      <w:marLeft w:val="0"/>
      <w:marRight w:val="0"/>
      <w:marTop w:val="0"/>
      <w:marBottom w:val="0"/>
      <w:divBdr>
        <w:top w:val="none" w:sz="0" w:space="0" w:color="auto"/>
        <w:left w:val="none" w:sz="0" w:space="0" w:color="auto"/>
        <w:bottom w:val="none" w:sz="0" w:space="0" w:color="auto"/>
        <w:right w:val="none" w:sz="0" w:space="0" w:color="auto"/>
      </w:divBdr>
    </w:div>
    <w:div w:id="1885751240">
      <w:bodyDiv w:val="1"/>
      <w:marLeft w:val="0"/>
      <w:marRight w:val="0"/>
      <w:marTop w:val="0"/>
      <w:marBottom w:val="0"/>
      <w:divBdr>
        <w:top w:val="none" w:sz="0" w:space="0" w:color="auto"/>
        <w:left w:val="none" w:sz="0" w:space="0" w:color="auto"/>
        <w:bottom w:val="none" w:sz="0" w:space="0" w:color="auto"/>
        <w:right w:val="none" w:sz="0" w:space="0" w:color="auto"/>
      </w:divBdr>
    </w:div>
    <w:div w:id="1889561687">
      <w:bodyDiv w:val="1"/>
      <w:marLeft w:val="0"/>
      <w:marRight w:val="0"/>
      <w:marTop w:val="0"/>
      <w:marBottom w:val="0"/>
      <w:divBdr>
        <w:top w:val="none" w:sz="0" w:space="0" w:color="auto"/>
        <w:left w:val="none" w:sz="0" w:space="0" w:color="auto"/>
        <w:bottom w:val="none" w:sz="0" w:space="0" w:color="auto"/>
        <w:right w:val="none" w:sz="0" w:space="0" w:color="auto"/>
      </w:divBdr>
    </w:div>
    <w:div w:id="1891258489">
      <w:bodyDiv w:val="1"/>
      <w:marLeft w:val="0"/>
      <w:marRight w:val="0"/>
      <w:marTop w:val="0"/>
      <w:marBottom w:val="0"/>
      <w:divBdr>
        <w:top w:val="none" w:sz="0" w:space="0" w:color="auto"/>
        <w:left w:val="none" w:sz="0" w:space="0" w:color="auto"/>
        <w:bottom w:val="none" w:sz="0" w:space="0" w:color="auto"/>
        <w:right w:val="none" w:sz="0" w:space="0" w:color="auto"/>
      </w:divBdr>
    </w:div>
    <w:div w:id="1898324032">
      <w:bodyDiv w:val="1"/>
      <w:marLeft w:val="0"/>
      <w:marRight w:val="0"/>
      <w:marTop w:val="0"/>
      <w:marBottom w:val="0"/>
      <w:divBdr>
        <w:top w:val="none" w:sz="0" w:space="0" w:color="auto"/>
        <w:left w:val="none" w:sz="0" w:space="0" w:color="auto"/>
        <w:bottom w:val="none" w:sz="0" w:space="0" w:color="auto"/>
        <w:right w:val="none" w:sz="0" w:space="0" w:color="auto"/>
      </w:divBdr>
    </w:div>
    <w:div w:id="1900746037">
      <w:bodyDiv w:val="1"/>
      <w:marLeft w:val="0"/>
      <w:marRight w:val="0"/>
      <w:marTop w:val="0"/>
      <w:marBottom w:val="0"/>
      <w:divBdr>
        <w:top w:val="none" w:sz="0" w:space="0" w:color="auto"/>
        <w:left w:val="none" w:sz="0" w:space="0" w:color="auto"/>
        <w:bottom w:val="none" w:sz="0" w:space="0" w:color="auto"/>
        <w:right w:val="none" w:sz="0" w:space="0" w:color="auto"/>
      </w:divBdr>
    </w:div>
    <w:div w:id="1900819757">
      <w:bodyDiv w:val="1"/>
      <w:marLeft w:val="0"/>
      <w:marRight w:val="0"/>
      <w:marTop w:val="0"/>
      <w:marBottom w:val="0"/>
      <w:divBdr>
        <w:top w:val="none" w:sz="0" w:space="0" w:color="auto"/>
        <w:left w:val="none" w:sz="0" w:space="0" w:color="auto"/>
        <w:bottom w:val="none" w:sz="0" w:space="0" w:color="auto"/>
        <w:right w:val="none" w:sz="0" w:space="0" w:color="auto"/>
      </w:divBdr>
    </w:div>
    <w:div w:id="1901285520">
      <w:bodyDiv w:val="1"/>
      <w:marLeft w:val="0"/>
      <w:marRight w:val="0"/>
      <w:marTop w:val="0"/>
      <w:marBottom w:val="0"/>
      <w:divBdr>
        <w:top w:val="none" w:sz="0" w:space="0" w:color="auto"/>
        <w:left w:val="none" w:sz="0" w:space="0" w:color="auto"/>
        <w:bottom w:val="none" w:sz="0" w:space="0" w:color="auto"/>
        <w:right w:val="none" w:sz="0" w:space="0" w:color="auto"/>
      </w:divBdr>
    </w:div>
    <w:div w:id="1915626973">
      <w:bodyDiv w:val="1"/>
      <w:marLeft w:val="0"/>
      <w:marRight w:val="0"/>
      <w:marTop w:val="0"/>
      <w:marBottom w:val="0"/>
      <w:divBdr>
        <w:top w:val="none" w:sz="0" w:space="0" w:color="auto"/>
        <w:left w:val="none" w:sz="0" w:space="0" w:color="auto"/>
        <w:bottom w:val="none" w:sz="0" w:space="0" w:color="auto"/>
        <w:right w:val="none" w:sz="0" w:space="0" w:color="auto"/>
      </w:divBdr>
    </w:div>
    <w:div w:id="1924491888">
      <w:bodyDiv w:val="1"/>
      <w:marLeft w:val="0"/>
      <w:marRight w:val="0"/>
      <w:marTop w:val="0"/>
      <w:marBottom w:val="0"/>
      <w:divBdr>
        <w:top w:val="none" w:sz="0" w:space="0" w:color="auto"/>
        <w:left w:val="none" w:sz="0" w:space="0" w:color="auto"/>
        <w:bottom w:val="none" w:sz="0" w:space="0" w:color="auto"/>
        <w:right w:val="none" w:sz="0" w:space="0" w:color="auto"/>
      </w:divBdr>
    </w:div>
    <w:div w:id="1925409450">
      <w:bodyDiv w:val="1"/>
      <w:marLeft w:val="0"/>
      <w:marRight w:val="0"/>
      <w:marTop w:val="0"/>
      <w:marBottom w:val="0"/>
      <w:divBdr>
        <w:top w:val="none" w:sz="0" w:space="0" w:color="auto"/>
        <w:left w:val="none" w:sz="0" w:space="0" w:color="auto"/>
        <w:bottom w:val="none" w:sz="0" w:space="0" w:color="auto"/>
        <w:right w:val="none" w:sz="0" w:space="0" w:color="auto"/>
      </w:divBdr>
    </w:div>
    <w:div w:id="1938172560">
      <w:bodyDiv w:val="1"/>
      <w:marLeft w:val="0"/>
      <w:marRight w:val="0"/>
      <w:marTop w:val="0"/>
      <w:marBottom w:val="0"/>
      <w:divBdr>
        <w:top w:val="none" w:sz="0" w:space="0" w:color="auto"/>
        <w:left w:val="none" w:sz="0" w:space="0" w:color="auto"/>
        <w:bottom w:val="none" w:sz="0" w:space="0" w:color="auto"/>
        <w:right w:val="none" w:sz="0" w:space="0" w:color="auto"/>
      </w:divBdr>
    </w:div>
    <w:div w:id="1939630191">
      <w:bodyDiv w:val="1"/>
      <w:marLeft w:val="0"/>
      <w:marRight w:val="0"/>
      <w:marTop w:val="0"/>
      <w:marBottom w:val="0"/>
      <w:divBdr>
        <w:top w:val="none" w:sz="0" w:space="0" w:color="auto"/>
        <w:left w:val="none" w:sz="0" w:space="0" w:color="auto"/>
        <w:bottom w:val="none" w:sz="0" w:space="0" w:color="auto"/>
        <w:right w:val="none" w:sz="0" w:space="0" w:color="auto"/>
      </w:divBdr>
    </w:div>
    <w:div w:id="1942837049">
      <w:bodyDiv w:val="1"/>
      <w:marLeft w:val="0"/>
      <w:marRight w:val="0"/>
      <w:marTop w:val="0"/>
      <w:marBottom w:val="0"/>
      <w:divBdr>
        <w:top w:val="none" w:sz="0" w:space="0" w:color="auto"/>
        <w:left w:val="none" w:sz="0" w:space="0" w:color="auto"/>
        <w:bottom w:val="none" w:sz="0" w:space="0" w:color="auto"/>
        <w:right w:val="none" w:sz="0" w:space="0" w:color="auto"/>
      </w:divBdr>
    </w:div>
    <w:div w:id="1944146395">
      <w:bodyDiv w:val="1"/>
      <w:marLeft w:val="0"/>
      <w:marRight w:val="0"/>
      <w:marTop w:val="0"/>
      <w:marBottom w:val="0"/>
      <w:divBdr>
        <w:top w:val="none" w:sz="0" w:space="0" w:color="auto"/>
        <w:left w:val="none" w:sz="0" w:space="0" w:color="auto"/>
        <w:bottom w:val="none" w:sz="0" w:space="0" w:color="auto"/>
        <w:right w:val="none" w:sz="0" w:space="0" w:color="auto"/>
      </w:divBdr>
    </w:div>
    <w:div w:id="1960187760">
      <w:bodyDiv w:val="1"/>
      <w:marLeft w:val="0"/>
      <w:marRight w:val="0"/>
      <w:marTop w:val="0"/>
      <w:marBottom w:val="0"/>
      <w:divBdr>
        <w:top w:val="none" w:sz="0" w:space="0" w:color="auto"/>
        <w:left w:val="none" w:sz="0" w:space="0" w:color="auto"/>
        <w:bottom w:val="none" w:sz="0" w:space="0" w:color="auto"/>
        <w:right w:val="none" w:sz="0" w:space="0" w:color="auto"/>
      </w:divBdr>
    </w:div>
    <w:div w:id="1971396792">
      <w:bodyDiv w:val="1"/>
      <w:marLeft w:val="0"/>
      <w:marRight w:val="0"/>
      <w:marTop w:val="0"/>
      <w:marBottom w:val="0"/>
      <w:divBdr>
        <w:top w:val="none" w:sz="0" w:space="0" w:color="auto"/>
        <w:left w:val="none" w:sz="0" w:space="0" w:color="auto"/>
        <w:bottom w:val="none" w:sz="0" w:space="0" w:color="auto"/>
        <w:right w:val="none" w:sz="0" w:space="0" w:color="auto"/>
      </w:divBdr>
    </w:div>
    <w:div w:id="1976326696">
      <w:bodyDiv w:val="1"/>
      <w:marLeft w:val="0"/>
      <w:marRight w:val="0"/>
      <w:marTop w:val="0"/>
      <w:marBottom w:val="0"/>
      <w:divBdr>
        <w:top w:val="none" w:sz="0" w:space="0" w:color="auto"/>
        <w:left w:val="none" w:sz="0" w:space="0" w:color="auto"/>
        <w:bottom w:val="none" w:sz="0" w:space="0" w:color="auto"/>
        <w:right w:val="none" w:sz="0" w:space="0" w:color="auto"/>
      </w:divBdr>
    </w:div>
    <w:div w:id="1978757846">
      <w:bodyDiv w:val="1"/>
      <w:marLeft w:val="0"/>
      <w:marRight w:val="0"/>
      <w:marTop w:val="0"/>
      <w:marBottom w:val="0"/>
      <w:divBdr>
        <w:top w:val="none" w:sz="0" w:space="0" w:color="auto"/>
        <w:left w:val="none" w:sz="0" w:space="0" w:color="auto"/>
        <w:bottom w:val="none" w:sz="0" w:space="0" w:color="auto"/>
        <w:right w:val="none" w:sz="0" w:space="0" w:color="auto"/>
      </w:divBdr>
    </w:div>
    <w:div w:id="1980652132">
      <w:bodyDiv w:val="1"/>
      <w:marLeft w:val="0"/>
      <w:marRight w:val="0"/>
      <w:marTop w:val="0"/>
      <w:marBottom w:val="0"/>
      <w:divBdr>
        <w:top w:val="none" w:sz="0" w:space="0" w:color="auto"/>
        <w:left w:val="none" w:sz="0" w:space="0" w:color="auto"/>
        <w:bottom w:val="none" w:sz="0" w:space="0" w:color="auto"/>
        <w:right w:val="none" w:sz="0" w:space="0" w:color="auto"/>
      </w:divBdr>
    </w:div>
    <w:div w:id="1981841264">
      <w:bodyDiv w:val="1"/>
      <w:marLeft w:val="0"/>
      <w:marRight w:val="0"/>
      <w:marTop w:val="0"/>
      <w:marBottom w:val="0"/>
      <w:divBdr>
        <w:top w:val="none" w:sz="0" w:space="0" w:color="auto"/>
        <w:left w:val="none" w:sz="0" w:space="0" w:color="auto"/>
        <w:bottom w:val="none" w:sz="0" w:space="0" w:color="auto"/>
        <w:right w:val="none" w:sz="0" w:space="0" w:color="auto"/>
      </w:divBdr>
    </w:div>
    <w:div w:id="1987738725">
      <w:bodyDiv w:val="1"/>
      <w:marLeft w:val="0"/>
      <w:marRight w:val="0"/>
      <w:marTop w:val="0"/>
      <w:marBottom w:val="0"/>
      <w:divBdr>
        <w:top w:val="none" w:sz="0" w:space="0" w:color="auto"/>
        <w:left w:val="none" w:sz="0" w:space="0" w:color="auto"/>
        <w:bottom w:val="none" w:sz="0" w:space="0" w:color="auto"/>
        <w:right w:val="none" w:sz="0" w:space="0" w:color="auto"/>
      </w:divBdr>
    </w:div>
    <w:div w:id="1988590182">
      <w:bodyDiv w:val="1"/>
      <w:marLeft w:val="0"/>
      <w:marRight w:val="0"/>
      <w:marTop w:val="0"/>
      <w:marBottom w:val="0"/>
      <w:divBdr>
        <w:top w:val="none" w:sz="0" w:space="0" w:color="auto"/>
        <w:left w:val="none" w:sz="0" w:space="0" w:color="auto"/>
        <w:bottom w:val="none" w:sz="0" w:space="0" w:color="auto"/>
        <w:right w:val="none" w:sz="0" w:space="0" w:color="auto"/>
      </w:divBdr>
    </w:div>
    <w:div w:id="1992294893">
      <w:bodyDiv w:val="1"/>
      <w:marLeft w:val="0"/>
      <w:marRight w:val="0"/>
      <w:marTop w:val="0"/>
      <w:marBottom w:val="0"/>
      <w:divBdr>
        <w:top w:val="none" w:sz="0" w:space="0" w:color="auto"/>
        <w:left w:val="none" w:sz="0" w:space="0" w:color="auto"/>
        <w:bottom w:val="none" w:sz="0" w:space="0" w:color="auto"/>
        <w:right w:val="none" w:sz="0" w:space="0" w:color="auto"/>
      </w:divBdr>
    </w:div>
    <w:div w:id="1996182705">
      <w:bodyDiv w:val="1"/>
      <w:marLeft w:val="0"/>
      <w:marRight w:val="0"/>
      <w:marTop w:val="0"/>
      <w:marBottom w:val="0"/>
      <w:divBdr>
        <w:top w:val="none" w:sz="0" w:space="0" w:color="auto"/>
        <w:left w:val="none" w:sz="0" w:space="0" w:color="auto"/>
        <w:bottom w:val="none" w:sz="0" w:space="0" w:color="auto"/>
        <w:right w:val="none" w:sz="0" w:space="0" w:color="auto"/>
      </w:divBdr>
    </w:div>
    <w:div w:id="2006398801">
      <w:bodyDiv w:val="1"/>
      <w:marLeft w:val="0"/>
      <w:marRight w:val="0"/>
      <w:marTop w:val="0"/>
      <w:marBottom w:val="0"/>
      <w:divBdr>
        <w:top w:val="none" w:sz="0" w:space="0" w:color="auto"/>
        <w:left w:val="none" w:sz="0" w:space="0" w:color="auto"/>
        <w:bottom w:val="none" w:sz="0" w:space="0" w:color="auto"/>
        <w:right w:val="none" w:sz="0" w:space="0" w:color="auto"/>
      </w:divBdr>
    </w:div>
    <w:div w:id="2008168155">
      <w:bodyDiv w:val="1"/>
      <w:marLeft w:val="0"/>
      <w:marRight w:val="0"/>
      <w:marTop w:val="0"/>
      <w:marBottom w:val="0"/>
      <w:divBdr>
        <w:top w:val="none" w:sz="0" w:space="0" w:color="auto"/>
        <w:left w:val="none" w:sz="0" w:space="0" w:color="auto"/>
        <w:bottom w:val="none" w:sz="0" w:space="0" w:color="auto"/>
        <w:right w:val="none" w:sz="0" w:space="0" w:color="auto"/>
      </w:divBdr>
    </w:div>
    <w:div w:id="2016229153">
      <w:bodyDiv w:val="1"/>
      <w:marLeft w:val="0"/>
      <w:marRight w:val="0"/>
      <w:marTop w:val="0"/>
      <w:marBottom w:val="0"/>
      <w:divBdr>
        <w:top w:val="none" w:sz="0" w:space="0" w:color="auto"/>
        <w:left w:val="none" w:sz="0" w:space="0" w:color="auto"/>
        <w:bottom w:val="none" w:sz="0" w:space="0" w:color="auto"/>
        <w:right w:val="none" w:sz="0" w:space="0" w:color="auto"/>
      </w:divBdr>
    </w:div>
    <w:div w:id="2029520828">
      <w:bodyDiv w:val="1"/>
      <w:marLeft w:val="0"/>
      <w:marRight w:val="0"/>
      <w:marTop w:val="0"/>
      <w:marBottom w:val="0"/>
      <w:divBdr>
        <w:top w:val="none" w:sz="0" w:space="0" w:color="auto"/>
        <w:left w:val="none" w:sz="0" w:space="0" w:color="auto"/>
        <w:bottom w:val="none" w:sz="0" w:space="0" w:color="auto"/>
        <w:right w:val="none" w:sz="0" w:space="0" w:color="auto"/>
      </w:divBdr>
    </w:div>
    <w:div w:id="2036230340">
      <w:bodyDiv w:val="1"/>
      <w:marLeft w:val="0"/>
      <w:marRight w:val="0"/>
      <w:marTop w:val="0"/>
      <w:marBottom w:val="0"/>
      <w:divBdr>
        <w:top w:val="none" w:sz="0" w:space="0" w:color="auto"/>
        <w:left w:val="none" w:sz="0" w:space="0" w:color="auto"/>
        <w:bottom w:val="none" w:sz="0" w:space="0" w:color="auto"/>
        <w:right w:val="none" w:sz="0" w:space="0" w:color="auto"/>
      </w:divBdr>
    </w:div>
    <w:div w:id="2047487620">
      <w:bodyDiv w:val="1"/>
      <w:marLeft w:val="0"/>
      <w:marRight w:val="0"/>
      <w:marTop w:val="0"/>
      <w:marBottom w:val="0"/>
      <w:divBdr>
        <w:top w:val="none" w:sz="0" w:space="0" w:color="auto"/>
        <w:left w:val="none" w:sz="0" w:space="0" w:color="auto"/>
        <w:bottom w:val="none" w:sz="0" w:space="0" w:color="auto"/>
        <w:right w:val="none" w:sz="0" w:space="0" w:color="auto"/>
      </w:divBdr>
    </w:div>
    <w:div w:id="2048095260">
      <w:bodyDiv w:val="1"/>
      <w:marLeft w:val="0"/>
      <w:marRight w:val="0"/>
      <w:marTop w:val="0"/>
      <w:marBottom w:val="0"/>
      <w:divBdr>
        <w:top w:val="none" w:sz="0" w:space="0" w:color="auto"/>
        <w:left w:val="none" w:sz="0" w:space="0" w:color="auto"/>
        <w:bottom w:val="none" w:sz="0" w:space="0" w:color="auto"/>
        <w:right w:val="none" w:sz="0" w:space="0" w:color="auto"/>
      </w:divBdr>
    </w:div>
    <w:div w:id="2050298951">
      <w:bodyDiv w:val="1"/>
      <w:marLeft w:val="0"/>
      <w:marRight w:val="0"/>
      <w:marTop w:val="0"/>
      <w:marBottom w:val="0"/>
      <w:divBdr>
        <w:top w:val="none" w:sz="0" w:space="0" w:color="auto"/>
        <w:left w:val="none" w:sz="0" w:space="0" w:color="auto"/>
        <w:bottom w:val="none" w:sz="0" w:space="0" w:color="auto"/>
        <w:right w:val="none" w:sz="0" w:space="0" w:color="auto"/>
      </w:divBdr>
    </w:div>
    <w:div w:id="2050453453">
      <w:bodyDiv w:val="1"/>
      <w:marLeft w:val="0"/>
      <w:marRight w:val="0"/>
      <w:marTop w:val="0"/>
      <w:marBottom w:val="0"/>
      <w:divBdr>
        <w:top w:val="none" w:sz="0" w:space="0" w:color="auto"/>
        <w:left w:val="none" w:sz="0" w:space="0" w:color="auto"/>
        <w:bottom w:val="none" w:sz="0" w:space="0" w:color="auto"/>
        <w:right w:val="none" w:sz="0" w:space="0" w:color="auto"/>
      </w:divBdr>
    </w:div>
    <w:div w:id="2055419469">
      <w:bodyDiv w:val="1"/>
      <w:marLeft w:val="0"/>
      <w:marRight w:val="0"/>
      <w:marTop w:val="0"/>
      <w:marBottom w:val="0"/>
      <w:divBdr>
        <w:top w:val="none" w:sz="0" w:space="0" w:color="auto"/>
        <w:left w:val="none" w:sz="0" w:space="0" w:color="auto"/>
        <w:bottom w:val="none" w:sz="0" w:space="0" w:color="auto"/>
        <w:right w:val="none" w:sz="0" w:space="0" w:color="auto"/>
      </w:divBdr>
    </w:div>
    <w:div w:id="2057006633">
      <w:bodyDiv w:val="1"/>
      <w:marLeft w:val="0"/>
      <w:marRight w:val="0"/>
      <w:marTop w:val="0"/>
      <w:marBottom w:val="0"/>
      <w:divBdr>
        <w:top w:val="none" w:sz="0" w:space="0" w:color="auto"/>
        <w:left w:val="none" w:sz="0" w:space="0" w:color="auto"/>
        <w:bottom w:val="none" w:sz="0" w:space="0" w:color="auto"/>
        <w:right w:val="none" w:sz="0" w:space="0" w:color="auto"/>
      </w:divBdr>
    </w:div>
    <w:div w:id="2060548235">
      <w:bodyDiv w:val="1"/>
      <w:marLeft w:val="0"/>
      <w:marRight w:val="0"/>
      <w:marTop w:val="0"/>
      <w:marBottom w:val="0"/>
      <w:divBdr>
        <w:top w:val="none" w:sz="0" w:space="0" w:color="auto"/>
        <w:left w:val="none" w:sz="0" w:space="0" w:color="auto"/>
        <w:bottom w:val="none" w:sz="0" w:space="0" w:color="auto"/>
        <w:right w:val="none" w:sz="0" w:space="0" w:color="auto"/>
      </w:divBdr>
    </w:div>
    <w:div w:id="2062287222">
      <w:bodyDiv w:val="1"/>
      <w:marLeft w:val="0"/>
      <w:marRight w:val="0"/>
      <w:marTop w:val="0"/>
      <w:marBottom w:val="0"/>
      <w:divBdr>
        <w:top w:val="none" w:sz="0" w:space="0" w:color="auto"/>
        <w:left w:val="none" w:sz="0" w:space="0" w:color="auto"/>
        <w:bottom w:val="none" w:sz="0" w:space="0" w:color="auto"/>
        <w:right w:val="none" w:sz="0" w:space="0" w:color="auto"/>
      </w:divBdr>
    </w:div>
    <w:div w:id="2064673728">
      <w:bodyDiv w:val="1"/>
      <w:marLeft w:val="0"/>
      <w:marRight w:val="0"/>
      <w:marTop w:val="0"/>
      <w:marBottom w:val="0"/>
      <w:divBdr>
        <w:top w:val="none" w:sz="0" w:space="0" w:color="auto"/>
        <w:left w:val="none" w:sz="0" w:space="0" w:color="auto"/>
        <w:bottom w:val="none" w:sz="0" w:space="0" w:color="auto"/>
        <w:right w:val="none" w:sz="0" w:space="0" w:color="auto"/>
      </w:divBdr>
    </w:div>
    <w:div w:id="2064982555">
      <w:bodyDiv w:val="1"/>
      <w:marLeft w:val="0"/>
      <w:marRight w:val="0"/>
      <w:marTop w:val="0"/>
      <w:marBottom w:val="0"/>
      <w:divBdr>
        <w:top w:val="none" w:sz="0" w:space="0" w:color="auto"/>
        <w:left w:val="none" w:sz="0" w:space="0" w:color="auto"/>
        <w:bottom w:val="none" w:sz="0" w:space="0" w:color="auto"/>
        <w:right w:val="none" w:sz="0" w:space="0" w:color="auto"/>
      </w:divBdr>
    </w:div>
    <w:div w:id="2066297219">
      <w:bodyDiv w:val="1"/>
      <w:marLeft w:val="0"/>
      <w:marRight w:val="0"/>
      <w:marTop w:val="0"/>
      <w:marBottom w:val="0"/>
      <w:divBdr>
        <w:top w:val="none" w:sz="0" w:space="0" w:color="auto"/>
        <w:left w:val="none" w:sz="0" w:space="0" w:color="auto"/>
        <w:bottom w:val="none" w:sz="0" w:space="0" w:color="auto"/>
        <w:right w:val="none" w:sz="0" w:space="0" w:color="auto"/>
      </w:divBdr>
    </w:div>
    <w:div w:id="2066633989">
      <w:bodyDiv w:val="1"/>
      <w:marLeft w:val="0"/>
      <w:marRight w:val="0"/>
      <w:marTop w:val="0"/>
      <w:marBottom w:val="0"/>
      <w:divBdr>
        <w:top w:val="none" w:sz="0" w:space="0" w:color="auto"/>
        <w:left w:val="none" w:sz="0" w:space="0" w:color="auto"/>
        <w:bottom w:val="none" w:sz="0" w:space="0" w:color="auto"/>
        <w:right w:val="none" w:sz="0" w:space="0" w:color="auto"/>
      </w:divBdr>
    </w:div>
    <w:div w:id="2073190907">
      <w:bodyDiv w:val="1"/>
      <w:marLeft w:val="0"/>
      <w:marRight w:val="0"/>
      <w:marTop w:val="0"/>
      <w:marBottom w:val="0"/>
      <w:divBdr>
        <w:top w:val="none" w:sz="0" w:space="0" w:color="auto"/>
        <w:left w:val="none" w:sz="0" w:space="0" w:color="auto"/>
        <w:bottom w:val="none" w:sz="0" w:space="0" w:color="auto"/>
        <w:right w:val="none" w:sz="0" w:space="0" w:color="auto"/>
      </w:divBdr>
    </w:div>
    <w:div w:id="2084913063">
      <w:bodyDiv w:val="1"/>
      <w:marLeft w:val="0"/>
      <w:marRight w:val="0"/>
      <w:marTop w:val="0"/>
      <w:marBottom w:val="0"/>
      <w:divBdr>
        <w:top w:val="none" w:sz="0" w:space="0" w:color="auto"/>
        <w:left w:val="none" w:sz="0" w:space="0" w:color="auto"/>
        <w:bottom w:val="none" w:sz="0" w:space="0" w:color="auto"/>
        <w:right w:val="none" w:sz="0" w:space="0" w:color="auto"/>
      </w:divBdr>
    </w:div>
    <w:div w:id="2098332140">
      <w:bodyDiv w:val="1"/>
      <w:marLeft w:val="0"/>
      <w:marRight w:val="0"/>
      <w:marTop w:val="0"/>
      <w:marBottom w:val="0"/>
      <w:divBdr>
        <w:top w:val="none" w:sz="0" w:space="0" w:color="auto"/>
        <w:left w:val="none" w:sz="0" w:space="0" w:color="auto"/>
        <w:bottom w:val="none" w:sz="0" w:space="0" w:color="auto"/>
        <w:right w:val="none" w:sz="0" w:space="0" w:color="auto"/>
      </w:divBdr>
    </w:div>
    <w:div w:id="2102991526">
      <w:bodyDiv w:val="1"/>
      <w:marLeft w:val="0"/>
      <w:marRight w:val="0"/>
      <w:marTop w:val="0"/>
      <w:marBottom w:val="0"/>
      <w:divBdr>
        <w:top w:val="none" w:sz="0" w:space="0" w:color="auto"/>
        <w:left w:val="none" w:sz="0" w:space="0" w:color="auto"/>
        <w:bottom w:val="none" w:sz="0" w:space="0" w:color="auto"/>
        <w:right w:val="none" w:sz="0" w:space="0" w:color="auto"/>
      </w:divBdr>
    </w:div>
    <w:div w:id="2104177511">
      <w:bodyDiv w:val="1"/>
      <w:marLeft w:val="0"/>
      <w:marRight w:val="0"/>
      <w:marTop w:val="0"/>
      <w:marBottom w:val="0"/>
      <w:divBdr>
        <w:top w:val="none" w:sz="0" w:space="0" w:color="auto"/>
        <w:left w:val="none" w:sz="0" w:space="0" w:color="auto"/>
        <w:bottom w:val="none" w:sz="0" w:space="0" w:color="auto"/>
        <w:right w:val="none" w:sz="0" w:space="0" w:color="auto"/>
      </w:divBdr>
    </w:div>
    <w:div w:id="2105345309">
      <w:bodyDiv w:val="1"/>
      <w:marLeft w:val="0"/>
      <w:marRight w:val="0"/>
      <w:marTop w:val="0"/>
      <w:marBottom w:val="0"/>
      <w:divBdr>
        <w:top w:val="none" w:sz="0" w:space="0" w:color="auto"/>
        <w:left w:val="none" w:sz="0" w:space="0" w:color="auto"/>
        <w:bottom w:val="none" w:sz="0" w:space="0" w:color="auto"/>
        <w:right w:val="none" w:sz="0" w:space="0" w:color="auto"/>
      </w:divBdr>
    </w:div>
    <w:div w:id="2105761144">
      <w:bodyDiv w:val="1"/>
      <w:marLeft w:val="0"/>
      <w:marRight w:val="0"/>
      <w:marTop w:val="0"/>
      <w:marBottom w:val="0"/>
      <w:divBdr>
        <w:top w:val="none" w:sz="0" w:space="0" w:color="auto"/>
        <w:left w:val="none" w:sz="0" w:space="0" w:color="auto"/>
        <w:bottom w:val="none" w:sz="0" w:space="0" w:color="auto"/>
        <w:right w:val="none" w:sz="0" w:space="0" w:color="auto"/>
      </w:divBdr>
    </w:div>
    <w:div w:id="2107576616">
      <w:bodyDiv w:val="1"/>
      <w:marLeft w:val="0"/>
      <w:marRight w:val="0"/>
      <w:marTop w:val="0"/>
      <w:marBottom w:val="0"/>
      <w:divBdr>
        <w:top w:val="none" w:sz="0" w:space="0" w:color="auto"/>
        <w:left w:val="none" w:sz="0" w:space="0" w:color="auto"/>
        <w:bottom w:val="none" w:sz="0" w:space="0" w:color="auto"/>
        <w:right w:val="none" w:sz="0" w:space="0" w:color="auto"/>
      </w:divBdr>
    </w:div>
    <w:div w:id="2109766853">
      <w:bodyDiv w:val="1"/>
      <w:marLeft w:val="0"/>
      <w:marRight w:val="0"/>
      <w:marTop w:val="0"/>
      <w:marBottom w:val="0"/>
      <w:divBdr>
        <w:top w:val="none" w:sz="0" w:space="0" w:color="auto"/>
        <w:left w:val="none" w:sz="0" w:space="0" w:color="auto"/>
        <w:bottom w:val="none" w:sz="0" w:space="0" w:color="auto"/>
        <w:right w:val="none" w:sz="0" w:space="0" w:color="auto"/>
      </w:divBdr>
    </w:div>
    <w:div w:id="2113162300">
      <w:bodyDiv w:val="1"/>
      <w:marLeft w:val="0"/>
      <w:marRight w:val="0"/>
      <w:marTop w:val="0"/>
      <w:marBottom w:val="0"/>
      <w:divBdr>
        <w:top w:val="none" w:sz="0" w:space="0" w:color="auto"/>
        <w:left w:val="none" w:sz="0" w:space="0" w:color="auto"/>
        <w:bottom w:val="none" w:sz="0" w:space="0" w:color="auto"/>
        <w:right w:val="none" w:sz="0" w:space="0" w:color="auto"/>
      </w:divBdr>
    </w:div>
    <w:div w:id="2115858599">
      <w:bodyDiv w:val="1"/>
      <w:marLeft w:val="0"/>
      <w:marRight w:val="0"/>
      <w:marTop w:val="0"/>
      <w:marBottom w:val="0"/>
      <w:divBdr>
        <w:top w:val="none" w:sz="0" w:space="0" w:color="auto"/>
        <w:left w:val="none" w:sz="0" w:space="0" w:color="auto"/>
        <w:bottom w:val="none" w:sz="0" w:space="0" w:color="auto"/>
        <w:right w:val="none" w:sz="0" w:space="0" w:color="auto"/>
      </w:divBdr>
    </w:div>
    <w:div w:id="2116905313">
      <w:bodyDiv w:val="1"/>
      <w:marLeft w:val="0"/>
      <w:marRight w:val="0"/>
      <w:marTop w:val="0"/>
      <w:marBottom w:val="0"/>
      <w:divBdr>
        <w:top w:val="none" w:sz="0" w:space="0" w:color="auto"/>
        <w:left w:val="none" w:sz="0" w:space="0" w:color="auto"/>
        <w:bottom w:val="none" w:sz="0" w:space="0" w:color="auto"/>
        <w:right w:val="none" w:sz="0" w:space="0" w:color="auto"/>
      </w:divBdr>
    </w:div>
    <w:div w:id="2122913743">
      <w:bodyDiv w:val="1"/>
      <w:marLeft w:val="0"/>
      <w:marRight w:val="0"/>
      <w:marTop w:val="0"/>
      <w:marBottom w:val="0"/>
      <w:divBdr>
        <w:top w:val="none" w:sz="0" w:space="0" w:color="auto"/>
        <w:left w:val="none" w:sz="0" w:space="0" w:color="auto"/>
        <w:bottom w:val="none" w:sz="0" w:space="0" w:color="auto"/>
        <w:right w:val="none" w:sz="0" w:space="0" w:color="auto"/>
      </w:divBdr>
    </w:div>
    <w:div w:id="2129228445">
      <w:bodyDiv w:val="1"/>
      <w:marLeft w:val="0"/>
      <w:marRight w:val="0"/>
      <w:marTop w:val="0"/>
      <w:marBottom w:val="0"/>
      <w:divBdr>
        <w:top w:val="none" w:sz="0" w:space="0" w:color="auto"/>
        <w:left w:val="none" w:sz="0" w:space="0" w:color="auto"/>
        <w:bottom w:val="none" w:sz="0" w:space="0" w:color="auto"/>
        <w:right w:val="none" w:sz="0" w:space="0" w:color="auto"/>
      </w:divBdr>
    </w:div>
    <w:div w:id="2130582797">
      <w:bodyDiv w:val="1"/>
      <w:marLeft w:val="0"/>
      <w:marRight w:val="0"/>
      <w:marTop w:val="0"/>
      <w:marBottom w:val="0"/>
      <w:divBdr>
        <w:top w:val="none" w:sz="0" w:space="0" w:color="auto"/>
        <w:left w:val="none" w:sz="0" w:space="0" w:color="auto"/>
        <w:bottom w:val="none" w:sz="0" w:space="0" w:color="auto"/>
        <w:right w:val="none" w:sz="0" w:space="0" w:color="auto"/>
      </w:divBdr>
    </w:div>
    <w:div w:id="2131626063">
      <w:bodyDiv w:val="1"/>
      <w:marLeft w:val="0"/>
      <w:marRight w:val="0"/>
      <w:marTop w:val="0"/>
      <w:marBottom w:val="0"/>
      <w:divBdr>
        <w:top w:val="none" w:sz="0" w:space="0" w:color="auto"/>
        <w:left w:val="none" w:sz="0" w:space="0" w:color="auto"/>
        <w:bottom w:val="none" w:sz="0" w:space="0" w:color="auto"/>
        <w:right w:val="none" w:sz="0" w:space="0" w:color="auto"/>
      </w:divBdr>
    </w:div>
    <w:div w:id="2136672798">
      <w:bodyDiv w:val="1"/>
      <w:marLeft w:val="0"/>
      <w:marRight w:val="0"/>
      <w:marTop w:val="0"/>
      <w:marBottom w:val="0"/>
      <w:divBdr>
        <w:top w:val="none" w:sz="0" w:space="0" w:color="auto"/>
        <w:left w:val="none" w:sz="0" w:space="0" w:color="auto"/>
        <w:bottom w:val="none" w:sz="0" w:space="0" w:color="auto"/>
        <w:right w:val="none" w:sz="0" w:space="0" w:color="auto"/>
      </w:divBdr>
    </w:div>
    <w:div w:id="213937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2.wmf"/><Relationship Id="rId33"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16.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hyperlink" Target="http://www.arc4.co.uk" TargetMode="External"/><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michael.bullock@arc4.co.uk" TargetMode="Externa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footer" Target="footer3.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communities.gov.uk/documents/housing/xls/141476.xls" TargetMode="External"/><Relationship Id="rId2" Type="http://schemas.openxmlformats.org/officeDocument/2006/relationships/hyperlink" Target="http://www.communities.gov.uk/documents/housing/xls/141476.xls" TargetMode="External"/><Relationship Id="rId1" Type="http://schemas.openxmlformats.org/officeDocument/2006/relationships/hyperlink" Target="http://www.homesandcommunities.co.uk/news/hca-announces-successful-bidders-affordable-homes-fun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WINDOW~1\LOCALS~1\TEMP\abra_report_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mes\Desktop\arc4\County%20Durham\Co%20Durham%202013%20SHMA%20update%20material%2023.59%20May%203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CURRENT%20PROJECTS\County%20Durham%20SHMA\FINAL%20REPORT%20MATERIAL\Co%20Durham%20SHMA%20Report%20tables%20and%20secondary%20analysis%20v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1"/>
    <c:plotArea>
      <c:layout>
        <c:manualLayout>
          <c:layoutTarget val="inner"/>
          <c:xMode val="edge"/>
          <c:yMode val="edge"/>
          <c:x val="0.31826800528926796"/>
          <c:y val="1.2787739754510469E-2"/>
          <c:w val="0.65725167956185693"/>
          <c:h val="0.82608798814136497"/>
        </c:manualLayout>
      </c:layout>
      <c:barChart>
        <c:barDir val="bar"/>
        <c:grouping val="clustered"/>
        <c:varyColors val="0"/>
        <c:ser>
          <c:idx val="0"/>
          <c:order val="0"/>
          <c:tx>
            <c:strRef>
              <c:f>'CO6'!$B$42</c:f>
              <c:strCache>
                <c:ptCount val="1"/>
                <c:pt idx="0">
                  <c:v>% of households</c:v>
                </c:pt>
              </c:strCache>
            </c:strRef>
          </c:tx>
          <c:spPr>
            <a:solidFill>
              <a:srgbClr val="008080"/>
            </a:solidFill>
          </c:spPr>
          <c:invertIfNegative val="0"/>
          <c:dLbls>
            <c:spPr>
              <a:noFill/>
              <a:ln>
                <a:noFill/>
              </a:ln>
              <a:effectLst/>
            </c:spPr>
            <c:txPr>
              <a:bodyPr/>
              <a:lstStyle/>
              <a:p>
                <a:pPr>
                  <a:defRPr sz="1000" b="0"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'CO6'!$A$43:$A$53</c:f>
              <c:strCache>
                <c:ptCount val="10"/>
                <c:pt idx="0">
                  <c:v>Single adult (under 60)</c:v>
                </c:pt>
                <c:pt idx="1">
                  <c:v>Single adult (60 or over)</c:v>
                </c:pt>
                <c:pt idx="2">
                  <c:v>Couple only (both under 60)</c:v>
                </c:pt>
                <c:pt idx="3">
                  <c:v>Couple only (one or both over 60)</c:v>
                </c:pt>
                <c:pt idx="4">
                  <c:v>Couple 1/2 child(ren) under 18</c:v>
                </c:pt>
                <c:pt idx="5">
                  <c:v>Couple 3+ children under 18</c:v>
                </c:pt>
                <c:pt idx="6">
                  <c:v>Lone parent with 1/2 child(ren) under 18</c:v>
                </c:pt>
                <c:pt idx="7">
                  <c:v>Other type of household</c:v>
                </c:pt>
                <c:pt idx="8">
                  <c:v>Couple with adult child(ren)</c:v>
                </c:pt>
                <c:pt idx="9">
                  <c:v>Lone parent with adult child(ren)</c:v>
                </c:pt>
              </c:strCache>
            </c:strRef>
          </c:cat>
          <c:val>
            <c:numRef>
              <c:f>'CO6'!$B$43:$B$53</c:f>
              <c:numCache>
                <c:formatCode>0.0</c:formatCode>
                <c:ptCount val="11"/>
                <c:pt idx="0">
                  <c:v>14.847402966346452</c:v>
                </c:pt>
                <c:pt idx="1">
                  <c:v>4.9581243208348136</c:v>
                </c:pt>
                <c:pt idx="2">
                  <c:v>20.549960275761691</c:v>
                </c:pt>
                <c:pt idx="3">
                  <c:v>11.369456952579407</c:v>
                </c:pt>
                <c:pt idx="4">
                  <c:v>26.885006943387104</c:v>
                </c:pt>
                <c:pt idx="5">
                  <c:v>2.4300445224177438</c:v>
                </c:pt>
                <c:pt idx="6">
                  <c:v>9.6156346745098613</c:v>
                </c:pt>
                <c:pt idx="7">
                  <c:v>3.0725573813407467</c:v>
                </c:pt>
                <c:pt idx="8">
                  <c:v>5.0490598403744622</c:v>
                </c:pt>
                <c:pt idx="9">
                  <c:v>1.2227521224475901</c:v>
                </c:pt>
              </c:numCache>
            </c:numRef>
          </c:val>
        </c:ser>
        <c:dLbls>
          <c:showLegendKey val="0"/>
          <c:showVal val="0"/>
          <c:showCatName val="0"/>
          <c:showSerName val="0"/>
          <c:showPercent val="0"/>
          <c:showBubbleSize val="0"/>
        </c:dLbls>
        <c:gapWidth val="40"/>
        <c:overlap val="60"/>
        <c:axId val="339861440"/>
        <c:axId val="339861832"/>
      </c:barChart>
      <c:catAx>
        <c:axId val="339861440"/>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339861832"/>
        <c:crosses val="autoZero"/>
        <c:auto val="1"/>
        <c:lblAlgn val="ctr"/>
        <c:lblOffset val="100"/>
        <c:tickLblSkip val="1"/>
        <c:tickMarkSkip val="1"/>
        <c:noMultiLvlLbl val="0"/>
      </c:catAx>
      <c:valAx>
        <c:axId val="339861832"/>
        <c:scaling>
          <c:orientation val="minMax"/>
        </c:scaling>
        <c:delete val="0"/>
        <c:axPos val="b"/>
        <c:majorGridlines/>
        <c:title>
          <c:tx>
            <c:rich>
              <a:bodyPr/>
              <a:lstStyle/>
              <a:p>
                <a:pPr>
                  <a:defRPr sz="1000" b="0" i="0" u="none" strike="noStrike" baseline="0">
                    <a:solidFill>
                      <a:srgbClr val="000000"/>
                    </a:solidFill>
                    <a:latin typeface="Arial"/>
                    <a:ea typeface="Arial"/>
                    <a:cs typeface="Arial"/>
                  </a:defRPr>
                </a:pPr>
                <a:r>
                  <a:rPr lang="en-GB"/>
                  <a:t>% of Households</a:t>
                </a:r>
              </a:p>
            </c:rich>
          </c:tx>
          <c:layout>
            <c:manualLayout>
              <c:xMode val="edge"/>
              <c:yMode val="edge"/>
              <c:x val="0.50282589676290468"/>
              <c:y val="0.93094733661890194"/>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339861440"/>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70046391349668"/>
          <c:y val="3.2701831168211855E-2"/>
          <c:w val="0.81750614217102757"/>
          <c:h val="0.82717078029675628"/>
        </c:manualLayout>
      </c:layout>
      <c:lineChart>
        <c:grouping val="standard"/>
        <c:varyColors val="0"/>
        <c:ser>
          <c:idx val="0"/>
          <c:order val="0"/>
          <c:tx>
            <c:strRef>
              <c:f>'Tab C2 Fig C2'!$C$35</c:f>
              <c:strCache>
                <c:ptCount val="1"/>
                <c:pt idx="0">
                  <c:v>Historic</c:v>
                </c:pt>
              </c:strCache>
            </c:strRef>
          </c:tx>
          <c:marker>
            <c:symbol val="none"/>
          </c:marker>
          <c:dPt>
            <c:idx val="2"/>
            <c:bubble3D val="0"/>
            <c:spPr/>
          </c:dPt>
          <c:cat>
            <c:numRef>
              <c:f>'Tab C2 Fig C2'!$B$36:$B$42</c:f>
              <c:numCache>
                <c:formatCode>General</c:formatCode>
                <c:ptCount val="7"/>
                <c:pt idx="0">
                  <c:v>2009</c:v>
                </c:pt>
                <c:pt idx="1">
                  <c:v>2010</c:v>
                </c:pt>
                <c:pt idx="2">
                  <c:v>2011</c:v>
                </c:pt>
                <c:pt idx="3">
                  <c:v>2012</c:v>
                </c:pt>
                <c:pt idx="4">
                  <c:v>2013</c:v>
                </c:pt>
                <c:pt idx="5">
                  <c:v>2014</c:v>
                </c:pt>
                <c:pt idx="6">
                  <c:v>2015</c:v>
                </c:pt>
              </c:numCache>
            </c:numRef>
          </c:cat>
          <c:val>
            <c:numRef>
              <c:f>'Tab C2 Fig C2'!$C$36:$C$42</c:f>
              <c:numCache>
                <c:formatCode>0</c:formatCode>
                <c:ptCount val="7"/>
                <c:pt idx="0">
                  <c:v>621</c:v>
                </c:pt>
                <c:pt idx="1">
                  <c:v>629</c:v>
                </c:pt>
                <c:pt idx="2">
                  <c:v>621</c:v>
                </c:pt>
              </c:numCache>
            </c:numRef>
          </c:val>
          <c:smooth val="1"/>
        </c:ser>
        <c:ser>
          <c:idx val="1"/>
          <c:order val="1"/>
          <c:tx>
            <c:strRef>
              <c:f>'Tab C2 Fig C2'!$D$35</c:f>
              <c:strCache>
                <c:ptCount val="1"/>
                <c:pt idx="0">
                  <c:v>Scenario A</c:v>
                </c:pt>
              </c:strCache>
            </c:strRef>
          </c:tx>
          <c:marker>
            <c:symbol val="none"/>
          </c:marker>
          <c:cat>
            <c:numRef>
              <c:f>'Tab C2 Fig C2'!$B$36:$B$42</c:f>
              <c:numCache>
                <c:formatCode>General</c:formatCode>
                <c:ptCount val="7"/>
                <c:pt idx="0">
                  <c:v>2009</c:v>
                </c:pt>
                <c:pt idx="1">
                  <c:v>2010</c:v>
                </c:pt>
                <c:pt idx="2">
                  <c:v>2011</c:v>
                </c:pt>
                <c:pt idx="3">
                  <c:v>2012</c:v>
                </c:pt>
                <c:pt idx="4">
                  <c:v>2013</c:v>
                </c:pt>
                <c:pt idx="5">
                  <c:v>2014</c:v>
                </c:pt>
                <c:pt idx="6">
                  <c:v>2015</c:v>
                </c:pt>
              </c:numCache>
            </c:numRef>
          </c:cat>
          <c:val>
            <c:numRef>
              <c:f>'Tab C2 Fig C2'!$D$36:$D$42</c:f>
              <c:numCache>
                <c:formatCode>General</c:formatCode>
                <c:ptCount val="7"/>
                <c:pt idx="2" formatCode="0">
                  <c:v>621</c:v>
                </c:pt>
                <c:pt idx="3" formatCode="&quot;£&quot;#,##0">
                  <c:v>590</c:v>
                </c:pt>
                <c:pt idx="4" formatCode="&quot;£&quot;#,##0">
                  <c:v>561</c:v>
                </c:pt>
                <c:pt idx="5" formatCode="&quot;£&quot;#,##0">
                  <c:v>533</c:v>
                </c:pt>
                <c:pt idx="6" formatCode="&quot;£&quot;#,##0">
                  <c:v>507</c:v>
                </c:pt>
              </c:numCache>
            </c:numRef>
          </c:val>
          <c:smooth val="1"/>
        </c:ser>
        <c:ser>
          <c:idx val="2"/>
          <c:order val="2"/>
          <c:tx>
            <c:strRef>
              <c:f>'Tab C2 Fig C2'!$E$35</c:f>
              <c:strCache>
                <c:ptCount val="1"/>
                <c:pt idx="0">
                  <c:v>Scenario B</c:v>
                </c:pt>
              </c:strCache>
            </c:strRef>
          </c:tx>
          <c:marker>
            <c:symbol val="none"/>
          </c:marker>
          <c:cat>
            <c:numRef>
              <c:f>'Tab C2 Fig C2'!$B$36:$B$42</c:f>
              <c:numCache>
                <c:formatCode>General</c:formatCode>
                <c:ptCount val="7"/>
                <c:pt idx="0">
                  <c:v>2009</c:v>
                </c:pt>
                <c:pt idx="1">
                  <c:v>2010</c:v>
                </c:pt>
                <c:pt idx="2">
                  <c:v>2011</c:v>
                </c:pt>
                <c:pt idx="3">
                  <c:v>2012</c:v>
                </c:pt>
                <c:pt idx="4">
                  <c:v>2013</c:v>
                </c:pt>
                <c:pt idx="5">
                  <c:v>2014</c:v>
                </c:pt>
                <c:pt idx="6">
                  <c:v>2015</c:v>
                </c:pt>
              </c:numCache>
            </c:numRef>
          </c:cat>
          <c:val>
            <c:numRef>
              <c:f>'Tab C2 Fig C2'!$E$36:$E$42</c:f>
              <c:numCache>
                <c:formatCode>General</c:formatCode>
                <c:ptCount val="7"/>
                <c:pt idx="2" formatCode="0">
                  <c:v>621</c:v>
                </c:pt>
                <c:pt idx="3" formatCode="&quot;£&quot;#,##0">
                  <c:v>590</c:v>
                </c:pt>
                <c:pt idx="4" formatCode="&quot;£&quot;#,##0">
                  <c:v>596</c:v>
                </c:pt>
                <c:pt idx="5" formatCode="&quot;£&quot;#,##0">
                  <c:v>607</c:v>
                </c:pt>
                <c:pt idx="6" formatCode="&quot;£&quot;#,##0">
                  <c:v>626</c:v>
                </c:pt>
              </c:numCache>
            </c:numRef>
          </c:val>
          <c:smooth val="1"/>
        </c:ser>
        <c:ser>
          <c:idx val="3"/>
          <c:order val="3"/>
          <c:tx>
            <c:strRef>
              <c:f>'Tab C2 Fig C2'!$F$35</c:f>
              <c:strCache>
                <c:ptCount val="1"/>
                <c:pt idx="0">
                  <c:v>Scenario C</c:v>
                </c:pt>
              </c:strCache>
            </c:strRef>
          </c:tx>
          <c:marker>
            <c:symbol val="none"/>
          </c:marker>
          <c:cat>
            <c:numRef>
              <c:f>'Tab C2 Fig C2'!$B$36:$B$42</c:f>
              <c:numCache>
                <c:formatCode>General</c:formatCode>
                <c:ptCount val="7"/>
                <c:pt idx="0">
                  <c:v>2009</c:v>
                </c:pt>
                <c:pt idx="1">
                  <c:v>2010</c:v>
                </c:pt>
                <c:pt idx="2">
                  <c:v>2011</c:v>
                </c:pt>
                <c:pt idx="3">
                  <c:v>2012</c:v>
                </c:pt>
                <c:pt idx="4">
                  <c:v>2013</c:v>
                </c:pt>
                <c:pt idx="5">
                  <c:v>2014</c:v>
                </c:pt>
                <c:pt idx="6">
                  <c:v>2015</c:v>
                </c:pt>
              </c:numCache>
            </c:numRef>
          </c:cat>
          <c:val>
            <c:numRef>
              <c:f>'Tab C2 Fig C2'!$F$36:$F$42</c:f>
              <c:numCache>
                <c:formatCode>General</c:formatCode>
                <c:ptCount val="7"/>
                <c:pt idx="2" formatCode="0">
                  <c:v>621</c:v>
                </c:pt>
                <c:pt idx="3" formatCode="&quot;£&quot;#,##0">
                  <c:v>627</c:v>
                </c:pt>
                <c:pt idx="4" formatCode="&quot;£&quot;#,##0">
                  <c:v>658</c:v>
                </c:pt>
                <c:pt idx="5" formatCode="&quot;£&quot;#,##0">
                  <c:v>690</c:v>
                </c:pt>
                <c:pt idx="6" formatCode="&quot;£&quot;#,##0">
                  <c:v>742</c:v>
                </c:pt>
              </c:numCache>
            </c:numRef>
          </c:val>
          <c:smooth val="1"/>
        </c:ser>
        <c:dLbls>
          <c:showLegendKey val="0"/>
          <c:showVal val="0"/>
          <c:showCatName val="0"/>
          <c:showSerName val="0"/>
          <c:showPercent val="0"/>
          <c:showBubbleSize val="0"/>
        </c:dLbls>
        <c:smooth val="0"/>
        <c:axId val="339862224"/>
        <c:axId val="339859480"/>
      </c:lineChart>
      <c:catAx>
        <c:axId val="33986222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339859480"/>
        <c:crosses val="autoZero"/>
        <c:auto val="1"/>
        <c:lblAlgn val="ctr"/>
        <c:lblOffset val="100"/>
        <c:tickLblSkip val="1"/>
        <c:tickMarkSkip val="1"/>
        <c:noMultiLvlLbl val="0"/>
      </c:catAx>
      <c:valAx>
        <c:axId val="339859480"/>
        <c:scaling>
          <c:orientation val="minMax"/>
          <c:min val="300"/>
        </c:scaling>
        <c:delete val="0"/>
        <c:axPos val="l"/>
        <c:majorGridlines/>
        <c:title>
          <c:tx>
            <c:rich>
              <a:bodyPr/>
              <a:lstStyle/>
              <a:p>
                <a:pPr>
                  <a:defRPr sz="1000" b="1" i="0" u="none" strike="noStrike" baseline="0">
                    <a:solidFill>
                      <a:srgbClr val="000000"/>
                    </a:solidFill>
                    <a:latin typeface="Arial"/>
                    <a:ea typeface="Arial"/>
                    <a:cs typeface="Arial"/>
                  </a:defRPr>
                </a:pPr>
                <a:r>
                  <a:rPr lang="en-GB"/>
                  <a:t>Monthly Mortgage</a:t>
                </a:r>
              </a:p>
            </c:rich>
          </c:tx>
          <c:layout>
            <c:manualLayout>
              <c:xMode val="edge"/>
              <c:yMode val="edge"/>
              <c:x val="1.6759656356440559E-2"/>
              <c:y val="0.27707009375871638"/>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339862224"/>
        <c:crosses val="autoZero"/>
        <c:crossBetween val="between"/>
      </c:valAx>
    </c:plotArea>
    <c:legend>
      <c:legendPos val="r"/>
      <c:layout>
        <c:manualLayout>
          <c:xMode val="edge"/>
          <c:yMode val="edge"/>
          <c:x val="0.15889864905240844"/>
          <c:y val="0.52439743397197969"/>
          <c:w val="0.25510744607011393"/>
          <c:h val="0.32165604640019424"/>
        </c:manualLayout>
      </c:layout>
      <c:overlay val="0"/>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0C95C-BC34-437A-83D5-5420BAAAA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abra_report_template</Template>
  <TotalTime>1</TotalTime>
  <Pages>1</Pages>
  <Words>43271</Words>
  <Characters>246647</Characters>
  <Application>Microsoft Office Word</Application>
  <DocSecurity>0</DocSecurity>
  <Lines>2055</Lines>
  <Paragraphs>578</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289340</CharactersWithSpaces>
  <SharedDoc>false</SharedDoc>
  <HLinks>
    <vt:vector size="354" baseType="variant">
      <vt:variant>
        <vt:i4>1441848</vt:i4>
      </vt:variant>
      <vt:variant>
        <vt:i4>326</vt:i4>
      </vt:variant>
      <vt:variant>
        <vt:i4>0</vt:i4>
      </vt:variant>
      <vt:variant>
        <vt:i4>5</vt:i4>
      </vt:variant>
      <vt:variant>
        <vt:lpwstr/>
      </vt:variant>
      <vt:variant>
        <vt:lpwstr>_Toc333507804</vt:lpwstr>
      </vt:variant>
      <vt:variant>
        <vt:i4>1441848</vt:i4>
      </vt:variant>
      <vt:variant>
        <vt:i4>320</vt:i4>
      </vt:variant>
      <vt:variant>
        <vt:i4>0</vt:i4>
      </vt:variant>
      <vt:variant>
        <vt:i4>5</vt:i4>
      </vt:variant>
      <vt:variant>
        <vt:lpwstr/>
      </vt:variant>
      <vt:variant>
        <vt:lpwstr>_Toc333507803</vt:lpwstr>
      </vt:variant>
      <vt:variant>
        <vt:i4>2031671</vt:i4>
      </vt:variant>
      <vt:variant>
        <vt:i4>314</vt:i4>
      </vt:variant>
      <vt:variant>
        <vt:i4>0</vt:i4>
      </vt:variant>
      <vt:variant>
        <vt:i4>5</vt:i4>
      </vt:variant>
      <vt:variant>
        <vt:lpwstr/>
      </vt:variant>
      <vt:variant>
        <vt:lpwstr>_Toc333507798</vt:lpwstr>
      </vt:variant>
      <vt:variant>
        <vt:i4>2031671</vt:i4>
      </vt:variant>
      <vt:variant>
        <vt:i4>308</vt:i4>
      </vt:variant>
      <vt:variant>
        <vt:i4>0</vt:i4>
      </vt:variant>
      <vt:variant>
        <vt:i4>5</vt:i4>
      </vt:variant>
      <vt:variant>
        <vt:lpwstr/>
      </vt:variant>
      <vt:variant>
        <vt:lpwstr>_Toc333507791</vt:lpwstr>
      </vt:variant>
      <vt:variant>
        <vt:i4>2031671</vt:i4>
      </vt:variant>
      <vt:variant>
        <vt:i4>302</vt:i4>
      </vt:variant>
      <vt:variant>
        <vt:i4>0</vt:i4>
      </vt:variant>
      <vt:variant>
        <vt:i4>5</vt:i4>
      </vt:variant>
      <vt:variant>
        <vt:lpwstr/>
      </vt:variant>
      <vt:variant>
        <vt:lpwstr>_Toc333507790</vt:lpwstr>
      </vt:variant>
      <vt:variant>
        <vt:i4>1966135</vt:i4>
      </vt:variant>
      <vt:variant>
        <vt:i4>296</vt:i4>
      </vt:variant>
      <vt:variant>
        <vt:i4>0</vt:i4>
      </vt:variant>
      <vt:variant>
        <vt:i4>5</vt:i4>
      </vt:variant>
      <vt:variant>
        <vt:lpwstr/>
      </vt:variant>
      <vt:variant>
        <vt:lpwstr>_Toc333507783</vt:lpwstr>
      </vt:variant>
      <vt:variant>
        <vt:i4>1114167</vt:i4>
      </vt:variant>
      <vt:variant>
        <vt:i4>290</vt:i4>
      </vt:variant>
      <vt:variant>
        <vt:i4>0</vt:i4>
      </vt:variant>
      <vt:variant>
        <vt:i4>5</vt:i4>
      </vt:variant>
      <vt:variant>
        <vt:lpwstr/>
      </vt:variant>
      <vt:variant>
        <vt:lpwstr>_Toc333507779</vt:lpwstr>
      </vt:variant>
      <vt:variant>
        <vt:i4>1114167</vt:i4>
      </vt:variant>
      <vt:variant>
        <vt:i4>284</vt:i4>
      </vt:variant>
      <vt:variant>
        <vt:i4>0</vt:i4>
      </vt:variant>
      <vt:variant>
        <vt:i4>5</vt:i4>
      </vt:variant>
      <vt:variant>
        <vt:lpwstr/>
      </vt:variant>
      <vt:variant>
        <vt:lpwstr>_Toc333507778</vt:lpwstr>
      </vt:variant>
      <vt:variant>
        <vt:i4>1114167</vt:i4>
      </vt:variant>
      <vt:variant>
        <vt:i4>278</vt:i4>
      </vt:variant>
      <vt:variant>
        <vt:i4>0</vt:i4>
      </vt:variant>
      <vt:variant>
        <vt:i4>5</vt:i4>
      </vt:variant>
      <vt:variant>
        <vt:lpwstr/>
      </vt:variant>
      <vt:variant>
        <vt:lpwstr>_Toc333507777</vt:lpwstr>
      </vt:variant>
      <vt:variant>
        <vt:i4>1114167</vt:i4>
      </vt:variant>
      <vt:variant>
        <vt:i4>272</vt:i4>
      </vt:variant>
      <vt:variant>
        <vt:i4>0</vt:i4>
      </vt:variant>
      <vt:variant>
        <vt:i4>5</vt:i4>
      </vt:variant>
      <vt:variant>
        <vt:lpwstr/>
      </vt:variant>
      <vt:variant>
        <vt:lpwstr>_Toc333507776</vt:lpwstr>
      </vt:variant>
      <vt:variant>
        <vt:i4>1114167</vt:i4>
      </vt:variant>
      <vt:variant>
        <vt:i4>266</vt:i4>
      </vt:variant>
      <vt:variant>
        <vt:i4>0</vt:i4>
      </vt:variant>
      <vt:variant>
        <vt:i4>5</vt:i4>
      </vt:variant>
      <vt:variant>
        <vt:lpwstr/>
      </vt:variant>
      <vt:variant>
        <vt:lpwstr>_Toc333507775</vt:lpwstr>
      </vt:variant>
      <vt:variant>
        <vt:i4>1114167</vt:i4>
      </vt:variant>
      <vt:variant>
        <vt:i4>260</vt:i4>
      </vt:variant>
      <vt:variant>
        <vt:i4>0</vt:i4>
      </vt:variant>
      <vt:variant>
        <vt:i4>5</vt:i4>
      </vt:variant>
      <vt:variant>
        <vt:lpwstr/>
      </vt:variant>
      <vt:variant>
        <vt:lpwstr>_Toc333507774</vt:lpwstr>
      </vt:variant>
      <vt:variant>
        <vt:i4>1114167</vt:i4>
      </vt:variant>
      <vt:variant>
        <vt:i4>254</vt:i4>
      </vt:variant>
      <vt:variant>
        <vt:i4>0</vt:i4>
      </vt:variant>
      <vt:variant>
        <vt:i4>5</vt:i4>
      </vt:variant>
      <vt:variant>
        <vt:lpwstr/>
      </vt:variant>
      <vt:variant>
        <vt:lpwstr>_Toc333507773</vt:lpwstr>
      </vt:variant>
      <vt:variant>
        <vt:i4>1114167</vt:i4>
      </vt:variant>
      <vt:variant>
        <vt:i4>248</vt:i4>
      </vt:variant>
      <vt:variant>
        <vt:i4>0</vt:i4>
      </vt:variant>
      <vt:variant>
        <vt:i4>5</vt:i4>
      </vt:variant>
      <vt:variant>
        <vt:lpwstr/>
      </vt:variant>
      <vt:variant>
        <vt:lpwstr>_Toc333507772</vt:lpwstr>
      </vt:variant>
      <vt:variant>
        <vt:i4>1114167</vt:i4>
      </vt:variant>
      <vt:variant>
        <vt:i4>242</vt:i4>
      </vt:variant>
      <vt:variant>
        <vt:i4>0</vt:i4>
      </vt:variant>
      <vt:variant>
        <vt:i4>5</vt:i4>
      </vt:variant>
      <vt:variant>
        <vt:lpwstr/>
      </vt:variant>
      <vt:variant>
        <vt:lpwstr>_Toc333507771</vt:lpwstr>
      </vt:variant>
      <vt:variant>
        <vt:i4>1114167</vt:i4>
      </vt:variant>
      <vt:variant>
        <vt:i4>236</vt:i4>
      </vt:variant>
      <vt:variant>
        <vt:i4>0</vt:i4>
      </vt:variant>
      <vt:variant>
        <vt:i4>5</vt:i4>
      </vt:variant>
      <vt:variant>
        <vt:lpwstr/>
      </vt:variant>
      <vt:variant>
        <vt:lpwstr>_Toc333507770</vt:lpwstr>
      </vt:variant>
      <vt:variant>
        <vt:i4>1048631</vt:i4>
      </vt:variant>
      <vt:variant>
        <vt:i4>230</vt:i4>
      </vt:variant>
      <vt:variant>
        <vt:i4>0</vt:i4>
      </vt:variant>
      <vt:variant>
        <vt:i4>5</vt:i4>
      </vt:variant>
      <vt:variant>
        <vt:lpwstr/>
      </vt:variant>
      <vt:variant>
        <vt:lpwstr>_Toc333507769</vt:lpwstr>
      </vt:variant>
      <vt:variant>
        <vt:i4>1048631</vt:i4>
      </vt:variant>
      <vt:variant>
        <vt:i4>224</vt:i4>
      </vt:variant>
      <vt:variant>
        <vt:i4>0</vt:i4>
      </vt:variant>
      <vt:variant>
        <vt:i4>5</vt:i4>
      </vt:variant>
      <vt:variant>
        <vt:lpwstr/>
      </vt:variant>
      <vt:variant>
        <vt:lpwstr>_Toc333507768</vt:lpwstr>
      </vt:variant>
      <vt:variant>
        <vt:i4>1048631</vt:i4>
      </vt:variant>
      <vt:variant>
        <vt:i4>218</vt:i4>
      </vt:variant>
      <vt:variant>
        <vt:i4>0</vt:i4>
      </vt:variant>
      <vt:variant>
        <vt:i4>5</vt:i4>
      </vt:variant>
      <vt:variant>
        <vt:lpwstr/>
      </vt:variant>
      <vt:variant>
        <vt:lpwstr>_Toc333507767</vt:lpwstr>
      </vt:variant>
      <vt:variant>
        <vt:i4>1048631</vt:i4>
      </vt:variant>
      <vt:variant>
        <vt:i4>212</vt:i4>
      </vt:variant>
      <vt:variant>
        <vt:i4>0</vt:i4>
      </vt:variant>
      <vt:variant>
        <vt:i4>5</vt:i4>
      </vt:variant>
      <vt:variant>
        <vt:lpwstr/>
      </vt:variant>
      <vt:variant>
        <vt:lpwstr>_Toc333507766</vt:lpwstr>
      </vt:variant>
      <vt:variant>
        <vt:i4>1048631</vt:i4>
      </vt:variant>
      <vt:variant>
        <vt:i4>206</vt:i4>
      </vt:variant>
      <vt:variant>
        <vt:i4>0</vt:i4>
      </vt:variant>
      <vt:variant>
        <vt:i4>5</vt:i4>
      </vt:variant>
      <vt:variant>
        <vt:lpwstr/>
      </vt:variant>
      <vt:variant>
        <vt:lpwstr>_Toc333507765</vt:lpwstr>
      </vt:variant>
      <vt:variant>
        <vt:i4>1048631</vt:i4>
      </vt:variant>
      <vt:variant>
        <vt:i4>200</vt:i4>
      </vt:variant>
      <vt:variant>
        <vt:i4>0</vt:i4>
      </vt:variant>
      <vt:variant>
        <vt:i4>5</vt:i4>
      </vt:variant>
      <vt:variant>
        <vt:lpwstr/>
      </vt:variant>
      <vt:variant>
        <vt:lpwstr>_Toc333507764</vt:lpwstr>
      </vt:variant>
      <vt:variant>
        <vt:i4>1048631</vt:i4>
      </vt:variant>
      <vt:variant>
        <vt:i4>194</vt:i4>
      </vt:variant>
      <vt:variant>
        <vt:i4>0</vt:i4>
      </vt:variant>
      <vt:variant>
        <vt:i4>5</vt:i4>
      </vt:variant>
      <vt:variant>
        <vt:lpwstr/>
      </vt:variant>
      <vt:variant>
        <vt:lpwstr>_Toc333507763</vt:lpwstr>
      </vt:variant>
      <vt:variant>
        <vt:i4>1048631</vt:i4>
      </vt:variant>
      <vt:variant>
        <vt:i4>188</vt:i4>
      </vt:variant>
      <vt:variant>
        <vt:i4>0</vt:i4>
      </vt:variant>
      <vt:variant>
        <vt:i4>5</vt:i4>
      </vt:variant>
      <vt:variant>
        <vt:lpwstr/>
      </vt:variant>
      <vt:variant>
        <vt:lpwstr>_Toc333507762</vt:lpwstr>
      </vt:variant>
      <vt:variant>
        <vt:i4>1048631</vt:i4>
      </vt:variant>
      <vt:variant>
        <vt:i4>182</vt:i4>
      </vt:variant>
      <vt:variant>
        <vt:i4>0</vt:i4>
      </vt:variant>
      <vt:variant>
        <vt:i4>5</vt:i4>
      </vt:variant>
      <vt:variant>
        <vt:lpwstr/>
      </vt:variant>
      <vt:variant>
        <vt:lpwstr>_Toc333507761</vt:lpwstr>
      </vt:variant>
      <vt:variant>
        <vt:i4>1048631</vt:i4>
      </vt:variant>
      <vt:variant>
        <vt:i4>176</vt:i4>
      </vt:variant>
      <vt:variant>
        <vt:i4>0</vt:i4>
      </vt:variant>
      <vt:variant>
        <vt:i4>5</vt:i4>
      </vt:variant>
      <vt:variant>
        <vt:lpwstr/>
      </vt:variant>
      <vt:variant>
        <vt:lpwstr>_Toc333507760</vt:lpwstr>
      </vt:variant>
      <vt:variant>
        <vt:i4>1245239</vt:i4>
      </vt:variant>
      <vt:variant>
        <vt:i4>170</vt:i4>
      </vt:variant>
      <vt:variant>
        <vt:i4>0</vt:i4>
      </vt:variant>
      <vt:variant>
        <vt:i4>5</vt:i4>
      </vt:variant>
      <vt:variant>
        <vt:lpwstr/>
      </vt:variant>
      <vt:variant>
        <vt:lpwstr>_Toc333507759</vt:lpwstr>
      </vt:variant>
      <vt:variant>
        <vt:i4>1245239</vt:i4>
      </vt:variant>
      <vt:variant>
        <vt:i4>164</vt:i4>
      </vt:variant>
      <vt:variant>
        <vt:i4>0</vt:i4>
      </vt:variant>
      <vt:variant>
        <vt:i4>5</vt:i4>
      </vt:variant>
      <vt:variant>
        <vt:lpwstr/>
      </vt:variant>
      <vt:variant>
        <vt:lpwstr>_Toc333507758</vt:lpwstr>
      </vt:variant>
      <vt:variant>
        <vt:i4>1245239</vt:i4>
      </vt:variant>
      <vt:variant>
        <vt:i4>158</vt:i4>
      </vt:variant>
      <vt:variant>
        <vt:i4>0</vt:i4>
      </vt:variant>
      <vt:variant>
        <vt:i4>5</vt:i4>
      </vt:variant>
      <vt:variant>
        <vt:lpwstr/>
      </vt:variant>
      <vt:variant>
        <vt:lpwstr>_Toc333507757</vt:lpwstr>
      </vt:variant>
      <vt:variant>
        <vt:i4>1245239</vt:i4>
      </vt:variant>
      <vt:variant>
        <vt:i4>152</vt:i4>
      </vt:variant>
      <vt:variant>
        <vt:i4>0</vt:i4>
      </vt:variant>
      <vt:variant>
        <vt:i4>5</vt:i4>
      </vt:variant>
      <vt:variant>
        <vt:lpwstr/>
      </vt:variant>
      <vt:variant>
        <vt:lpwstr>_Toc333507756</vt:lpwstr>
      </vt:variant>
      <vt:variant>
        <vt:i4>1245239</vt:i4>
      </vt:variant>
      <vt:variant>
        <vt:i4>146</vt:i4>
      </vt:variant>
      <vt:variant>
        <vt:i4>0</vt:i4>
      </vt:variant>
      <vt:variant>
        <vt:i4>5</vt:i4>
      </vt:variant>
      <vt:variant>
        <vt:lpwstr/>
      </vt:variant>
      <vt:variant>
        <vt:lpwstr>_Toc333507755</vt:lpwstr>
      </vt:variant>
      <vt:variant>
        <vt:i4>1245239</vt:i4>
      </vt:variant>
      <vt:variant>
        <vt:i4>140</vt:i4>
      </vt:variant>
      <vt:variant>
        <vt:i4>0</vt:i4>
      </vt:variant>
      <vt:variant>
        <vt:i4>5</vt:i4>
      </vt:variant>
      <vt:variant>
        <vt:lpwstr/>
      </vt:variant>
      <vt:variant>
        <vt:lpwstr>_Toc333507754</vt:lpwstr>
      </vt:variant>
      <vt:variant>
        <vt:i4>1245239</vt:i4>
      </vt:variant>
      <vt:variant>
        <vt:i4>134</vt:i4>
      </vt:variant>
      <vt:variant>
        <vt:i4>0</vt:i4>
      </vt:variant>
      <vt:variant>
        <vt:i4>5</vt:i4>
      </vt:variant>
      <vt:variant>
        <vt:lpwstr/>
      </vt:variant>
      <vt:variant>
        <vt:lpwstr>_Toc333507753</vt:lpwstr>
      </vt:variant>
      <vt:variant>
        <vt:i4>1245239</vt:i4>
      </vt:variant>
      <vt:variant>
        <vt:i4>128</vt:i4>
      </vt:variant>
      <vt:variant>
        <vt:i4>0</vt:i4>
      </vt:variant>
      <vt:variant>
        <vt:i4>5</vt:i4>
      </vt:variant>
      <vt:variant>
        <vt:lpwstr/>
      </vt:variant>
      <vt:variant>
        <vt:lpwstr>_Toc333507752</vt:lpwstr>
      </vt:variant>
      <vt:variant>
        <vt:i4>1245239</vt:i4>
      </vt:variant>
      <vt:variant>
        <vt:i4>122</vt:i4>
      </vt:variant>
      <vt:variant>
        <vt:i4>0</vt:i4>
      </vt:variant>
      <vt:variant>
        <vt:i4>5</vt:i4>
      </vt:variant>
      <vt:variant>
        <vt:lpwstr/>
      </vt:variant>
      <vt:variant>
        <vt:lpwstr>_Toc333507751</vt:lpwstr>
      </vt:variant>
      <vt:variant>
        <vt:i4>1245239</vt:i4>
      </vt:variant>
      <vt:variant>
        <vt:i4>116</vt:i4>
      </vt:variant>
      <vt:variant>
        <vt:i4>0</vt:i4>
      </vt:variant>
      <vt:variant>
        <vt:i4>5</vt:i4>
      </vt:variant>
      <vt:variant>
        <vt:lpwstr/>
      </vt:variant>
      <vt:variant>
        <vt:lpwstr>_Toc333507750</vt:lpwstr>
      </vt:variant>
      <vt:variant>
        <vt:i4>1179703</vt:i4>
      </vt:variant>
      <vt:variant>
        <vt:i4>110</vt:i4>
      </vt:variant>
      <vt:variant>
        <vt:i4>0</vt:i4>
      </vt:variant>
      <vt:variant>
        <vt:i4>5</vt:i4>
      </vt:variant>
      <vt:variant>
        <vt:lpwstr/>
      </vt:variant>
      <vt:variant>
        <vt:lpwstr>_Toc333507749</vt:lpwstr>
      </vt:variant>
      <vt:variant>
        <vt:i4>1179703</vt:i4>
      </vt:variant>
      <vt:variant>
        <vt:i4>104</vt:i4>
      </vt:variant>
      <vt:variant>
        <vt:i4>0</vt:i4>
      </vt:variant>
      <vt:variant>
        <vt:i4>5</vt:i4>
      </vt:variant>
      <vt:variant>
        <vt:lpwstr/>
      </vt:variant>
      <vt:variant>
        <vt:lpwstr>_Toc333507748</vt:lpwstr>
      </vt:variant>
      <vt:variant>
        <vt:i4>1179703</vt:i4>
      </vt:variant>
      <vt:variant>
        <vt:i4>98</vt:i4>
      </vt:variant>
      <vt:variant>
        <vt:i4>0</vt:i4>
      </vt:variant>
      <vt:variant>
        <vt:i4>5</vt:i4>
      </vt:variant>
      <vt:variant>
        <vt:lpwstr/>
      </vt:variant>
      <vt:variant>
        <vt:lpwstr>_Toc333507747</vt:lpwstr>
      </vt:variant>
      <vt:variant>
        <vt:i4>1179703</vt:i4>
      </vt:variant>
      <vt:variant>
        <vt:i4>92</vt:i4>
      </vt:variant>
      <vt:variant>
        <vt:i4>0</vt:i4>
      </vt:variant>
      <vt:variant>
        <vt:i4>5</vt:i4>
      </vt:variant>
      <vt:variant>
        <vt:lpwstr/>
      </vt:variant>
      <vt:variant>
        <vt:lpwstr>_Toc333507746</vt:lpwstr>
      </vt:variant>
      <vt:variant>
        <vt:i4>1179703</vt:i4>
      </vt:variant>
      <vt:variant>
        <vt:i4>86</vt:i4>
      </vt:variant>
      <vt:variant>
        <vt:i4>0</vt:i4>
      </vt:variant>
      <vt:variant>
        <vt:i4>5</vt:i4>
      </vt:variant>
      <vt:variant>
        <vt:lpwstr/>
      </vt:variant>
      <vt:variant>
        <vt:lpwstr>_Toc333507745</vt:lpwstr>
      </vt:variant>
      <vt:variant>
        <vt:i4>1179703</vt:i4>
      </vt:variant>
      <vt:variant>
        <vt:i4>80</vt:i4>
      </vt:variant>
      <vt:variant>
        <vt:i4>0</vt:i4>
      </vt:variant>
      <vt:variant>
        <vt:i4>5</vt:i4>
      </vt:variant>
      <vt:variant>
        <vt:lpwstr/>
      </vt:variant>
      <vt:variant>
        <vt:lpwstr>_Toc333507744</vt:lpwstr>
      </vt:variant>
      <vt:variant>
        <vt:i4>1179703</vt:i4>
      </vt:variant>
      <vt:variant>
        <vt:i4>74</vt:i4>
      </vt:variant>
      <vt:variant>
        <vt:i4>0</vt:i4>
      </vt:variant>
      <vt:variant>
        <vt:i4>5</vt:i4>
      </vt:variant>
      <vt:variant>
        <vt:lpwstr/>
      </vt:variant>
      <vt:variant>
        <vt:lpwstr>_Toc333507743</vt:lpwstr>
      </vt:variant>
      <vt:variant>
        <vt:i4>1179703</vt:i4>
      </vt:variant>
      <vt:variant>
        <vt:i4>68</vt:i4>
      </vt:variant>
      <vt:variant>
        <vt:i4>0</vt:i4>
      </vt:variant>
      <vt:variant>
        <vt:i4>5</vt:i4>
      </vt:variant>
      <vt:variant>
        <vt:lpwstr/>
      </vt:variant>
      <vt:variant>
        <vt:lpwstr>_Toc333507742</vt:lpwstr>
      </vt:variant>
      <vt:variant>
        <vt:i4>1179703</vt:i4>
      </vt:variant>
      <vt:variant>
        <vt:i4>62</vt:i4>
      </vt:variant>
      <vt:variant>
        <vt:i4>0</vt:i4>
      </vt:variant>
      <vt:variant>
        <vt:i4>5</vt:i4>
      </vt:variant>
      <vt:variant>
        <vt:lpwstr/>
      </vt:variant>
      <vt:variant>
        <vt:lpwstr>_Toc333507741</vt:lpwstr>
      </vt:variant>
      <vt:variant>
        <vt:i4>1179703</vt:i4>
      </vt:variant>
      <vt:variant>
        <vt:i4>56</vt:i4>
      </vt:variant>
      <vt:variant>
        <vt:i4>0</vt:i4>
      </vt:variant>
      <vt:variant>
        <vt:i4>5</vt:i4>
      </vt:variant>
      <vt:variant>
        <vt:lpwstr/>
      </vt:variant>
      <vt:variant>
        <vt:lpwstr>_Toc333507740</vt:lpwstr>
      </vt:variant>
      <vt:variant>
        <vt:i4>1376311</vt:i4>
      </vt:variant>
      <vt:variant>
        <vt:i4>50</vt:i4>
      </vt:variant>
      <vt:variant>
        <vt:i4>0</vt:i4>
      </vt:variant>
      <vt:variant>
        <vt:i4>5</vt:i4>
      </vt:variant>
      <vt:variant>
        <vt:lpwstr/>
      </vt:variant>
      <vt:variant>
        <vt:lpwstr>_Toc333507739</vt:lpwstr>
      </vt:variant>
      <vt:variant>
        <vt:i4>1376311</vt:i4>
      </vt:variant>
      <vt:variant>
        <vt:i4>44</vt:i4>
      </vt:variant>
      <vt:variant>
        <vt:i4>0</vt:i4>
      </vt:variant>
      <vt:variant>
        <vt:i4>5</vt:i4>
      </vt:variant>
      <vt:variant>
        <vt:lpwstr/>
      </vt:variant>
      <vt:variant>
        <vt:lpwstr>_Toc333507738</vt:lpwstr>
      </vt:variant>
      <vt:variant>
        <vt:i4>1376311</vt:i4>
      </vt:variant>
      <vt:variant>
        <vt:i4>38</vt:i4>
      </vt:variant>
      <vt:variant>
        <vt:i4>0</vt:i4>
      </vt:variant>
      <vt:variant>
        <vt:i4>5</vt:i4>
      </vt:variant>
      <vt:variant>
        <vt:lpwstr/>
      </vt:variant>
      <vt:variant>
        <vt:lpwstr>_Toc333507737</vt:lpwstr>
      </vt:variant>
      <vt:variant>
        <vt:i4>1376311</vt:i4>
      </vt:variant>
      <vt:variant>
        <vt:i4>32</vt:i4>
      </vt:variant>
      <vt:variant>
        <vt:i4>0</vt:i4>
      </vt:variant>
      <vt:variant>
        <vt:i4>5</vt:i4>
      </vt:variant>
      <vt:variant>
        <vt:lpwstr/>
      </vt:variant>
      <vt:variant>
        <vt:lpwstr>_Toc333507736</vt:lpwstr>
      </vt:variant>
      <vt:variant>
        <vt:i4>1376311</vt:i4>
      </vt:variant>
      <vt:variant>
        <vt:i4>26</vt:i4>
      </vt:variant>
      <vt:variant>
        <vt:i4>0</vt:i4>
      </vt:variant>
      <vt:variant>
        <vt:i4>5</vt:i4>
      </vt:variant>
      <vt:variant>
        <vt:lpwstr/>
      </vt:variant>
      <vt:variant>
        <vt:lpwstr>_Toc333507735</vt:lpwstr>
      </vt:variant>
      <vt:variant>
        <vt:i4>1376311</vt:i4>
      </vt:variant>
      <vt:variant>
        <vt:i4>20</vt:i4>
      </vt:variant>
      <vt:variant>
        <vt:i4>0</vt:i4>
      </vt:variant>
      <vt:variant>
        <vt:i4>5</vt:i4>
      </vt:variant>
      <vt:variant>
        <vt:lpwstr/>
      </vt:variant>
      <vt:variant>
        <vt:lpwstr>_Toc333507734</vt:lpwstr>
      </vt:variant>
      <vt:variant>
        <vt:i4>1376311</vt:i4>
      </vt:variant>
      <vt:variant>
        <vt:i4>14</vt:i4>
      </vt:variant>
      <vt:variant>
        <vt:i4>0</vt:i4>
      </vt:variant>
      <vt:variant>
        <vt:i4>5</vt:i4>
      </vt:variant>
      <vt:variant>
        <vt:lpwstr/>
      </vt:variant>
      <vt:variant>
        <vt:lpwstr>_Toc333507733</vt:lpwstr>
      </vt:variant>
      <vt:variant>
        <vt:i4>1376311</vt:i4>
      </vt:variant>
      <vt:variant>
        <vt:i4>8</vt:i4>
      </vt:variant>
      <vt:variant>
        <vt:i4>0</vt:i4>
      </vt:variant>
      <vt:variant>
        <vt:i4>5</vt:i4>
      </vt:variant>
      <vt:variant>
        <vt:lpwstr/>
      </vt:variant>
      <vt:variant>
        <vt:lpwstr>_Toc333507732</vt:lpwstr>
      </vt:variant>
      <vt:variant>
        <vt:i4>3276848</vt:i4>
      </vt:variant>
      <vt:variant>
        <vt:i4>3</vt:i4>
      </vt:variant>
      <vt:variant>
        <vt:i4>0</vt:i4>
      </vt:variant>
      <vt:variant>
        <vt:i4>5</vt:i4>
      </vt:variant>
      <vt:variant>
        <vt:lpwstr>http://www.arc4.co.uk/</vt:lpwstr>
      </vt:variant>
      <vt:variant>
        <vt:lpwstr/>
      </vt:variant>
      <vt:variant>
        <vt:i4>6094897</vt:i4>
      </vt:variant>
      <vt:variant>
        <vt:i4>0</vt:i4>
      </vt:variant>
      <vt:variant>
        <vt:i4>0</vt:i4>
      </vt:variant>
      <vt:variant>
        <vt:i4>5</vt:i4>
      </vt:variant>
      <vt:variant>
        <vt:lpwstr>mailto:michael.bullock@arc4.co.uk</vt:lpwstr>
      </vt:variant>
      <vt:variant>
        <vt:lpwstr/>
      </vt:variant>
      <vt:variant>
        <vt:i4>7274547</vt:i4>
      </vt:variant>
      <vt:variant>
        <vt:i4>6</vt:i4>
      </vt:variant>
      <vt:variant>
        <vt:i4>0</vt:i4>
      </vt:variant>
      <vt:variant>
        <vt:i4>5</vt:i4>
      </vt:variant>
      <vt:variant>
        <vt:lpwstr>http://www.communities.gov.uk/documents/housing/xls/141476.xls</vt:lpwstr>
      </vt:variant>
      <vt:variant>
        <vt:lpwstr/>
      </vt:variant>
      <vt:variant>
        <vt:i4>7274547</vt:i4>
      </vt:variant>
      <vt:variant>
        <vt:i4>3</vt:i4>
      </vt:variant>
      <vt:variant>
        <vt:i4>0</vt:i4>
      </vt:variant>
      <vt:variant>
        <vt:i4>5</vt:i4>
      </vt:variant>
      <vt:variant>
        <vt:lpwstr>http://www.communities.gov.uk/documents/housing/xls/141476.xls</vt:lpwstr>
      </vt:variant>
      <vt:variant>
        <vt:lpwstr/>
      </vt:variant>
      <vt:variant>
        <vt:i4>3145789</vt:i4>
      </vt:variant>
      <vt:variant>
        <vt:i4>0</vt:i4>
      </vt:variant>
      <vt:variant>
        <vt:i4>0</vt:i4>
      </vt:variant>
      <vt:variant>
        <vt:i4>5</vt:i4>
      </vt:variant>
      <vt:variant>
        <vt:lpwstr>http://www.homesandcommunities.co.uk/news/hca-announces-successful-bidders-affordable-homes-funding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2000 User</dc:creator>
  <cp:lastModifiedBy>tom hall</cp:lastModifiedBy>
  <cp:revision>3</cp:revision>
  <cp:lastPrinted>2010-11-18T12:19:00Z</cp:lastPrinted>
  <dcterms:created xsi:type="dcterms:W3CDTF">2014-11-22T12:30:00Z</dcterms:created>
  <dcterms:modified xsi:type="dcterms:W3CDTF">2014-11-22T12:30:00Z</dcterms:modified>
</cp:coreProperties>
</file>