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E21" w:rsidRDefault="00645D8D" w:rsidP="00875E21">
      <w:pPr>
        <w:rPr>
          <w:rFonts w:ascii="Calibri" w:hAnsi="Calibri"/>
          <w:b/>
          <w:sz w:val="28"/>
          <w:szCs w:val="28"/>
        </w:rPr>
      </w:pPr>
      <w:bookmarkStart w:id="0" w:name="_GoBack"/>
      <w:bookmarkEnd w:id="0"/>
      <w:r>
        <w:rPr>
          <w:rFonts w:ascii="Calibri" w:hAnsi="Calibri"/>
          <w:b/>
          <w:sz w:val="28"/>
          <w:szCs w:val="28"/>
        </w:rPr>
        <w:t>Background paper</w:t>
      </w:r>
      <w:r w:rsidR="007C2395">
        <w:rPr>
          <w:rFonts w:ascii="Calibri" w:hAnsi="Calibri"/>
          <w:b/>
          <w:sz w:val="28"/>
          <w:szCs w:val="28"/>
        </w:rPr>
        <w:t xml:space="preserve"> on </w:t>
      </w:r>
      <w:r w:rsidR="00875E21">
        <w:rPr>
          <w:rFonts w:ascii="Calibri" w:hAnsi="Calibri"/>
          <w:b/>
          <w:sz w:val="28"/>
          <w:szCs w:val="28"/>
        </w:rPr>
        <w:t xml:space="preserve">Heritage </w:t>
      </w:r>
    </w:p>
    <w:p w:rsidR="00875E21" w:rsidRDefault="00875E21" w:rsidP="00875E21">
      <w:pPr>
        <w:rPr>
          <w:rFonts w:ascii="Calibri" w:hAnsi="Calibri"/>
          <w:b/>
          <w:sz w:val="22"/>
          <w:szCs w:val="22"/>
        </w:rPr>
      </w:pPr>
    </w:p>
    <w:p w:rsidR="00875E21" w:rsidRDefault="00875E21" w:rsidP="00875E21">
      <w:pPr>
        <w:spacing w:line="360" w:lineRule="auto"/>
        <w:rPr>
          <w:rFonts w:ascii="Calibri" w:hAnsi="Calibri"/>
          <w:b/>
          <w:sz w:val="22"/>
          <w:szCs w:val="22"/>
        </w:rPr>
      </w:pPr>
      <w:r>
        <w:rPr>
          <w:rFonts w:ascii="Calibri" w:hAnsi="Calibri"/>
          <w:b/>
          <w:sz w:val="22"/>
          <w:szCs w:val="22"/>
        </w:rPr>
        <w:t>Vision</w:t>
      </w:r>
    </w:p>
    <w:p w:rsidR="00875E21" w:rsidRDefault="00875E21" w:rsidP="001D535F">
      <w:pPr>
        <w:rPr>
          <w:rFonts w:ascii="Calibri" w:hAnsi="Calibri"/>
          <w:sz w:val="22"/>
          <w:szCs w:val="22"/>
        </w:rPr>
      </w:pPr>
      <w:r>
        <w:rPr>
          <w:rFonts w:ascii="Calibri" w:hAnsi="Calibri"/>
          <w:sz w:val="22"/>
          <w:szCs w:val="22"/>
        </w:rPr>
        <w:t>Witton Gilbert</w:t>
      </w:r>
      <w:r w:rsidR="008D2054">
        <w:rPr>
          <w:rFonts w:ascii="Calibri" w:hAnsi="Calibri"/>
          <w:sz w:val="22"/>
          <w:szCs w:val="22"/>
        </w:rPr>
        <w:t xml:space="preserve"> </w:t>
      </w:r>
      <w:r w:rsidR="0089662F">
        <w:rPr>
          <w:rFonts w:ascii="Calibri" w:hAnsi="Calibri"/>
          <w:sz w:val="22"/>
          <w:szCs w:val="22"/>
        </w:rPr>
        <w:t>village</w:t>
      </w:r>
      <w:r w:rsidR="00645D8D">
        <w:rPr>
          <w:rFonts w:ascii="Calibri" w:hAnsi="Calibri"/>
          <w:sz w:val="22"/>
          <w:szCs w:val="22"/>
        </w:rPr>
        <w:t xml:space="preserve"> </w:t>
      </w:r>
      <w:r w:rsidR="008D2054">
        <w:rPr>
          <w:rFonts w:ascii="Calibri" w:hAnsi="Calibri"/>
          <w:sz w:val="22"/>
          <w:szCs w:val="22"/>
        </w:rPr>
        <w:t xml:space="preserve">is pleasantly situated on a south facing slope down to the river Browney. The parish </w:t>
      </w:r>
      <w:r>
        <w:rPr>
          <w:rFonts w:ascii="Calibri" w:hAnsi="Calibri"/>
          <w:sz w:val="22"/>
          <w:szCs w:val="22"/>
        </w:rPr>
        <w:t xml:space="preserve">is mainly rural in nature and </w:t>
      </w:r>
      <w:r w:rsidR="0089662F">
        <w:rPr>
          <w:rFonts w:ascii="Calibri" w:hAnsi="Calibri"/>
          <w:sz w:val="22"/>
          <w:szCs w:val="22"/>
        </w:rPr>
        <w:t xml:space="preserve">the extensive surrounding countryside with its many accessible footpaths and bridleways </w:t>
      </w:r>
      <w:r>
        <w:rPr>
          <w:rFonts w:ascii="Calibri" w:hAnsi="Calibri"/>
          <w:sz w:val="22"/>
          <w:szCs w:val="22"/>
        </w:rPr>
        <w:t xml:space="preserve">provides an attractive </w:t>
      </w:r>
      <w:r w:rsidR="0089662F">
        <w:rPr>
          <w:rFonts w:ascii="Calibri" w:hAnsi="Calibri"/>
          <w:sz w:val="22"/>
          <w:szCs w:val="22"/>
        </w:rPr>
        <w:t xml:space="preserve">and healthy </w:t>
      </w:r>
      <w:r>
        <w:rPr>
          <w:rFonts w:ascii="Calibri" w:hAnsi="Calibri"/>
          <w:sz w:val="22"/>
          <w:szCs w:val="22"/>
        </w:rPr>
        <w:t xml:space="preserve">residential and working environment.  </w:t>
      </w:r>
      <w:r w:rsidR="008D2054">
        <w:rPr>
          <w:rFonts w:ascii="Calibri" w:hAnsi="Calibri"/>
          <w:sz w:val="22"/>
          <w:szCs w:val="22"/>
        </w:rPr>
        <w:t>The Dene burn with Witton Dene nature res</w:t>
      </w:r>
      <w:r w:rsidR="007C3B9A">
        <w:rPr>
          <w:rFonts w:ascii="Calibri" w:hAnsi="Calibri"/>
          <w:sz w:val="22"/>
          <w:szCs w:val="22"/>
        </w:rPr>
        <w:t>erve enhance</w:t>
      </w:r>
      <w:r w:rsidR="00987ED3">
        <w:rPr>
          <w:rFonts w:ascii="Calibri" w:hAnsi="Calibri"/>
          <w:sz w:val="22"/>
          <w:szCs w:val="22"/>
        </w:rPr>
        <w:t>s</w:t>
      </w:r>
      <w:r w:rsidR="0089662F">
        <w:rPr>
          <w:rFonts w:ascii="Calibri" w:hAnsi="Calibri"/>
          <w:sz w:val="22"/>
          <w:szCs w:val="22"/>
        </w:rPr>
        <w:t xml:space="preserve"> this character.</w:t>
      </w:r>
      <w:r w:rsidR="008D2054">
        <w:rPr>
          <w:rFonts w:ascii="Calibri" w:hAnsi="Calibri"/>
          <w:sz w:val="22"/>
          <w:szCs w:val="22"/>
        </w:rPr>
        <w:t xml:space="preserve"> </w:t>
      </w:r>
      <w:r w:rsidR="001E5363">
        <w:rPr>
          <w:rFonts w:ascii="Calibri" w:hAnsi="Calibri"/>
          <w:sz w:val="22"/>
          <w:szCs w:val="22"/>
        </w:rPr>
        <w:t xml:space="preserve">The village has a long history </w:t>
      </w:r>
      <w:r w:rsidR="0089662F">
        <w:rPr>
          <w:rFonts w:ascii="Calibri" w:hAnsi="Calibri"/>
          <w:sz w:val="22"/>
          <w:szCs w:val="22"/>
        </w:rPr>
        <w:t>with much evidence of</w:t>
      </w:r>
      <w:r w:rsidR="001E5363">
        <w:rPr>
          <w:rFonts w:ascii="Calibri" w:hAnsi="Calibri"/>
          <w:sz w:val="22"/>
          <w:szCs w:val="22"/>
        </w:rPr>
        <w:t xml:space="preserve"> prehis</w:t>
      </w:r>
      <w:r w:rsidR="00323A7D">
        <w:rPr>
          <w:rFonts w:ascii="Calibri" w:hAnsi="Calibri"/>
          <w:sz w:val="22"/>
          <w:szCs w:val="22"/>
        </w:rPr>
        <w:t>toric and medi</w:t>
      </w:r>
      <w:r w:rsidR="002C125B">
        <w:rPr>
          <w:rFonts w:ascii="Calibri" w:hAnsi="Calibri"/>
          <w:sz w:val="22"/>
          <w:szCs w:val="22"/>
        </w:rPr>
        <w:t>eval settlements and, more recently</w:t>
      </w:r>
      <w:r w:rsidR="00323A7D">
        <w:rPr>
          <w:rFonts w:ascii="Calibri" w:hAnsi="Calibri"/>
          <w:sz w:val="22"/>
          <w:szCs w:val="22"/>
        </w:rPr>
        <w:t>,</w:t>
      </w:r>
      <w:r w:rsidR="002C125B">
        <w:rPr>
          <w:rFonts w:ascii="Calibri" w:hAnsi="Calibri"/>
          <w:sz w:val="22"/>
          <w:szCs w:val="22"/>
        </w:rPr>
        <w:t xml:space="preserve"> of agricultural and mining communities.</w:t>
      </w:r>
      <w:r w:rsidR="001E5363">
        <w:rPr>
          <w:rFonts w:ascii="Calibri" w:hAnsi="Calibri"/>
          <w:sz w:val="22"/>
          <w:szCs w:val="22"/>
        </w:rPr>
        <w:t xml:space="preserve">  </w:t>
      </w:r>
      <w:r w:rsidR="002C125B">
        <w:rPr>
          <w:rFonts w:ascii="Calibri" w:hAnsi="Calibri"/>
          <w:sz w:val="22"/>
          <w:szCs w:val="22"/>
        </w:rPr>
        <w:t xml:space="preserve">The newly completed village centre development has been designed to provide a symbolic representation of </w:t>
      </w:r>
      <w:r w:rsidR="00323A7D">
        <w:rPr>
          <w:rFonts w:ascii="Calibri" w:hAnsi="Calibri"/>
          <w:sz w:val="22"/>
          <w:szCs w:val="22"/>
        </w:rPr>
        <w:t>this</w:t>
      </w:r>
      <w:r w:rsidR="002C125B">
        <w:rPr>
          <w:rFonts w:ascii="Calibri" w:hAnsi="Calibri"/>
          <w:sz w:val="22"/>
          <w:szCs w:val="22"/>
        </w:rPr>
        <w:t xml:space="preserve"> past.  </w:t>
      </w:r>
      <w:r w:rsidR="001E5363">
        <w:rPr>
          <w:rFonts w:ascii="Calibri" w:hAnsi="Calibri"/>
          <w:sz w:val="22"/>
          <w:szCs w:val="22"/>
        </w:rPr>
        <w:t>The oldest part of the village lies along th</w:t>
      </w:r>
      <w:r w:rsidR="00323A7D">
        <w:rPr>
          <w:rFonts w:ascii="Calibri" w:hAnsi="Calibri"/>
          <w:sz w:val="22"/>
          <w:szCs w:val="22"/>
        </w:rPr>
        <w:t>e northern boundary of the medi</w:t>
      </w:r>
      <w:r w:rsidR="001E5363">
        <w:rPr>
          <w:rFonts w:ascii="Calibri" w:hAnsi="Calibri"/>
          <w:sz w:val="22"/>
          <w:szCs w:val="22"/>
        </w:rPr>
        <w:t>eval enclosed</w:t>
      </w:r>
      <w:r w:rsidR="002C125B">
        <w:rPr>
          <w:rFonts w:ascii="Calibri" w:hAnsi="Calibri"/>
          <w:sz w:val="22"/>
          <w:szCs w:val="22"/>
        </w:rPr>
        <w:t xml:space="preserve"> park of the Priors of Durham; </w:t>
      </w:r>
      <w:r w:rsidR="001E5363">
        <w:rPr>
          <w:rFonts w:ascii="Calibri" w:hAnsi="Calibri"/>
          <w:sz w:val="22"/>
          <w:szCs w:val="22"/>
        </w:rPr>
        <w:t xml:space="preserve">the western limit lies within the parish at Wall Nook.  </w:t>
      </w:r>
      <w:r>
        <w:rPr>
          <w:rFonts w:ascii="Calibri" w:hAnsi="Calibri"/>
          <w:sz w:val="22"/>
          <w:szCs w:val="22"/>
        </w:rPr>
        <w:t xml:space="preserve">Despite considerable growth during the last </w:t>
      </w:r>
      <w:r w:rsidR="003B5D55">
        <w:rPr>
          <w:rFonts w:ascii="Calibri" w:hAnsi="Calibri"/>
          <w:sz w:val="22"/>
          <w:szCs w:val="22"/>
        </w:rPr>
        <w:t xml:space="preserve">hundred years the </w:t>
      </w:r>
      <w:r w:rsidR="00323A7D">
        <w:rPr>
          <w:rFonts w:ascii="Calibri" w:hAnsi="Calibri"/>
          <w:sz w:val="22"/>
          <w:szCs w:val="22"/>
        </w:rPr>
        <w:t xml:space="preserve">remaining nucleus of the original </w:t>
      </w:r>
      <w:r w:rsidR="002C125B">
        <w:rPr>
          <w:rFonts w:ascii="Calibri" w:hAnsi="Calibri"/>
          <w:sz w:val="22"/>
          <w:szCs w:val="22"/>
        </w:rPr>
        <w:t>village</w:t>
      </w:r>
      <w:r>
        <w:rPr>
          <w:rFonts w:ascii="Calibri" w:hAnsi="Calibri"/>
          <w:sz w:val="22"/>
          <w:szCs w:val="22"/>
        </w:rPr>
        <w:t xml:space="preserve"> retains many </w:t>
      </w:r>
      <w:r w:rsidR="001E5363">
        <w:rPr>
          <w:rFonts w:ascii="Calibri" w:hAnsi="Calibri"/>
          <w:sz w:val="22"/>
          <w:szCs w:val="22"/>
        </w:rPr>
        <w:t xml:space="preserve">recognisable </w:t>
      </w:r>
      <w:r>
        <w:rPr>
          <w:rFonts w:ascii="Calibri" w:hAnsi="Calibri"/>
          <w:sz w:val="22"/>
          <w:szCs w:val="22"/>
        </w:rPr>
        <w:t>features of its earlier history.</w:t>
      </w:r>
      <w:r w:rsidRPr="000E2EB5">
        <w:rPr>
          <w:rFonts w:ascii="Calibri" w:hAnsi="Calibri"/>
          <w:sz w:val="22"/>
          <w:szCs w:val="22"/>
        </w:rPr>
        <w:t xml:space="preserve"> </w:t>
      </w:r>
      <w:r w:rsidR="00323A7D">
        <w:rPr>
          <w:rFonts w:ascii="Calibri" w:hAnsi="Calibri"/>
          <w:sz w:val="22"/>
          <w:szCs w:val="22"/>
        </w:rPr>
        <w:t>This</w:t>
      </w:r>
      <w:r w:rsidR="002C125B">
        <w:rPr>
          <w:rFonts w:ascii="Calibri" w:hAnsi="Calibri"/>
          <w:sz w:val="22"/>
          <w:szCs w:val="22"/>
        </w:rPr>
        <w:t xml:space="preserve"> designated “heritage zone” and, </w:t>
      </w:r>
      <w:r w:rsidR="0056106F">
        <w:rPr>
          <w:rFonts w:ascii="Calibri" w:hAnsi="Calibri"/>
          <w:sz w:val="22"/>
          <w:szCs w:val="22"/>
        </w:rPr>
        <w:t xml:space="preserve">within it, </w:t>
      </w:r>
      <w:r w:rsidR="001E5363">
        <w:rPr>
          <w:rFonts w:ascii="Calibri" w:hAnsi="Calibri"/>
          <w:sz w:val="22"/>
          <w:szCs w:val="22"/>
        </w:rPr>
        <w:t xml:space="preserve">the Front Street in particular, gives context to the </w:t>
      </w:r>
      <w:r w:rsidR="00323A7D">
        <w:rPr>
          <w:rFonts w:ascii="Calibri" w:hAnsi="Calibri"/>
          <w:sz w:val="22"/>
          <w:szCs w:val="22"/>
        </w:rPr>
        <w:t xml:space="preserve">present </w:t>
      </w:r>
      <w:r w:rsidR="001E5363">
        <w:rPr>
          <w:rFonts w:ascii="Calibri" w:hAnsi="Calibri"/>
          <w:sz w:val="22"/>
          <w:szCs w:val="22"/>
        </w:rPr>
        <w:t>village and we feel that any</w:t>
      </w:r>
      <w:r>
        <w:rPr>
          <w:rFonts w:ascii="Calibri" w:hAnsi="Calibri"/>
          <w:sz w:val="22"/>
          <w:szCs w:val="22"/>
        </w:rPr>
        <w:t xml:space="preserve"> future developments should ensure that this heritage is safeg</w:t>
      </w:r>
      <w:r w:rsidR="008D2054">
        <w:rPr>
          <w:rFonts w:ascii="Calibri" w:hAnsi="Calibri"/>
          <w:sz w:val="22"/>
          <w:szCs w:val="22"/>
        </w:rPr>
        <w:t>uarded and enhanced to preserve</w:t>
      </w:r>
      <w:r>
        <w:rPr>
          <w:rFonts w:ascii="Calibri" w:hAnsi="Calibri"/>
          <w:sz w:val="22"/>
          <w:szCs w:val="22"/>
        </w:rPr>
        <w:t xml:space="preserve"> the distinctive nature of the village and </w:t>
      </w:r>
      <w:r w:rsidR="001E5363">
        <w:rPr>
          <w:rFonts w:ascii="Calibri" w:hAnsi="Calibri"/>
          <w:sz w:val="22"/>
          <w:szCs w:val="22"/>
        </w:rPr>
        <w:t xml:space="preserve">the </w:t>
      </w:r>
      <w:r>
        <w:rPr>
          <w:rFonts w:ascii="Calibri" w:hAnsi="Calibri"/>
          <w:sz w:val="22"/>
          <w:szCs w:val="22"/>
        </w:rPr>
        <w:t>surrounding area</w:t>
      </w:r>
      <w:r w:rsidR="001E5363">
        <w:rPr>
          <w:rFonts w:ascii="Calibri" w:hAnsi="Calibri"/>
          <w:sz w:val="22"/>
          <w:szCs w:val="22"/>
        </w:rPr>
        <w:t xml:space="preserve">.  </w:t>
      </w:r>
      <w:r w:rsidR="0056106F">
        <w:rPr>
          <w:rFonts w:ascii="Calibri" w:hAnsi="Calibri"/>
          <w:sz w:val="22"/>
          <w:szCs w:val="22"/>
        </w:rPr>
        <w:t xml:space="preserve">More than 75% of respondents to the Parish Plan survey identified the protection of </w:t>
      </w:r>
      <w:r w:rsidR="001D535F">
        <w:rPr>
          <w:rFonts w:ascii="Calibri" w:hAnsi="Calibri"/>
          <w:sz w:val="22"/>
          <w:szCs w:val="22"/>
        </w:rPr>
        <w:t>the historic features of the village as important and that they should be made integral to any future planning strategy for the village.</w:t>
      </w:r>
    </w:p>
    <w:p w:rsidR="00875E21" w:rsidRDefault="00875E21" w:rsidP="00875E21">
      <w:pPr>
        <w:shd w:val="clear" w:color="auto" w:fill="FFFFFF"/>
        <w:spacing w:line="360" w:lineRule="auto"/>
        <w:rPr>
          <w:rFonts w:ascii="Calibri" w:hAnsi="Calibri"/>
          <w:b/>
          <w:sz w:val="22"/>
          <w:szCs w:val="22"/>
        </w:rPr>
      </w:pPr>
      <w:r>
        <w:rPr>
          <w:rFonts w:ascii="Calibri" w:hAnsi="Calibri"/>
          <w:b/>
          <w:sz w:val="22"/>
          <w:szCs w:val="22"/>
        </w:rPr>
        <w:t>Issues</w:t>
      </w:r>
    </w:p>
    <w:p w:rsidR="003B5D55" w:rsidRDefault="003B5D55" w:rsidP="00875E21">
      <w:pPr>
        <w:shd w:val="clear" w:color="auto" w:fill="FFFFFF"/>
        <w:rPr>
          <w:rFonts w:ascii="Calibri" w:hAnsi="Calibri"/>
          <w:sz w:val="22"/>
          <w:szCs w:val="22"/>
        </w:rPr>
      </w:pPr>
      <w:r>
        <w:rPr>
          <w:rFonts w:ascii="Calibri" w:hAnsi="Calibri"/>
          <w:sz w:val="22"/>
          <w:szCs w:val="22"/>
        </w:rPr>
        <w:t xml:space="preserve">Outside the main residential area which is the </w:t>
      </w:r>
      <w:smartTag w:uri="urn:schemas-microsoft-com:office:smarttags" w:element="place">
        <w:smartTag w:uri="urn:schemas-microsoft-com:office:smarttags" w:element="PlaceType">
          <w:r>
            <w:rPr>
              <w:rFonts w:ascii="Calibri" w:hAnsi="Calibri"/>
              <w:sz w:val="22"/>
              <w:szCs w:val="22"/>
            </w:rPr>
            <w:t>village</w:t>
          </w:r>
        </w:smartTag>
        <w:r>
          <w:rPr>
            <w:rFonts w:ascii="Calibri" w:hAnsi="Calibri"/>
            <w:sz w:val="22"/>
            <w:szCs w:val="22"/>
          </w:rPr>
          <w:t xml:space="preserve"> of </w:t>
        </w:r>
        <w:smartTag w:uri="urn:schemas-microsoft-com:office:smarttags" w:element="PlaceName">
          <w:r>
            <w:rPr>
              <w:rFonts w:ascii="Calibri" w:hAnsi="Calibri"/>
              <w:sz w:val="22"/>
              <w:szCs w:val="22"/>
            </w:rPr>
            <w:t>Witton Gilbert</w:t>
          </w:r>
        </w:smartTag>
      </w:smartTag>
      <w:r>
        <w:rPr>
          <w:rFonts w:ascii="Calibri" w:hAnsi="Calibri"/>
          <w:sz w:val="22"/>
          <w:szCs w:val="22"/>
        </w:rPr>
        <w:t>, t</w:t>
      </w:r>
      <w:r w:rsidR="00875E21">
        <w:rPr>
          <w:rFonts w:ascii="Calibri" w:hAnsi="Calibri"/>
          <w:sz w:val="22"/>
          <w:szCs w:val="22"/>
        </w:rPr>
        <w:t xml:space="preserve">he parish consists of small hamlets at </w:t>
      </w:r>
      <w:proofErr w:type="spellStart"/>
      <w:r w:rsidR="00875E21">
        <w:rPr>
          <w:rFonts w:ascii="Calibri" w:hAnsi="Calibri"/>
          <w:sz w:val="22"/>
          <w:szCs w:val="22"/>
        </w:rPr>
        <w:t>Kimblesworth</w:t>
      </w:r>
      <w:proofErr w:type="spellEnd"/>
      <w:r w:rsidR="00875E21">
        <w:rPr>
          <w:rFonts w:ascii="Calibri" w:hAnsi="Calibri"/>
          <w:sz w:val="22"/>
          <w:szCs w:val="22"/>
        </w:rPr>
        <w:t xml:space="preserve"> Grange,</w:t>
      </w:r>
      <w:r w:rsidR="007C3B9A">
        <w:rPr>
          <w:rFonts w:ascii="Calibri" w:hAnsi="Calibri"/>
          <w:sz w:val="22"/>
          <w:szCs w:val="22"/>
        </w:rPr>
        <w:t xml:space="preserve"> and </w:t>
      </w:r>
      <w:proofErr w:type="spellStart"/>
      <w:r w:rsidR="007C3B9A">
        <w:rPr>
          <w:rFonts w:ascii="Calibri" w:hAnsi="Calibri"/>
          <w:sz w:val="22"/>
          <w:szCs w:val="22"/>
        </w:rPr>
        <w:t>Wallnook</w:t>
      </w:r>
      <w:proofErr w:type="spellEnd"/>
      <w:r w:rsidR="007C3B9A">
        <w:rPr>
          <w:rFonts w:ascii="Calibri" w:hAnsi="Calibri"/>
          <w:sz w:val="22"/>
          <w:szCs w:val="22"/>
        </w:rPr>
        <w:t>,</w:t>
      </w:r>
      <w:r w:rsidR="00875E21">
        <w:rPr>
          <w:rFonts w:ascii="Calibri" w:hAnsi="Calibri"/>
          <w:sz w:val="22"/>
          <w:szCs w:val="22"/>
        </w:rPr>
        <w:t xml:space="preserve"> some isolated farms and residential properties such as </w:t>
      </w:r>
      <w:proofErr w:type="spellStart"/>
      <w:r w:rsidR="00875E21">
        <w:rPr>
          <w:rFonts w:ascii="Calibri" w:hAnsi="Calibri"/>
          <w:sz w:val="22"/>
          <w:szCs w:val="22"/>
        </w:rPr>
        <w:t>Sniperly</w:t>
      </w:r>
      <w:proofErr w:type="spellEnd"/>
      <w:r w:rsidR="00875E21">
        <w:rPr>
          <w:rFonts w:ascii="Calibri" w:hAnsi="Calibri"/>
          <w:sz w:val="22"/>
          <w:szCs w:val="22"/>
        </w:rPr>
        <w:t xml:space="preserve"> Hall and Findon Mews</w:t>
      </w:r>
      <w:r>
        <w:rPr>
          <w:rFonts w:ascii="Calibri" w:hAnsi="Calibri"/>
          <w:sz w:val="22"/>
          <w:szCs w:val="22"/>
        </w:rPr>
        <w:t xml:space="preserve">. </w:t>
      </w:r>
      <w:r w:rsidR="00875E21">
        <w:rPr>
          <w:rFonts w:ascii="Calibri" w:hAnsi="Calibri"/>
          <w:sz w:val="22"/>
          <w:szCs w:val="22"/>
        </w:rPr>
        <w:t xml:space="preserve">Many of the farms and dispersed properties are </w:t>
      </w:r>
      <w:r w:rsidR="00BC7A6E">
        <w:rPr>
          <w:rFonts w:ascii="Calibri" w:hAnsi="Calibri"/>
          <w:sz w:val="22"/>
          <w:szCs w:val="22"/>
        </w:rPr>
        <w:t xml:space="preserve">built of local stone and </w:t>
      </w:r>
      <w:r w:rsidR="007C3B9A">
        <w:rPr>
          <w:rFonts w:ascii="Calibri" w:hAnsi="Calibri"/>
          <w:sz w:val="22"/>
          <w:szCs w:val="22"/>
        </w:rPr>
        <w:t xml:space="preserve">are </w:t>
      </w:r>
      <w:r w:rsidR="00875E21">
        <w:rPr>
          <w:rFonts w:ascii="Calibri" w:hAnsi="Calibri"/>
          <w:sz w:val="22"/>
          <w:szCs w:val="22"/>
        </w:rPr>
        <w:t xml:space="preserve">of </w:t>
      </w:r>
      <w:r w:rsidR="001E5363">
        <w:rPr>
          <w:rFonts w:ascii="Calibri" w:hAnsi="Calibri"/>
          <w:sz w:val="22"/>
          <w:szCs w:val="22"/>
        </w:rPr>
        <w:t>historic</w:t>
      </w:r>
      <w:r w:rsidR="00875E21">
        <w:rPr>
          <w:rFonts w:ascii="Calibri" w:hAnsi="Calibri"/>
          <w:sz w:val="22"/>
          <w:szCs w:val="22"/>
        </w:rPr>
        <w:t xml:space="preserve"> interest</w:t>
      </w:r>
      <w:r w:rsidR="00BC7A6E">
        <w:rPr>
          <w:rFonts w:ascii="Calibri" w:hAnsi="Calibri"/>
          <w:sz w:val="22"/>
          <w:szCs w:val="22"/>
        </w:rPr>
        <w:t>,</w:t>
      </w:r>
      <w:r w:rsidR="00875E21">
        <w:rPr>
          <w:rFonts w:ascii="Calibri" w:hAnsi="Calibri"/>
          <w:sz w:val="22"/>
          <w:szCs w:val="22"/>
        </w:rPr>
        <w:t xml:space="preserve"> </w:t>
      </w:r>
      <w:r w:rsidR="00323A7D">
        <w:rPr>
          <w:rFonts w:ascii="Calibri" w:hAnsi="Calibri"/>
          <w:sz w:val="22"/>
          <w:szCs w:val="22"/>
        </w:rPr>
        <w:t>retaining buildings</w:t>
      </w:r>
      <w:r w:rsidR="00875E21">
        <w:rPr>
          <w:rFonts w:ascii="Calibri" w:hAnsi="Calibri"/>
          <w:sz w:val="22"/>
          <w:szCs w:val="22"/>
        </w:rPr>
        <w:t xml:space="preserve"> or features that date from the seventeenth century or earlier. </w:t>
      </w:r>
      <w:r>
        <w:rPr>
          <w:rFonts w:ascii="Calibri" w:hAnsi="Calibri"/>
          <w:sz w:val="22"/>
          <w:szCs w:val="22"/>
        </w:rPr>
        <w:t xml:space="preserve">Despite later developments, the earliest part of the village on </w:t>
      </w:r>
      <w:smartTag w:uri="urn:schemas-microsoft-com:office:smarttags" w:element="Street">
        <w:smartTag w:uri="urn:schemas-microsoft-com:office:smarttags" w:element="address">
          <w:r>
            <w:rPr>
              <w:rFonts w:ascii="Calibri" w:hAnsi="Calibri"/>
              <w:sz w:val="22"/>
              <w:szCs w:val="22"/>
            </w:rPr>
            <w:t>Coach Lane</w:t>
          </w:r>
        </w:smartTag>
      </w:smartTag>
      <w:r>
        <w:rPr>
          <w:rFonts w:ascii="Calibri" w:hAnsi="Calibri"/>
          <w:sz w:val="22"/>
          <w:szCs w:val="22"/>
        </w:rPr>
        <w:t xml:space="preserve"> preserves its character with the parish church built around 1170, and Witton Hall farm retaining masonry and buildings from a hospital of the same period.  Coach Lane is bounded to the East by Witton Dene which is a managed nature reserve serving as a considerable local recreational and educational asset, and a much used farm track and footpath leading down to the river.  </w:t>
      </w:r>
    </w:p>
    <w:p w:rsidR="00987ED3" w:rsidRDefault="00987ED3" w:rsidP="00875E21">
      <w:pPr>
        <w:shd w:val="clear" w:color="auto" w:fill="FFFFFF"/>
        <w:rPr>
          <w:rFonts w:ascii="Calibri" w:hAnsi="Calibri"/>
          <w:sz w:val="22"/>
          <w:szCs w:val="22"/>
        </w:rPr>
      </w:pPr>
    </w:p>
    <w:p w:rsidR="00987ED3" w:rsidRDefault="00987ED3" w:rsidP="00987ED3">
      <w:pPr>
        <w:shd w:val="clear" w:color="auto" w:fill="FFFFFF"/>
        <w:jc w:val="center"/>
        <w:rPr>
          <w:rFonts w:ascii="Calibri" w:hAnsi="Calibri"/>
          <w:sz w:val="22"/>
          <w:szCs w:val="22"/>
        </w:rPr>
      </w:pPr>
      <w:r>
        <w:rPr>
          <w:rFonts w:ascii="Calibri" w:hAnsi="Calibri"/>
          <w:noProof/>
          <w:sz w:val="22"/>
          <w:szCs w:val="22"/>
        </w:rPr>
        <w:drawing>
          <wp:inline distT="0" distB="0" distL="0" distR="0">
            <wp:extent cx="3105150" cy="2724150"/>
            <wp:effectExtent l="19050" t="0" r="0" b="0"/>
            <wp:docPr id="1" name="Picture 1" descr="F:\Maps\2017-06-10\Map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aps\2017-06-10\Map1a.jpg"/>
                    <pic:cNvPicPr>
                      <a:picLocks noChangeAspect="1" noChangeArrowheads="1"/>
                    </pic:cNvPicPr>
                  </pic:nvPicPr>
                  <pic:blipFill>
                    <a:blip r:embed="rId5" cstate="print"/>
                    <a:srcRect/>
                    <a:stretch>
                      <a:fillRect/>
                    </a:stretch>
                  </pic:blipFill>
                  <pic:spPr bwMode="auto">
                    <a:xfrm>
                      <a:off x="0" y="0"/>
                      <a:ext cx="3105150" cy="2724150"/>
                    </a:xfrm>
                    <a:prstGeom prst="rect">
                      <a:avLst/>
                    </a:prstGeom>
                    <a:noFill/>
                    <a:ln w="9525">
                      <a:noFill/>
                      <a:miter lim="800000"/>
                      <a:headEnd/>
                      <a:tailEnd/>
                    </a:ln>
                  </pic:spPr>
                </pic:pic>
              </a:graphicData>
            </a:graphic>
          </wp:inline>
        </w:drawing>
      </w:r>
    </w:p>
    <w:p w:rsidR="00DF5FB4" w:rsidRPr="00DF5FB4" w:rsidRDefault="00DF5FB4" w:rsidP="00987ED3">
      <w:pPr>
        <w:shd w:val="clear" w:color="auto" w:fill="FFFFFF"/>
        <w:jc w:val="center"/>
        <w:rPr>
          <w:rFonts w:ascii="Calibri" w:hAnsi="Calibri"/>
          <w:sz w:val="20"/>
          <w:szCs w:val="20"/>
        </w:rPr>
      </w:pPr>
      <w:proofErr w:type="gramStart"/>
      <w:r w:rsidRPr="00DF5FB4">
        <w:rPr>
          <w:rFonts w:ascii="Calibri" w:hAnsi="Calibri"/>
          <w:sz w:val="20"/>
          <w:szCs w:val="20"/>
        </w:rPr>
        <w:t>Witton  Gilbert</w:t>
      </w:r>
      <w:proofErr w:type="gramEnd"/>
      <w:r w:rsidRPr="00DF5FB4">
        <w:rPr>
          <w:rFonts w:ascii="Calibri" w:hAnsi="Calibri"/>
          <w:sz w:val="20"/>
          <w:szCs w:val="20"/>
        </w:rPr>
        <w:t xml:space="preserve"> 1857</w:t>
      </w:r>
    </w:p>
    <w:p w:rsidR="003B5D55" w:rsidRDefault="003B5D55" w:rsidP="003B5D55">
      <w:pPr>
        <w:shd w:val="clear" w:color="auto" w:fill="FFFFFF"/>
        <w:rPr>
          <w:rFonts w:ascii="Calibri" w:hAnsi="Calibri"/>
          <w:sz w:val="22"/>
          <w:szCs w:val="22"/>
        </w:rPr>
      </w:pPr>
      <w:r>
        <w:rPr>
          <w:rFonts w:ascii="Calibri" w:hAnsi="Calibri"/>
          <w:sz w:val="22"/>
          <w:szCs w:val="22"/>
        </w:rPr>
        <w:lastRenderedPageBreak/>
        <w:t xml:space="preserve">Brick terrace homes adjacent to the </w:t>
      </w:r>
      <w:smartTag w:uri="urn:schemas-microsoft-com:office:smarttags" w:element="Street">
        <w:smartTag w:uri="urn:schemas-microsoft-com:office:smarttags" w:element="address">
          <w:r>
            <w:rPr>
              <w:rFonts w:ascii="Calibri" w:hAnsi="Calibri"/>
              <w:sz w:val="22"/>
              <w:szCs w:val="22"/>
            </w:rPr>
            <w:t>Front Street</w:t>
          </w:r>
        </w:smartTag>
      </w:smartTag>
      <w:r>
        <w:rPr>
          <w:rFonts w:ascii="Calibri" w:hAnsi="Calibri"/>
          <w:sz w:val="22"/>
          <w:szCs w:val="22"/>
        </w:rPr>
        <w:t xml:space="preserve"> were constructed in the nineteenth century to house working families who worked in nearby village collieries and the </w:t>
      </w:r>
      <w:proofErr w:type="spellStart"/>
      <w:r>
        <w:rPr>
          <w:rFonts w:ascii="Calibri" w:hAnsi="Calibri"/>
          <w:sz w:val="22"/>
          <w:szCs w:val="22"/>
        </w:rPr>
        <w:t>Consett</w:t>
      </w:r>
      <w:proofErr w:type="spellEnd"/>
      <w:r>
        <w:rPr>
          <w:rFonts w:ascii="Calibri" w:hAnsi="Calibri"/>
          <w:sz w:val="22"/>
          <w:szCs w:val="22"/>
        </w:rPr>
        <w:t xml:space="preserve"> iron works, using the railway which is now a popular footpath and cycling track. Witton Gilbert has itself little mining heritage.  </w:t>
      </w:r>
      <w:r>
        <w:rPr>
          <w:rFonts w:ascii="Calibri" w:hAnsi="Calibri"/>
          <w:color w:val="000000"/>
          <w:sz w:val="22"/>
          <w:szCs w:val="22"/>
        </w:rPr>
        <w:t>Many of the houses built in 19</w:t>
      </w:r>
      <w:r>
        <w:rPr>
          <w:rFonts w:ascii="Calibri" w:hAnsi="Calibri"/>
          <w:color w:val="000000"/>
          <w:sz w:val="22"/>
          <w:szCs w:val="22"/>
          <w:vertAlign w:val="superscript"/>
        </w:rPr>
        <w:t>th</w:t>
      </w:r>
      <w:r>
        <w:rPr>
          <w:rFonts w:ascii="Calibri" w:hAnsi="Calibri"/>
          <w:color w:val="000000"/>
          <w:sz w:val="22"/>
          <w:szCs w:val="22"/>
        </w:rPr>
        <w:t> and 20</w:t>
      </w:r>
      <w:r>
        <w:rPr>
          <w:rFonts w:ascii="Calibri" w:hAnsi="Calibri"/>
          <w:color w:val="000000"/>
          <w:sz w:val="22"/>
          <w:szCs w:val="22"/>
          <w:vertAlign w:val="superscript"/>
        </w:rPr>
        <w:t>th</w:t>
      </w:r>
      <w:r>
        <w:rPr>
          <w:rFonts w:ascii="Calibri" w:hAnsi="Calibri"/>
          <w:color w:val="000000"/>
          <w:sz w:val="22"/>
          <w:szCs w:val="22"/>
        </w:rPr>
        <w:t xml:space="preserve"> centuries are in styles and materials found all over </w:t>
      </w:r>
      <w:smartTag w:uri="urn:schemas-microsoft-com:office:smarttags" w:element="place">
        <w:smartTag w:uri="urn:schemas-microsoft-com:office:smarttags" w:element="country-region">
          <w:r>
            <w:rPr>
              <w:rFonts w:ascii="Calibri" w:hAnsi="Calibri"/>
              <w:color w:val="000000"/>
              <w:sz w:val="22"/>
              <w:szCs w:val="22"/>
            </w:rPr>
            <w:t>England</w:t>
          </w:r>
        </w:smartTag>
      </w:smartTag>
      <w:r>
        <w:rPr>
          <w:rFonts w:ascii="Calibri" w:hAnsi="Calibri"/>
          <w:color w:val="000000"/>
          <w:sz w:val="22"/>
          <w:szCs w:val="22"/>
        </w:rPr>
        <w:t xml:space="preserve"> and tend to emphasise </w:t>
      </w:r>
      <w:smartTag w:uri="urn:schemas-microsoft-com:office:smarttags" w:element="Street">
        <w:smartTag w:uri="urn:schemas-microsoft-com:office:smarttags" w:element="address">
          <w:r>
            <w:rPr>
              <w:rFonts w:ascii="Calibri" w:hAnsi="Calibri"/>
              <w:color w:val="000000"/>
              <w:sz w:val="22"/>
              <w:szCs w:val="22"/>
            </w:rPr>
            <w:t>Front Street</w:t>
          </w:r>
        </w:smartTag>
      </w:smartTag>
      <w:r>
        <w:rPr>
          <w:rFonts w:ascii="Calibri" w:hAnsi="Calibri"/>
          <w:color w:val="000000"/>
          <w:sz w:val="22"/>
          <w:szCs w:val="22"/>
        </w:rPr>
        <w:t xml:space="preserve"> and surrounding farms as the local historic heritage.</w:t>
      </w:r>
      <w:r w:rsidRPr="006061B0">
        <w:rPr>
          <w:rFonts w:ascii="Calibri" w:hAnsi="Calibri"/>
          <w:sz w:val="22"/>
          <w:szCs w:val="22"/>
        </w:rPr>
        <w:t xml:space="preserve"> </w:t>
      </w:r>
      <w:r w:rsidRPr="000E2EB5">
        <w:rPr>
          <w:rFonts w:ascii="Calibri" w:hAnsi="Calibri"/>
          <w:sz w:val="22"/>
          <w:szCs w:val="22"/>
        </w:rPr>
        <w:t>Elsewhere, older buildings add to the diversity and appearance of the village.</w:t>
      </w:r>
      <w:r>
        <w:rPr>
          <w:rFonts w:ascii="Calibri" w:hAnsi="Calibri"/>
          <w:sz w:val="22"/>
          <w:szCs w:val="22"/>
        </w:rPr>
        <w:t xml:space="preserve">  </w:t>
      </w:r>
    </w:p>
    <w:p w:rsidR="001E5363" w:rsidRDefault="001E5363" w:rsidP="003B5D55">
      <w:pPr>
        <w:shd w:val="clear" w:color="auto" w:fill="FFFFFF"/>
        <w:rPr>
          <w:rFonts w:ascii="Calibri" w:hAnsi="Calibri"/>
          <w:color w:val="000000"/>
          <w:sz w:val="22"/>
          <w:szCs w:val="22"/>
        </w:rPr>
      </w:pPr>
    </w:p>
    <w:p w:rsidR="00875E21" w:rsidRDefault="00875E21" w:rsidP="00875E21">
      <w:pPr>
        <w:shd w:val="clear" w:color="auto" w:fill="FFFFFF"/>
        <w:rPr>
          <w:rFonts w:ascii="Calibri" w:hAnsi="Calibri"/>
          <w:color w:val="000000"/>
          <w:sz w:val="22"/>
          <w:szCs w:val="22"/>
        </w:rPr>
      </w:pPr>
      <w:r>
        <w:rPr>
          <w:rFonts w:ascii="Calibri" w:hAnsi="Calibri"/>
          <w:sz w:val="22"/>
          <w:szCs w:val="22"/>
        </w:rPr>
        <w:t xml:space="preserve">Although major </w:t>
      </w:r>
      <w:r w:rsidR="003B5D55">
        <w:rPr>
          <w:rFonts w:ascii="Calibri" w:hAnsi="Calibri"/>
          <w:sz w:val="22"/>
          <w:szCs w:val="22"/>
        </w:rPr>
        <w:t xml:space="preserve">housing </w:t>
      </w:r>
      <w:r>
        <w:rPr>
          <w:rFonts w:ascii="Calibri" w:hAnsi="Calibri"/>
          <w:sz w:val="22"/>
          <w:szCs w:val="22"/>
        </w:rPr>
        <w:t>developments have taken place to the north of the village, the construction of a bypass in 199</w:t>
      </w:r>
      <w:r w:rsidR="00BC7A6E">
        <w:rPr>
          <w:rFonts w:ascii="Calibri" w:hAnsi="Calibri"/>
          <w:sz w:val="22"/>
          <w:szCs w:val="22"/>
        </w:rPr>
        <w:t>7</w:t>
      </w:r>
      <w:r>
        <w:rPr>
          <w:rFonts w:ascii="Calibri" w:hAnsi="Calibri"/>
          <w:sz w:val="22"/>
          <w:szCs w:val="22"/>
        </w:rPr>
        <w:t xml:space="preserve"> has removed </w:t>
      </w:r>
      <w:r w:rsidR="003B5D55">
        <w:rPr>
          <w:rFonts w:ascii="Calibri" w:hAnsi="Calibri"/>
          <w:sz w:val="22"/>
          <w:szCs w:val="22"/>
        </w:rPr>
        <w:t xml:space="preserve">much of the </w:t>
      </w:r>
      <w:r>
        <w:rPr>
          <w:rFonts w:ascii="Calibri" w:hAnsi="Calibri"/>
          <w:sz w:val="22"/>
          <w:szCs w:val="22"/>
        </w:rPr>
        <w:t xml:space="preserve">traffic from </w:t>
      </w:r>
      <w:smartTag w:uri="urn:schemas-microsoft-com:office:smarttags" w:element="Street">
        <w:smartTag w:uri="urn:schemas-microsoft-com:office:smarttags" w:element="address">
          <w:r w:rsidR="00BC7A6E">
            <w:rPr>
              <w:rFonts w:ascii="Calibri" w:hAnsi="Calibri"/>
              <w:sz w:val="22"/>
              <w:szCs w:val="22"/>
            </w:rPr>
            <w:t>F</w:t>
          </w:r>
          <w:r>
            <w:rPr>
              <w:rFonts w:ascii="Calibri" w:hAnsi="Calibri"/>
              <w:sz w:val="22"/>
              <w:szCs w:val="22"/>
            </w:rPr>
            <w:t xml:space="preserve">ront </w:t>
          </w:r>
          <w:r w:rsidR="00BC7A6E">
            <w:rPr>
              <w:rFonts w:ascii="Calibri" w:hAnsi="Calibri"/>
              <w:sz w:val="22"/>
              <w:szCs w:val="22"/>
            </w:rPr>
            <w:t>S</w:t>
          </w:r>
          <w:r>
            <w:rPr>
              <w:rFonts w:ascii="Calibri" w:hAnsi="Calibri"/>
              <w:sz w:val="22"/>
              <w:szCs w:val="22"/>
            </w:rPr>
            <w:t>treet</w:t>
          </w:r>
        </w:smartTag>
      </w:smartTag>
      <w:r w:rsidR="00BC7A6E">
        <w:rPr>
          <w:rFonts w:ascii="Calibri" w:hAnsi="Calibri"/>
          <w:sz w:val="22"/>
          <w:szCs w:val="22"/>
        </w:rPr>
        <w:t>,</w:t>
      </w:r>
      <w:r>
        <w:rPr>
          <w:rFonts w:ascii="Calibri" w:hAnsi="Calibri"/>
          <w:sz w:val="22"/>
          <w:szCs w:val="22"/>
        </w:rPr>
        <w:t xml:space="preserve"> helping to restore the character of the old village where the housing scene has remained relatively unchanged.  </w:t>
      </w:r>
      <w:r w:rsidR="001E5363">
        <w:rPr>
          <w:rFonts w:ascii="Calibri" w:hAnsi="Calibri"/>
          <w:sz w:val="22"/>
          <w:szCs w:val="22"/>
        </w:rPr>
        <w:t xml:space="preserve">There is only one listed building on Front Street and, although the other buildings are individually of little architectural significance, they do offer a recognizable glimpse of the past and collectively provide an attractive streetscape.  Many owners have made sympathetic upgrading to their houses and we would like to ensure that any further infill or developments made a corresponding contribution to this area </w:t>
      </w:r>
      <w:r>
        <w:rPr>
          <w:rFonts w:ascii="Calibri" w:hAnsi="Calibri"/>
          <w:color w:val="000000"/>
          <w:sz w:val="22"/>
          <w:szCs w:val="22"/>
        </w:rPr>
        <w:t>to maintain the character of the area.</w:t>
      </w:r>
    </w:p>
    <w:p w:rsidR="001E5363" w:rsidRDefault="001E5363" w:rsidP="00875E21">
      <w:pPr>
        <w:shd w:val="clear" w:color="auto" w:fill="FFFFFF"/>
        <w:rPr>
          <w:rFonts w:ascii="Calibri" w:hAnsi="Calibri"/>
          <w:color w:val="000000"/>
          <w:sz w:val="22"/>
          <w:szCs w:val="22"/>
        </w:rPr>
      </w:pPr>
    </w:p>
    <w:p w:rsidR="001E5363" w:rsidRDefault="001E5363" w:rsidP="00875E21">
      <w:pPr>
        <w:shd w:val="clear" w:color="auto" w:fill="FFFFFF"/>
        <w:rPr>
          <w:rFonts w:ascii="Calibri" w:hAnsi="Calibri"/>
          <w:noProof/>
          <w:color w:val="000000"/>
          <w:sz w:val="22"/>
          <w:szCs w:val="22"/>
        </w:rPr>
      </w:pPr>
      <w:r>
        <w:rPr>
          <w:rFonts w:ascii="Calibri" w:hAnsi="Calibri"/>
          <w:noProof/>
          <w:color w:val="000000"/>
          <w:sz w:val="22"/>
          <w:szCs w:val="22"/>
        </w:rPr>
        <w:drawing>
          <wp:inline distT="0" distB="0" distL="0" distR="0">
            <wp:extent cx="2562225" cy="1546713"/>
            <wp:effectExtent l="19050" t="0" r="0" b="0"/>
            <wp:docPr id="2" name="Picture 1" descr="P1030149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30149a.jpg"/>
                    <pic:cNvPicPr/>
                  </pic:nvPicPr>
                  <pic:blipFill>
                    <a:blip r:embed="rId6" cstate="print"/>
                    <a:stretch>
                      <a:fillRect/>
                    </a:stretch>
                  </pic:blipFill>
                  <pic:spPr>
                    <a:xfrm>
                      <a:off x="0" y="0"/>
                      <a:ext cx="2575288" cy="1554599"/>
                    </a:xfrm>
                    <a:prstGeom prst="rect">
                      <a:avLst/>
                    </a:prstGeom>
                  </pic:spPr>
                </pic:pic>
              </a:graphicData>
            </a:graphic>
          </wp:inline>
        </w:drawing>
      </w:r>
      <w:r w:rsidR="00DF5FB4">
        <w:rPr>
          <w:rFonts w:ascii="Calibri" w:hAnsi="Calibri"/>
          <w:noProof/>
          <w:color w:val="000000"/>
          <w:sz w:val="22"/>
          <w:szCs w:val="22"/>
        </w:rPr>
        <w:t xml:space="preserve">  </w:t>
      </w:r>
      <w:r w:rsidR="006E6185">
        <w:rPr>
          <w:rFonts w:ascii="Calibri" w:hAnsi="Calibri"/>
          <w:noProof/>
          <w:color w:val="000000"/>
          <w:sz w:val="22"/>
          <w:szCs w:val="22"/>
        </w:rPr>
        <w:drawing>
          <wp:inline distT="0" distB="0" distL="0" distR="0">
            <wp:extent cx="2562225" cy="1542542"/>
            <wp:effectExtent l="19050" t="0" r="9525" b="0"/>
            <wp:docPr id="5" name="Picture 4" descr="Scan10006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10006a1.jpg"/>
                    <pic:cNvPicPr/>
                  </pic:nvPicPr>
                  <pic:blipFill>
                    <a:blip r:embed="rId7" cstate="print"/>
                    <a:stretch>
                      <a:fillRect/>
                    </a:stretch>
                  </pic:blipFill>
                  <pic:spPr>
                    <a:xfrm>
                      <a:off x="0" y="0"/>
                      <a:ext cx="2558350" cy="1540209"/>
                    </a:xfrm>
                    <a:prstGeom prst="rect">
                      <a:avLst/>
                    </a:prstGeom>
                  </pic:spPr>
                </pic:pic>
              </a:graphicData>
            </a:graphic>
          </wp:inline>
        </w:drawing>
      </w:r>
    </w:p>
    <w:p w:rsidR="00DF5FB4" w:rsidRDefault="0018367E" w:rsidP="0018367E">
      <w:pPr>
        <w:shd w:val="clear" w:color="auto" w:fill="FFFFFF"/>
        <w:jc w:val="center"/>
        <w:rPr>
          <w:rFonts w:ascii="Calibri" w:hAnsi="Calibri"/>
          <w:color w:val="000000"/>
          <w:sz w:val="20"/>
          <w:szCs w:val="20"/>
        </w:rPr>
      </w:pPr>
      <w:r w:rsidRPr="0018367E">
        <w:rPr>
          <w:rFonts w:ascii="Calibri" w:hAnsi="Calibri"/>
          <w:color w:val="000000"/>
          <w:sz w:val="20"/>
          <w:szCs w:val="20"/>
        </w:rPr>
        <w:t xml:space="preserve">Front </w:t>
      </w:r>
      <w:proofErr w:type="gramStart"/>
      <w:r w:rsidRPr="0018367E">
        <w:rPr>
          <w:rFonts w:ascii="Calibri" w:hAnsi="Calibri"/>
          <w:color w:val="000000"/>
          <w:sz w:val="20"/>
          <w:szCs w:val="20"/>
        </w:rPr>
        <w:t>Street :</w:t>
      </w:r>
      <w:proofErr w:type="gramEnd"/>
      <w:r w:rsidRPr="0018367E">
        <w:rPr>
          <w:rFonts w:ascii="Calibri" w:hAnsi="Calibri"/>
          <w:color w:val="000000"/>
          <w:sz w:val="20"/>
          <w:szCs w:val="20"/>
        </w:rPr>
        <w:t xml:space="preserve"> 2017 (left) circa 1900 (right)</w:t>
      </w:r>
    </w:p>
    <w:p w:rsidR="0018367E" w:rsidRPr="0018367E" w:rsidRDefault="0018367E" w:rsidP="0018367E">
      <w:pPr>
        <w:shd w:val="clear" w:color="auto" w:fill="FFFFFF"/>
        <w:jc w:val="center"/>
        <w:rPr>
          <w:rFonts w:ascii="Calibri" w:hAnsi="Calibri"/>
          <w:color w:val="000000"/>
          <w:sz w:val="20"/>
          <w:szCs w:val="20"/>
        </w:rPr>
      </w:pPr>
    </w:p>
    <w:p w:rsidR="001E5363" w:rsidRDefault="001E5363" w:rsidP="00875E21">
      <w:pPr>
        <w:shd w:val="clear" w:color="auto" w:fill="FFFFFF"/>
        <w:rPr>
          <w:rFonts w:ascii="Calibri" w:hAnsi="Calibri"/>
          <w:color w:val="000000"/>
          <w:sz w:val="22"/>
          <w:szCs w:val="22"/>
        </w:rPr>
      </w:pPr>
      <w:r>
        <w:rPr>
          <w:rFonts w:ascii="Calibri" w:hAnsi="Calibri"/>
          <w:color w:val="000000"/>
          <w:sz w:val="22"/>
          <w:szCs w:val="22"/>
        </w:rPr>
        <w:t>Coach Lane has been included within the historic core for the sake of completeness and because the majority of statutory listings lie in this area.</w:t>
      </w:r>
    </w:p>
    <w:p w:rsidR="00323A7D" w:rsidRDefault="00323A7D" w:rsidP="00875E21">
      <w:pPr>
        <w:shd w:val="clear" w:color="auto" w:fill="FFFFFF"/>
        <w:rPr>
          <w:rFonts w:ascii="Calibri" w:hAnsi="Calibri"/>
          <w:color w:val="000000"/>
          <w:sz w:val="22"/>
          <w:szCs w:val="22"/>
        </w:rPr>
      </w:pPr>
    </w:p>
    <w:p w:rsidR="00323A7D" w:rsidRDefault="00323A7D" w:rsidP="00323A7D">
      <w:pPr>
        <w:spacing w:line="360" w:lineRule="auto"/>
        <w:rPr>
          <w:rFonts w:ascii="Calibri" w:hAnsi="Calibri"/>
          <w:b/>
          <w:sz w:val="22"/>
          <w:szCs w:val="22"/>
        </w:rPr>
      </w:pPr>
      <w:r>
        <w:rPr>
          <w:rFonts w:ascii="Calibri" w:hAnsi="Calibri"/>
          <w:b/>
          <w:sz w:val="22"/>
          <w:szCs w:val="22"/>
        </w:rPr>
        <w:t>Legal Framework</w:t>
      </w:r>
    </w:p>
    <w:p w:rsidR="00323A7D" w:rsidRDefault="00323A7D" w:rsidP="00323A7D">
      <w:pPr>
        <w:rPr>
          <w:rFonts w:ascii="Calibri" w:hAnsi="Calibri"/>
          <w:sz w:val="22"/>
          <w:szCs w:val="22"/>
        </w:rPr>
      </w:pPr>
      <w:r>
        <w:rPr>
          <w:rFonts w:ascii="Calibri" w:hAnsi="Calibri"/>
          <w:sz w:val="22"/>
          <w:szCs w:val="22"/>
        </w:rPr>
        <w:t>Many buildings and several other features are listed and so legally protected.  All Future developments in the village and outlying area should comply with local and national heritage policies.</w:t>
      </w:r>
    </w:p>
    <w:p w:rsidR="001E5363" w:rsidRDefault="001E5363" w:rsidP="00875E21">
      <w:pPr>
        <w:shd w:val="clear" w:color="auto" w:fill="FFFFFF"/>
        <w:rPr>
          <w:rFonts w:ascii="Calibri" w:hAnsi="Calibri"/>
          <w:color w:val="000000"/>
          <w:sz w:val="22"/>
          <w:szCs w:val="22"/>
        </w:rPr>
      </w:pPr>
    </w:p>
    <w:p w:rsidR="00875E21" w:rsidRDefault="001E5363" w:rsidP="00DF5FB4">
      <w:pPr>
        <w:shd w:val="clear" w:color="auto" w:fill="FFFFFF"/>
        <w:spacing w:line="360" w:lineRule="auto"/>
        <w:rPr>
          <w:rFonts w:ascii="Calibri" w:hAnsi="Calibri"/>
          <w:color w:val="000000"/>
          <w:sz w:val="22"/>
          <w:szCs w:val="22"/>
        </w:rPr>
      </w:pPr>
      <w:r w:rsidRPr="001E5363">
        <w:rPr>
          <w:rFonts w:ascii="Calibri" w:hAnsi="Calibri"/>
          <w:b/>
          <w:color w:val="000000"/>
          <w:sz w:val="22"/>
          <w:szCs w:val="22"/>
        </w:rPr>
        <w:t>Scheduled Buildings and Monuments</w:t>
      </w:r>
    </w:p>
    <w:p w:rsidR="00875E21" w:rsidRDefault="00875E21" w:rsidP="00DF5FB4">
      <w:pPr>
        <w:shd w:val="clear" w:color="auto" w:fill="FFFFFF"/>
        <w:rPr>
          <w:rFonts w:ascii="Calibri" w:hAnsi="Calibri"/>
          <w:color w:val="000000"/>
          <w:sz w:val="22"/>
          <w:szCs w:val="22"/>
        </w:rPr>
      </w:pPr>
      <w:r>
        <w:rPr>
          <w:rFonts w:ascii="Calibri" w:hAnsi="Calibri"/>
          <w:color w:val="000000"/>
          <w:sz w:val="22"/>
          <w:szCs w:val="22"/>
        </w:rPr>
        <w:t>The current nationally listed buildings and scheduled monuments found in the parish comprise:</w:t>
      </w:r>
    </w:p>
    <w:p w:rsidR="00F3530A" w:rsidRDefault="00645D8D" w:rsidP="0015726E">
      <w:pPr>
        <w:numPr>
          <w:ilvl w:val="0"/>
          <w:numId w:val="5"/>
        </w:numPr>
        <w:spacing w:before="100" w:beforeAutospacing="1" w:after="100" w:afterAutospacing="1" w:line="276" w:lineRule="auto"/>
      </w:pPr>
      <w:hyperlink r:id="rId8" w:history="1">
        <w:r w:rsidR="00F3530A">
          <w:rPr>
            <w:rStyle w:val="Hyperlink"/>
            <w:rFonts w:ascii="Calibri" w:hAnsi="Calibri"/>
            <w:b/>
            <w:bCs/>
            <w:color w:val="000000"/>
            <w:sz w:val="22"/>
            <w:szCs w:val="22"/>
          </w:rPr>
          <w:t>Witton Hall and Wall Attached</w:t>
        </w:r>
      </w:hyperlink>
      <w:r w:rsidR="00F3530A">
        <w:rPr>
          <w:rFonts w:ascii="Calibri" w:hAnsi="Calibri"/>
          <w:sz w:val="22"/>
          <w:szCs w:val="22"/>
        </w:rPr>
        <w:t xml:space="preserve"> Grade II*</w:t>
      </w:r>
    </w:p>
    <w:p w:rsidR="00F3530A" w:rsidRDefault="00645D8D" w:rsidP="0015726E">
      <w:pPr>
        <w:numPr>
          <w:ilvl w:val="0"/>
          <w:numId w:val="5"/>
        </w:numPr>
        <w:spacing w:before="100" w:beforeAutospacing="1" w:after="100" w:afterAutospacing="1" w:line="276" w:lineRule="auto"/>
      </w:pPr>
      <w:hyperlink r:id="rId9" w:history="1">
        <w:r w:rsidR="00F3530A">
          <w:rPr>
            <w:rStyle w:val="Hyperlink"/>
            <w:rFonts w:ascii="Calibri" w:hAnsi="Calibri"/>
            <w:b/>
            <w:bCs/>
            <w:color w:val="000000"/>
            <w:sz w:val="22"/>
            <w:szCs w:val="22"/>
          </w:rPr>
          <w:t>Barn at Witton Hall Farm</w:t>
        </w:r>
      </w:hyperlink>
      <w:r w:rsidR="00F3530A">
        <w:rPr>
          <w:rFonts w:ascii="Calibri" w:hAnsi="Calibri"/>
          <w:sz w:val="22"/>
          <w:szCs w:val="22"/>
        </w:rPr>
        <w:t xml:space="preserve"> Grade II</w:t>
      </w:r>
    </w:p>
    <w:p w:rsidR="00F3530A" w:rsidRDefault="00645D8D" w:rsidP="0015726E">
      <w:pPr>
        <w:numPr>
          <w:ilvl w:val="0"/>
          <w:numId w:val="5"/>
        </w:numPr>
        <w:spacing w:before="100" w:beforeAutospacing="1" w:after="100" w:afterAutospacing="1" w:line="276" w:lineRule="auto"/>
      </w:pPr>
      <w:hyperlink r:id="rId10" w:history="1">
        <w:r w:rsidR="00F3530A">
          <w:rPr>
            <w:rStyle w:val="Hyperlink"/>
            <w:rFonts w:ascii="Calibri" w:hAnsi="Calibri"/>
            <w:b/>
            <w:bCs/>
            <w:color w:val="000000"/>
            <w:sz w:val="22"/>
            <w:szCs w:val="22"/>
          </w:rPr>
          <w:t>Church of St Michael and All Angels</w:t>
        </w:r>
      </w:hyperlink>
      <w:r w:rsidR="00F3530A">
        <w:rPr>
          <w:rFonts w:ascii="Calibri" w:hAnsi="Calibri"/>
          <w:sz w:val="22"/>
          <w:szCs w:val="22"/>
        </w:rPr>
        <w:t xml:space="preserve"> Grade II</w:t>
      </w:r>
    </w:p>
    <w:p w:rsidR="00F3530A" w:rsidRDefault="00645D8D" w:rsidP="0015726E">
      <w:pPr>
        <w:numPr>
          <w:ilvl w:val="2"/>
          <w:numId w:val="5"/>
        </w:numPr>
        <w:spacing w:before="100" w:beforeAutospacing="1" w:after="100" w:afterAutospacing="1" w:line="276" w:lineRule="auto"/>
      </w:pPr>
      <w:hyperlink r:id="rId11" w:history="1">
        <w:r w:rsidR="00F3530A">
          <w:rPr>
            <w:rStyle w:val="Hyperlink"/>
            <w:rFonts w:ascii="Calibri" w:hAnsi="Calibri"/>
            <w:b/>
            <w:bCs/>
            <w:color w:val="000000"/>
            <w:sz w:val="22"/>
            <w:szCs w:val="22"/>
          </w:rPr>
          <w:t>Clark Tomb</w:t>
        </w:r>
      </w:hyperlink>
      <w:r w:rsidR="00F3530A">
        <w:rPr>
          <w:rFonts w:ascii="Calibri" w:hAnsi="Calibri"/>
          <w:sz w:val="22"/>
          <w:szCs w:val="22"/>
        </w:rPr>
        <w:t xml:space="preserve"> Grade II</w:t>
      </w:r>
    </w:p>
    <w:p w:rsidR="00F3530A" w:rsidRDefault="00645D8D" w:rsidP="0015726E">
      <w:pPr>
        <w:numPr>
          <w:ilvl w:val="2"/>
          <w:numId w:val="5"/>
        </w:numPr>
        <w:spacing w:before="100" w:beforeAutospacing="1" w:after="100" w:afterAutospacing="1" w:line="276" w:lineRule="auto"/>
      </w:pPr>
      <w:hyperlink r:id="rId12" w:history="1">
        <w:r w:rsidR="00F3530A">
          <w:rPr>
            <w:rStyle w:val="Hyperlink"/>
            <w:rFonts w:ascii="Calibri" w:hAnsi="Calibri"/>
            <w:b/>
            <w:bCs/>
            <w:color w:val="000000"/>
            <w:sz w:val="22"/>
            <w:szCs w:val="22"/>
          </w:rPr>
          <w:t xml:space="preserve">Hopper Tomb </w:t>
        </w:r>
      </w:hyperlink>
      <w:r w:rsidR="00F3530A">
        <w:rPr>
          <w:rFonts w:ascii="Calibri" w:hAnsi="Calibri"/>
          <w:sz w:val="22"/>
          <w:szCs w:val="22"/>
        </w:rPr>
        <w:t>Grade II</w:t>
      </w:r>
    </w:p>
    <w:p w:rsidR="00F3530A" w:rsidRDefault="00645D8D" w:rsidP="0015726E">
      <w:pPr>
        <w:numPr>
          <w:ilvl w:val="2"/>
          <w:numId w:val="5"/>
        </w:numPr>
        <w:spacing w:before="100" w:beforeAutospacing="1" w:after="100" w:afterAutospacing="1" w:line="276" w:lineRule="auto"/>
      </w:pPr>
      <w:hyperlink r:id="rId13" w:history="1">
        <w:proofErr w:type="spellStart"/>
        <w:r w:rsidR="00F3530A">
          <w:rPr>
            <w:rStyle w:val="Hyperlink"/>
            <w:rFonts w:ascii="Calibri" w:hAnsi="Calibri"/>
            <w:b/>
            <w:bCs/>
            <w:color w:val="000000"/>
            <w:sz w:val="22"/>
            <w:szCs w:val="22"/>
          </w:rPr>
          <w:t>Jobling</w:t>
        </w:r>
        <w:proofErr w:type="spellEnd"/>
        <w:r w:rsidR="00F3530A">
          <w:rPr>
            <w:rStyle w:val="Hyperlink"/>
            <w:rFonts w:ascii="Calibri" w:hAnsi="Calibri"/>
            <w:b/>
            <w:bCs/>
            <w:color w:val="000000"/>
            <w:sz w:val="22"/>
            <w:szCs w:val="22"/>
          </w:rPr>
          <w:t xml:space="preserve"> and </w:t>
        </w:r>
        <w:proofErr w:type="spellStart"/>
        <w:r w:rsidR="00F3530A">
          <w:rPr>
            <w:rStyle w:val="Hyperlink"/>
            <w:rFonts w:ascii="Calibri" w:hAnsi="Calibri"/>
            <w:b/>
            <w:bCs/>
            <w:color w:val="000000"/>
            <w:sz w:val="22"/>
            <w:szCs w:val="22"/>
          </w:rPr>
          <w:t>Hogen</w:t>
        </w:r>
        <w:proofErr w:type="spellEnd"/>
        <w:r w:rsidR="00F3530A">
          <w:rPr>
            <w:rStyle w:val="Hyperlink"/>
            <w:rFonts w:ascii="Calibri" w:hAnsi="Calibri"/>
            <w:b/>
            <w:bCs/>
            <w:color w:val="000000"/>
            <w:sz w:val="22"/>
            <w:szCs w:val="22"/>
          </w:rPr>
          <w:t xml:space="preserve"> Tombs </w:t>
        </w:r>
      </w:hyperlink>
      <w:r w:rsidR="00F3530A">
        <w:rPr>
          <w:rFonts w:ascii="Calibri" w:hAnsi="Calibri"/>
          <w:sz w:val="22"/>
          <w:szCs w:val="22"/>
        </w:rPr>
        <w:t>Grade II</w:t>
      </w:r>
    </w:p>
    <w:p w:rsidR="00F3530A" w:rsidRDefault="00645D8D" w:rsidP="0015726E">
      <w:pPr>
        <w:numPr>
          <w:ilvl w:val="2"/>
          <w:numId w:val="5"/>
        </w:numPr>
        <w:spacing w:before="100" w:beforeAutospacing="1" w:after="100" w:afterAutospacing="1" w:line="276" w:lineRule="auto"/>
      </w:pPr>
      <w:hyperlink r:id="rId14" w:history="1">
        <w:proofErr w:type="spellStart"/>
        <w:r w:rsidR="00F3530A">
          <w:rPr>
            <w:rStyle w:val="Hyperlink"/>
            <w:rFonts w:ascii="Calibri" w:hAnsi="Calibri"/>
            <w:b/>
            <w:bCs/>
            <w:color w:val="000000"/>
            <w:sz w:val="22"/>
            <w:szCs w:val="22"/>
          </w:rPr>
          <w:t>Pickeran</w:t>
        </w:r>
        <w:proofErr w:type="spellEnd"/>
        <w:r w:rsidR="00F3530A">
          <w:rPr>
            <w:rStyle w:val="Hyperlink"/>
            <w:rFonts w:ascii="Calibri" w:hAnsi="Calibri"/>
            <w:b/>
            <w:bCs/>
            <w:color w:val="000000"/>
            <w:sz w:val="22"/>
            <w:szCs w:val="22"/>
          </w:rPr>
          <w:t xml:space="preserve"> Tomb Circa </w:t>
        </w:r>
      </w:hyperlink>
      <w:r w:rsidR="00F3530A">
        <w:rPr>
          <w:rFonts w:ascii="Calibri" w:hAnsi="Calibri"/>
          <w:sz w:val="22"/>
          <w:szCs w:val="22"/>
        </w:rPr>
        <w:t>Grade II</w:t>
      </w:r>
    </w:p>
    <w:p w:rsidR="00F3530A" w:rsidRDefault="00645D8D" w:rsidP="0015726E">
      <w:pPr>
        <w:numPr>
          <w:ilvl w:val="2"/>
          <w:numId w:val="5"/>
        </w:numPr>
        <w:spacing w:before="100" w:beforeAutospacing="1" w:after="100" w:afterAutospacing="1" w:line="276" w:lineRule="auto"/>
      </w:pPr>
      <w:hyperlink r:id="rId15" w:history="1">
        <w:proofErr w:type="spellStart"/>
        <w:r w:rsidR="00F3530A">
          <w:rPr>
            <w:rStyle w:val="Hyperlink"/>
            <w:rFonts w:ascii="Calibri" w:hAnsi="Calibri"/>
            <w:b/>
            <w:bCs/>
            <w:color w:val="000000"/>
            <w:sz w:val="22"/>
            <w:szCs w:val="22"/>
          </w:rPr>
          <w:t>Snaith</w:t>
        </w:r>
        <w:proofErr w:type="spellEnd"/>
        <w:r w:rsidR="00F3530A">
          <w:rPr>
            <w:rStyle w:val="Hyperlink"/>
            <w:rFonts w:ascii="Calibri" w:hAnsi="Calibri"/>
            <w:b/>
            <w:bCs/>
            <w:color w:val="000000"/>
            <w:sz w:val="22"/>
            <w:szCs w:val="22"/>
          </w:rPr>
          <w:t xml:space="preserve"> Tomb Circa </w:t>
        </w:r>
      </w:hyperlink>
      <w:r w:rsidR="00F3530A">
        <w:rPr>
          <w:rFonts w:ascii="Calibri" w:hAnsi="Calibri"/>
          <w:sz w:val="22"/>
          <w:szCs w:val="22"/>
        </w:rPr>
        <w:t>Grade II</w:t>
      </w:r>
    </w:p>
    <w:p w:rsidR="00F3530A" w:rsidRDefault="00645D8D" w:rsidP="0015726E">
      <w:pPr>
        <w:numPr>
          <w:ilvl w:val="0"/>
          <w:numId w:val="5"/>
        </w:numPr>
        <w:spacing w:before="100" w:beforeAutospacing="1" w:after="100" w:afterAutospacing="1" w:line="276" w:lineRule="auto"/>
      </w:pPr>
      <w:hyperlink r:id="rId16" w:history="1">
        <w:r w:rsidR="00F3530A">
          <w:rPr>
            <w:rStyle w:val="Hyperlink"/>
            <w:rFonts w:ascii="Calibri" w:hAnsi="Calibri"/>
            <w:b/>
            <w:bCs/>
            <w:color w:val="000000"/>
            <w:sz w:val="22"/>
            <w:szCs w:val="22"/>
          </w:rPr>
          <w:t>Former Smithy to West of No 29</w:t>
        </w:r>
      </w:hyperlink>
      <w:r w:rsidR="00F3530A">
        <w:rPr>
          <w:rFonts w:ascii="Calibri" w:hAnsi="Calibri"/>
          <w:sz w:val="22"/>
          <w:szCs w:val="22"/>
        </w:rPr>
        <w:t xml:space="preserve"> Grade II</w:t>
      </w:r>
    </w:p>
    <w:p w:rsidR="00F3530A" w:rsidRDefault="00645D8D" w:rsidP="0015726E">
      <w:pPr>
        <w:numPr>
          <w:ilvl w:val="0"/>
          <w:numId w:val="5"/>
        </w:numPr>
        <w:spacing w:before="100" w:beforeAutospacing="1" w:after="100" w:afterAutospacing="1" w:line="276" w:lineRule="auto"/>
      </w:pPr>
      <w:hyperlink r:id="rId17" w:history="1">
        <w:proofErr w:type="spellStart"/>
        <w:r w:rsidR="00F3530A">
          <w:rPr>
            <w:rStyle w:val="Hyperlink"/>
            <w:rFonts w:ascii="Calibri" w:hAnsi="Calibri"/>
            <w:b/>
            <w:bCs/>
            <w:color w:val="000000"/>
            <w:sz w:val="22"/>
            <w:szCs w:val="22"/>
          </w:rPr>
          <w:t>Fyndoune</w:t>
        </w:r>
        <w:proofErr w:type="spellEnd"/>
        <w:r w:rsidR="00F3530A">
          <w:rPr>
            <w:rStyle w:val="Hyperlink"/>
            <w:rFonts w:ascii="Calibri" w:hAnsi="Calibri"/>
            <w:b/>
            <w:bCs/>
            <w:color w:val="000000"/>
            <w:sz w:val="22"/>
            <w:szCs w:val="22"/>
          </w:rPr>
          <w:t xml:space="preserve"> and </w:t>
        </w:r>
        <w:proofErr w:type="spellStart"/>
        <w:r w:rsidR="00F3530A">
          <w:rPr>
            <w:rStyle w:val="Hyperlink"/>
            <w:rFonts w:ascii="Calibri" w:hAnsi="Calibri"/>
            <w:b/>
            <w:bCs/>
            <w:color w:val="000000"/>
            <w:sz w:val="22"/>
            <w:szCs w:val="22"/>
          </w:rPr>
          <w:t>Fyndoune</w:t>
        </w:r>
        <w:proofErr w:type="spellEnd"/>
        <w:r w:rsidR="00F3530A">
          <w:rPr>
            <w:rStyle w:val="Hyperlink"/>
            <w:rFonts w:ascii="Calibri" w:hAnsi="Calibri"/>
            <w:b/>
            <w:bCs/>
            <w:color w:val="000000"/>
            <w:sz w:val="22"/>
            <w:szCs w:val="22"/>
          </w:rPr>
          <w:t xml:space="preserve"> Mews</w:t>
        </w:r>
      </w:hyperlink>
      <w:r w:rsidR="00F3530A">
        <w:rPr>
          <w:rFonts w:ascii="Calibri" w:hAnsi="Calibri"/>
          <w:sz w:val="22"/>
          <w:szCs w:val="22"/>
        </w:rPr>
        <w:t xml:space="preserve"> Grade II</w:t>
      </w:r>
    </w:p>
    <w:p w:rsidR="00F3530A" w:rsidRDefault="00645D8D" w:rsidP="0015726E">
      <w:pPr>
        <w:numPr>
          <w:ilvl w:val="0"/>
          <w:numId w:val="5"/>
        </w:numPr>
        <w:spacing w:before="100" w:beforeAutospacing="1" w:after="100" w:afterAutospacing="1" w:line="276" w:lineRule="auto"/>
      </w:pPr>
      <w:hyperlink r:id="rId18" w:history="1">
        <w:r w:rsidR="00F3530A">
          <w:rPr>
            <w:rStyle w:val="Hyperlink"/>
            <w:rFonts w:ascii="Calibri" w:hAnsi="Calibri"/>
            <w:b/>
            <w:bCs/>
            <w:color w:val="000000"/>
            <w:sz w:val="22"/>
            <w:szCs w:val="22"/>
          </w:rPr>
          <w:t xml:space="preserve">Well House </w:t>
        </w:r>
        <w:proofErr w:type="spellStart"/>
        <w:r w:rsidR="00F3530A">
          <w:rPr>
            <w:rStyle w:val="Hyperlink"/>
            <w:rFonts w:ascii="Calibri" w:hAnsi="Calibri"/>
            <w:b/>
            <w:bCs/>
            <w:color w:val="000000"/>
            <w:sz w:val="22"/>
            <w:szCs w:val="22"/>
          </w:rPr>
          <w:t>Fyndoune</w:t>
        </w:r>
        <w:proofErr w:type="spellEnd"/>
        <w:r w:rsidR="00F3530A">
          <w:rPr>
            <w:rStyle w:val="Hyperlink"/>
            <w:rFonts w:ascii="Calibri" w:hAnsi="Calibri"/>
            <w:b/>
            <w:bCs/>
            <w:color w:val="000000"/>
            <w:sz w:val="22"/>
            <w:szCs w:val="22"/>
          </w:rPr>
          <w:t xml:space="preserve"> Mews</w:t>
        </w:r>
      </w:hyperlink>
      <w:r w:rsidR="00F3530A">
        <w:rPr>
          <w:rFonts w:ascii="Calibri" w:hAnsi="Calibri"/>
          <w:sz w:val="22"/>
          <w:szCs w:val="22"/>
        </w:rPr>
        <w:t xml:space="preserve"> Grade II</w:t>
      </w:r>
    </w:p>
    <w:p w:rsidR="00F3530A" w:rsidRDefault="00645D8D" w:rsidP="0015726E">
      <w:pPr>
        <w:numPr>
          <w:ilvl w:val="0"/>
          <w:numId w:val="5"/>
        </w:numPr>
        <w:spacing w:before="100" w:beforeAutospacing="1" w:after="100" w:afterAutospacing="1" w:line="276" w:lineRule="auto"/>
      </w:pPr>
      <w:hyperlink r:id="rId19" w:history="1">
        <w:proofErr w:type="spellStart"/>
        <w:r w:rsidR="00F3530A">
          <w:rPr>
            <w:rStyle w:val="Hyperlink"/>
            <w:rFonts w:ascii="Calibri" w:hAnsi="Calibri"/>
            <w:b/>
            <w:bCs/>
            <w:color w:val="000000"/>
            <w:sz w:val="22"/>
            <w:szCs w:val="22"/>
          </w:rPr>
          <w:t>Kaysburn</w:t>
        </w:r>
        <w:proofErr w:type="spellEnd"/>
        <w:r w:rsidR="00F3530A">
          <w:rPr>
            <w:rStyle w:val="Hyperlink"/>
            <w:rFonts w:ascii="Calibri" w:hAnsi="Calibri"/>
            <w:b/>
            <w:bCs/>
            <w:color w:val="000000"/>
            <w:sz w:val="22"/>
            <w:szCs w:val="22"/>
          </w:rPr>
          <w:t xml:space="preserve"> House</w:t>
        </w:r>
      </w:hyperlink>
      <w:r w:rsidR="00F3530A">
        <w:rPr>
          <w:rFonts w:ascii="Calibri" w:hAnsi="Calibri"/>
          <w:sz w:val="22"/>
          <w:szCs w:val="22"/>
        </w:rPr>
        <w:t xml:space="preserve"> Grade II</w:t>
      </w:r>
    </w:p>
    <w:p w:rsidR="00F3530A" w:rsidRDefault="00645D8D" w:rsidP="0015726E">
      <w:pPr>
        <w:numPr>
          <w:ilvl w:val="0"/>
          <w:numId w:val="5"/>
        </w:numPr>
        <w:spacing w:before="100" w:beforeAutospacing="1" w:after="100" w:afterAutospacing="1" w:line="276" w:lineRule="auto"/>
      </w:pPr>
      <w:hyperlink r:id="rId20" w:history="1">
        <w:proofErr w:type="spellStart"/>
        <w:r w:rsidR="00F3530A">
          <w:rPr>
            <w:rStyle w:val="Hyperlink"/>
            <w:rFonts w:ascii="Calibri" w:hAnsi="Calibri"/>
            <w:b/>
            <w:bCs/>
            <w:color w:val="000000"/>
            <w:sz w:val="22"/>
            <w:szCs w:val="22"/>
          </w:rPr>
          <w:t>Kimblesworth</w:t>
        </w:r>
        <w:proofErr w:type="spellEnd"/>
        <w:r w:rsidR="00F3530A">
          <w:rPr>
            <w:rStyle w:val="Hyperlink"/>
            <w:rFonts w:ascii="Calibri" w:hAnsi="Calibri"/>
            <w:b/>
            <w:bCs/>
            <w:color w:val="000000"/>
            <w:sz w:val="22"/>
            <w:szCs w:val="22"/>
          </w:rPr>
          <w:t xml:space="preserve"> Grange Farmhouse with Wall and Outhouse Attached</w:t>
        </w:r>
      </w:hyperlink>
      <w:r w:rsidR="00F3530A">
        <w:rPr>
          <w:rFonts w:ascii="Calibri" w:hAnsi="Calibri"/>
          <w:sz w:val="22"/>
          <w:szCs w:val="22"/>
        </w:rPr>
        <w:t>    Grade II</w:t>
      </w:r>
    </w:p>
    <w:p w:rsidR="00875E21" w:rsidRDefault="00875E21" w:rsidP="00875E21">
      <w:pPr>
        <w:tabs>
          <w:tab w:val="left" w:pos="709"/>
        </w:tabs>
        <w:rPr>
          <w:rFonts w:ascii="Calibri" w:hAnsi="Calibri"/>
          <w:sz w:val="22"/>
          <w:szCs w:val="22"/>
        </w:rPr>
      </w:pPr>
      <w:r>
        <w:rPr>
          <w:rFonts w:ascii="Calibri" w:hAnsi="Calibri"/>
          <w:sz w:val="22"/>
          <w:szCs w:val="22"/>
        </w:rPr>
        <w:t>Other buildings and sites that add to the character and distinctiveness of the parish and are worthy of protection include:</w:t>
      </w:r>
    </w:p>
    <w:p w:rsidR="0097298D" w:rsidRDefault="0097298D" w:rsidP="00875E21">
      <w:pPr>
        <w:tabs>
          <w:tab w:val="left" w:pos="709"/>
        </w:tabs>
        <w:rPr>
          <w:rFonts w:ascii="Calibri" w:hAnsi="Calibri"/>
          <w:sz w:val="22"/>
          <w:szCs w:val="22"/>
        </w:rPr>
      </w:pPr>
    </w:p>
    <w:p w:rsidR="00875E21" w:rsidRDefault="00875E21" w:rsidP="00875E21">
      <w:pPr>
        <w:numPr>
          <w:ilvl w:val="0"/>
          <w:numId w:val="2"/>
        </w:numPr>
        <w:tabs>
          <w:tab w:val="left" w:pos="709"/>
        </w:tabs>
        <w:rPr>
          <w:rFonts w:ascii="Calibri" w:hAnsi="Calibri"/>
          <w:b/>
          <w:sz w:val="22"/>
          <w:szCs w:val="22"/>
        </w:rPr>
      </w:pPr>
      <w:r>
        <w:rPr>
          <w:rFonts w:ascii="Calibri" w:hAnsi="Calibri"/>
          <w:b/>
          <w:sz w:val="22"/>
          <w:szCs w:val="22"/>
        </w:rPr>
        <w:t>Front Street (including historic building line)</w:t>
      </w:r>
    </w:p>
    <w:p w:rsidR="00875E21" w:rsidRDefault="00875E21" w:rsidP="00875E21">
      <w:pPr>
        <w:numPr>
          <w:ilvl w:val="0"/>
          <w:numId w:val="2"/>
        </w:numPr>
        <w:tabs>
          <w:tab w:val="left" w:pos="709"/>
        </w:tabs>
        <w:rPr>
          <w:rFonts w:ascii="Calibri" w:hAnsi="Calibri"/>
          <w:b/>
          <w:sz w:val="22"/>
          <w:szCs w:val="22"/>
        </w:rPr>
      </w:pPr>
      <w:r>
        <w:rPr>
          <w:rFonts w:ascii="Calibri" w:hAnsi="Calibri"/>
          <w:b/>
          <w:sz w:val="22"/>
          <w:szCs w:val="22"/>
        </w:rPr>
        <w:t>Glendenning Arms</w:t>
      </w:r>
    </w:p>
    <w:p w:rsidR="00BC7A6E" w:rsidRDefault="00875E21" w:rsidP="00BC7A6E">
      <w:pPr>
        <w:numPr>
          <w:ilvl w:val="0"/>
          <w:numId w:val="2"/>
        </w:numPr>
        <w:tabs>
          <w:tab w:val="left" w:pos="709"/>
        </w:tabs>
        <w:rPr>
          <w:rFonts w:ascii="Calibri" w:hAnsi="Calibri"/>
          <w:b/>
          <w:sz w:val="22"/>
          <w:szCs w:val="22"/>
        </w:rPr>
      </w:pPr>
      <w:r>
        <w:rPr>
          <w:rFonts w:ascii="Calibri" w:hAnsi="Calibri"/>
          <w:b/>
          <w:sz w:val="22"/>
          <w:szCs w:val="22"/>
        </w:rPr>
        <w:t>Traveller’s Rest</w:t>
      </w:r>
    </w:p>
    <w:p w:rsidR="00875E21" w:rsidRDefault="00875E21" w:rsidP="00875E21">
      <w:pPr>
        <w:numPr>
          <w:ilvl w:val="0"/>
          <w:numId w:val="2"/>
        </w:numPr>
        <w:tabs>
          <w:tab w:val="left" w:pos="709"/>
        </w:tabs>
        <w:rPr>
          <w:rFonts w:ascii="Calibri" w:hAnsi="Calibri"/>
          <w:b/>
          <w:sz w:val="22"/>
          <w:szCs w:val="22"/>
        </w:rPr>
      </w:pPr>
      <w:r>
        <w:rPr>
          <w:rFonts w:ascii="Calibri" w:hAnsi="Calibri"/>
          <w:b/>
          <w:sz w:val="22"/>
          <w:szCs w:val="22"/>
        </w:rPr>
        <w:t>War memorial</w:t>
      </w:r>
    </w:p>
    <w:p w:rsidR="00875E21" w:rsidRDefault="00875E21" w:rsidP="00875E21">
      <w:pPr>
        <w:numPr>
          <w:ilvl w:val="0"/>
          <w:numId w:val="2"/>
        </w:numPr>
        <w:tabs>
          <w:tab w:val="left" w:pos="709"/>
        </w:tabs>
        <w:rPr>
          <w:rFonts w:ascii="Calibri" w:hAnsi="Calibri"/>
          <w:b/>
          <w:sz w:val="22"/>
          <w:szCs w:val="22"/>
        </w:rPr>
      </w:pPr>
      <w:r>
        <w:rPr>
          <w:rFonts w:ascii="Calibri" w:hAnsi="Calibri"/>
          <w:b/>
          <w:sz w:val="22"/>
          <w:szCs w:val="22"/>
        </w:rPr>
        <w:t>Witton station</w:t>
      </w:r>
    </w:p>
    <w:p w:rsidR="0097298D" w:rsidRDefault="0097298D" w:rsidP="0097298D">
      <w:pPr>
        <w:tabs>
          <w:tab w:val="left" w:pos="709"/>
        </w:tabs>
        <w:ind w:left="720"/>
        <w:rPr>
          <w:rFonts w:ascii="Calibri" w:hAnsi="Calibri"/>
          <w:b/>
          <w:sz w:val="22"/>
          <w:szCs w:val="22"/>
        </w:rPr>
      </w:pPr>
    </w:p>
    <w:p w:rsidR="00875E21" w:rsidRDefault="00875E21" w:rsidP="00875E21">
      <w:pPr>
        <w:spacing w:line="360" w:lineRule="auto"/>
        <w:rPr>
          <w:rFonts w:ascii="Calibri" w:hAnsi="Calibri"/>
          <w:b/>
          <w:sz w:val="22"/>
          <w:szCs w:val="22"/>
        </w:rPr>
      </w:pPr>
      <w:r>
        <w:rPr>
          <w:rFonts w:ascii="Calibri" w:hAnsi="Calibri"/>
          <w:b/>
          <w:sz w:val="22"/>
          <w:szCs w:val="22"/>
        </w:rPr>
        <w:t>Aims</w:t>
      </w:r>
    </w:p>
    <w:p w:rsidR="00875E21" w:rsidRDefault="00875E21" w:rsidP="00875E21">
      <w:pPr>
        <w:tabs>
          <w:tab w:val="left" w:pos="709"/>
        </w:tabs>
        <w:rPr>
          <w:rFonts w:ascii="Calibri" w:hAnsi="Calibri"/>
          <w:sz w:val="22"/>
          <w:szCs w:val="22"/>
        </w:rPr>
      </w:pPr>
      <w:r>
        <w:rPr>
          <w:rFonts w:ascii="Calibri" w:hAnsi="Calibri"/>
          <w:sz w:val="22"/>
          <w:szCs w:val="22"/>
        </w:rPr>
        <w:t xml:space="preserve">Any developments should endeavour to maintain the character of the village and planning policies must be adopted to protect the </w:t>
      </w:r>
      <w:r w:rsidR="0097298D">
        <w:rPr>
          <w:rFonts w:ascii="Calibri" w:hAnsi="Calibri"/>
          <w:sz w:val="22"/>
          <w:szCs w:val="22"/>
        </w:rPr>
        <w:t xml:space="preserve">identified </w:t>
      </w:r>
      <w:r>
        <w:rPr>
          <w:rFonts w:ascii="Calibri" w:hAnsi="Calibri"/>
          <w:sz w:val="22"/>
          <w:szCs w:val="22"/>
        </w:rPr>
        <w:t xml:space="preserve">heritage sites within the parish and where possible improve access and make information </w:t>
      </w:r>
      <w:r w:rsidR="0097298D">
        <w:rPr>
          <w:rFonts w:ascii="Calibri" w:hAnsi="Calibri"/>
          <w:sz w:val="22"/>
          <w:szCs w:val="22"/>
        </w:rPr>
        <w:t xml:space="preserve">about these heritage assets </w:t>
      </w:r>
      <w:r>
        <w:rPr>
          <w:rFonts w:ascii="Calibri" w:hAnsi="Calibri"/>
          <w:sz w:val="22"/>
          <w:szCs w:val="22"/>
        </w:rPr>
        <w:t>available to residents and visitors.</w:t>
      </w:r>
      <w:r w:rsidR="007C3B9A">
        <w:rPr>
          <w:rFonts w:ascii="Calibri" w:hAnsi="Calibri"/>
          <w:sz w:val="22"/>
          <w:szCs w:val="22"/>
        </w:rPr>
        <w:t xml:space="preserve">  It would be desirable to </w:t>
      </w:r>
      <w:r w:rsidR="0097298D">
        <w:rPr>
          <w:rFonts w:ascii="Calibri" w:hAnsi="Calibri"/>
          <w:sz w:val="22"/>
          <w:szCs w:val="22"/>
        </w:rPr>
        <w:t xml:space="preserve">enhance the area by </w:t>
      </w:r>
      <w:r w:rsidR="007C3B9A">
        <w:rPr>
          <w:rFonts w:ascii="Calibri" w:hAnsi="Calibri"/>
          <w:sz w:val="22"/>
          <w:szCs w:val="22"/>
        </w:rPr>
        <w:t>remov</w:t>
      </w:r>
      <w:r w:rsidR="00356971">
        <w:rPr>
          <w:rFonts w:ascii="Calibri" w:hAnsi="Calibri"/>
          <w:sz w:val="22"/>
          <w:szCs w:val="22"/>
        </w:rPr>
        <w:t>ing</w:t>
      </w:r>
      <w:r w:rsidR="007C3B9A">
        <w:rPr>
          <w:rFonts w:ascii="Calibri" w:hAnsi="Calibri"/>
          <w:sz w:val="22"/>
          <w:szCs w:val="22"/>
        </w:rPr>
        <w:t xml:space="preserve"> the many telephone and other posts which detract from the street scene.</w:t>
      </w:r>
    </w:p>
    <w:p w:rsidR="00875E21" w:rsidRDefault="00875E21" w:rsidP="00875E21">
      <w:pPr>
        <w:rPr>
          <w:rFonts w:ascii="Calibri" w:hAnsi="Calibri"/>
          <w:sz w:val="22"/>
          <w:szCs w:val="22"/>
        </w:rPr>
      </w:pPr>
    </w:p>
    <w:p w:rsidR="0097298D" w:rsidRPr="0097298D" w:rsidRDefault="00875E21" w:rsidP="0097298D">
      <w:pPr>
        <w:rPr>
          <w:rFonts w:ascii="Calibri" w:hAnsi="Calibri"/>
          <w:sz w:val="22"/>
          <w:szCs w:val="22"/>
        </w:rPr>
      </w:pPr>
      <w:r>
        <w:rPr>
          <w:rFonts w:ascii="Calibri" w:hAnsi="Calibri"/>
          <w:b/>
          <w:sz w:val="22"/>
          <w:szCs w:val="22"/>
        </w:rPr>
        <w:t>Policy</w:t>
      </w:r>
    </w:p>
    <w:p w:rsidR="0097298D" w:rsidRDefault="0097298D" w:rsidP="0097298D">
      <w:pPr>
        <w:numPr>
          <w:ilvl w:val="0"/>
          <w:numId w:val="3"/>
        </w:numPr>
        <w:rPr>
          <w:rFonts w:ascii="Calibri" w:hAnsi="Calibri"/>
          <w:sz w:val="22"/>
          <w:szCs w:val="22"/>
        </w:rPr>
      </w:pPr>
      <w:r>
        <w:rPr>
          <w:rFonts w:ascii="Calibri" w:hAnsi="Calibri"/>
          <w:b/>
          <w:sz w:val="22"/>
          <w:szCs w:val="22"/>
        </w:rPr>
        <w:t xml:space="preserve"> </w:t>
      </w:r>
      <w:r>
        <w:rPr>
          <w:rFonts w:ascii="Calibri" w:hAnsi="Calibri"/>
          <w:sz w:val="22"/>
          <w:szCs w:val="22"/>
        </w:rPr>
        <w:t xml:space="preserve">A number of non scheduled buildings and sites noted for their heritage value should be protected </w:t>
      </w:r>
    </w:p>
    <w:p w:rsidR="00875E21" w:rsidRDefault="00875E21" w:rsidP="00875E21">
      <w:pPr>
        <w:numPr>
          <w:ilvl w:val="0"/>
          <w:numId w:val="3"/>
        </w:numPr>
        <w:rPr>
          <w:rFonts w:ascii="Calibri" w:hAnsi="Calibri"/>
          <w:sz w:val="22"/>
          <w:szCs w:val="22"/>
        </w:rPr>
      </w:pPr>
      <w:r>
        <w:rPr>
          <w:rFonts w:ascii="Calibri" w:hAnsi="Calibri"/>
          <w:sz w:val="22"/>
          <w:szCs w:val="22"/>
        </w:rPr>
        <w:t>Scheduled monuments and listed buildings  must be protected and maintained for their distinctiveness and for their contribution to the historic identity of the parish</w:t>
      </w:r>
    </w:p>
    <w:p w:rsidR="00875E21" w:rsidRDefault="00875E21" w:rsidP="00875E21">
      <w:pPr>
        <w:numPr>
          <w:ilvl w:val="0"/>
          <w:numId w:val="3"/>
        </w:numPr>
        <w:rPr>
          <w:rFonts w:ascii="Calibri" w:hAnsi="Calibri"/>
          <w:sz w:val="22"/>
          <w:szCs w:val="22"/>
        </w:rPr>
      </w:pPr>
      <w:r>
        <w:rPr>
          <w:rFonts w:ascii="Calibri" w:hAnsi="Calibri"/>
          <w:sz w:val="22"/>
          <w:szCs w:val="22"/>
        </w:rPr>
        <w:t xml:space="preserve">Developments </w:t>
      </w:r>
      <w:r w:rsidR="00913C16">
        <w:rPr>
          <w:rFonts w:ascii="Calibri" w:hAnsi="Calibri"/>
          <w:sz w:val="22"/>
          <w:szCs w:val="22"/>
        </w:rPr>
        <w:t>must not detract from</w:t>
      </w:r>
      <w:r>
        <w:rPr>
          <w:rFonts w:ascii="Calibri" w:hAnsi="Calibri"/>
          <w:sz w:val="22"/>
          <w:szCs w:val="22"/>
        </w:rPr>
        <w:t xml:space="preserve"> designated or historic non-designated sites </w:t>
      </w:r>
      <w:r w:rsidR="00913C16">
        <w:rPr>
          <w:rFonts w:ascii="Calibri" w:hAnsi="Calibri"/>
          <w:sz w:val="22"/>
          <w:szCs w:val="22"/>
        </w:rPr>
        <w:t>and the approaches to them</w:t>
      </w:r>
      <w:r>
        <w:rPr>
          <w:rFonts w:ascii="Calibri" w:hAnsi="Calibri"/>
          <w:sz w:val="22"/>
          <w:szCs w:val="22"/>
        </w:rPr>
        <w:t>.</w:t>
      </w:r>
    </w:p>
    <w:p w:rsidR="00875E21" w:rsidRDefault="00875E21" w:rsidP="00875E21">
      <w:pPr>
        <w:numPr>
          <w:ilvl w:val="0"/>
          <w:numId w:val="3"/>
        </w:numPr>
        <w:rPr>
          <w:rFonts w:ascii="Calibri" w:hAnsi="Calibri"/>
          <w:sz w:val="22"/>
          <w:szCs w:val="22"/>
        </w:rPr>
      </w:pPr>
      <w:r>
        <w:rPr>
          <w:rFonts w:ascii="Calibri" w:hAnsi="Calibri"/>
          <w:sz w:val="22"/>
          <w:szCs w:val="22"/>
        </w:rPr>
        <w:t>All future developments must be considered in the light of the local and national heritage policies.</w:t>
      </w:r>
    </w:p>
    <w:p w:rsidR="00A102A8" w:rsidRDefault="00A102A8"/>
    <w:sectPr w:rsidR="00A102A8" w:rsidSect="0015726E">
      <w:pgSz w:w="11906" w:h="16838"/>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C4D25"/>
    <w:multiLevelType w:val="multilevel"/>
    <w:tmpl w:val="768420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6D84381"/>
    <w:multiLevelType w:val="hybridMultilevel"/>
    <w:tmpl w:val="F88CCB9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6F7C32E8"/>
    <w:multiLevelType w:val="hybridMultilevel"/>
    <w:tmpl w:val="120480F2"/>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720"/>
        </w:tabs>
        <w:ind w:left="720" w:hanging="360"/>
      </w:pPr>
      <w:rPr>
        <w:rFonts w:ascii="Symbol" w:hAnsi="Symbol" w:hint="default"/>
      </w:rPr>
    </w:lvl>
    <w:lvl w:ilvl="2" w:tplc="08090001">
      <w:start w:val="1"/>
      <w:numFmt w:val="bullet"/>
      <w:lvlText w:val=""/>
      <w:lvlJc w:val="left"/>
      <w:pPr>
        <w:tabs>
          <w:tab w:val="num" w:pos="720"/>
        </w:tabs>
        <w:ind w:left="720" w:hanging="360"/>
      </w:pPr>
      <w:rPr>
        <w:rFonts w:ascii="Symbol" w:hAnsi="Symbol"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76AE3AD0"/>
    <w:multiLevelType w:val="hybridMultilevel"/>
    <w:tmpl w:val="1C70657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2"/>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E21"/>
    <w:rsid w:val="000E2EB5"/>
    <w:rsid w:val="0015726E"/>
    <w:rsid w:val="0018367E"/>
    <w:rsid w:val="001D535F"/>
    <w:rsid w:val="001E5363"/>
    <w:rsid w:val="002C125B"/>
    <w:rsid w:val="00323A7D"/>
    <w:rsid w:val="00356971"/>
    <w:rsid w:val="003B5D55"/>
    <w:rsid w:val="00526FD6"/>
    <w:rsid w:val="0056106F"/>
    <w:rsid w:val="006061B0"/>
    <w:rsid w:val="00615759"/>
    <w:rsid w:val="00645D8D"/>
    <w:rsid w:val="006D5AE4"/>
    <w:rsid w:val="006E6185"/>
    <w:rsid w:val="00751D31"/>
    <w:rsid w:val="007A1E5C"/>
    <w:rsid w:val="007C2395"/>
    <w:rsid w:val="007C3B9A"/>
    <w:rsid w:val="00875E21"/>
    <w:rsid w:val="00894357"/>
    <w:rsid w:val="0089662F"/>
    <w:rsid w:val="008D2054"/>
    <w:rsid w:val="00913C16"/>
    <w:rsid w:val="0097298D"/>
    <w:rsid w:val="0098665E"/>
    <w:rsid w:val="00987ED3"/>
    <w:rsid w:val="00993584"/>
    <w:rsid w:val="00A102A8"/>
    <w:rsid w:val="00A41F0E"/>
    <w:rsid w:val="00B81102"/>
    <w:rsid w:val="00BC7A6E"/>
    <w:rsid w:val="00CD0055"/>
    <w:rsid w:val="00DF5FB4"/>
    <w:rsid w:val="00F027B6"/>
    <w:rsid w:val="00F3530A"/>
    <w:rsid w:val="00F404E1"/>
    <w:rsid w:val="00FF75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docId w15:val="{5E963425-4B32-40CD-BD61-2D5A560E8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E2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75E21"/>
    <w:rPr>
      <w:color w:val="0000FF"/>
      <w:u w:val="single"/>
    </w:rPr>
  </w:style>
  <w:style w:type="paragraph" w:styleId="BalloonText">
    <w:name w:val="Balloon Text"/>
    <w:basedOn w:val="Normal"/>
    <w:link w:val="BalloonTextChar"/>
    <w:rsid w:val="00987ED3"/>
    <w:rPr>
      <w:rFonts w:ascii="Tahoma" w:hAnsi="Tahoma" w:cs="Tahoma"/>
      <w:sz w:val="16"/>
      <w:szCs w:val="16"/>
    </w:rPr>
  </w:style>
  <w:style w:type="character" w:customStyle="1" w:styleId="BalloonTextChar">
    <w:name w:val="Balloon Text Char"/>
    <w:basedOn w:val="DefaultParagraphFont"/>
    <w:link w:val="BalloonText"/>
    <w:rsid w:val="00987E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927149">
      <w:bodyDiv w:val="1"/>
      <w:marLeft w:val="0"/>
      <w:marRight w:val="0"/>
      <w:marTop w:val="0"/>
      <w:marBottom w:val="0"/>
      <w:divBdr>
        <w:top w:val="none" w:sz="0" w:space="0" w:color="auto"/>
        <w:left w:val="none" w:sz="0" w:space="0" w:color="auto"/>
        <w:bottom w:val="none" w:sz="0" w:space="0" w:color="auto"/>
        <w:right w:val="none" w:sz="0" w:space="0" w:color="auto"/>
      </w:divBdr>
    </w:div>
    <w:div w:id="1149443781">
      <w:bodyDiv w:val="1"/>
      <w:marLeft w:val="0"/>
      <w:marRight w:val="0"/>
      <w:marTop w:val="0"/>
      <w:marBottom w:val="0"/>
      <w:divBdr>
        <w:top w:val="none" w:sz="0" w:space="0" w:color="auto"/>
        <w:left w:val="none" w:sz="0" w:space="0" w:color="auto"/>
        <w:bottom w:val="none" w:sz="0" w:space="0" w:color="auto"/>
        <w:right w:val="none" w:sz="0" w:space="0" w:color="auto"/>
      </w:divBdr>
      <w:divsChild>
        <w:div w:id="589197602">
          <w:marLeft w:val="0"/>
          <w:marRight w:val="0"/>
          <w:marTop w:val="0"/>
          <w:marBottom w:val="0"/>
          <w:divBdr>
            <w:top w:val="none" w:sz="0" w:space="0" w:color="auto"/>
            <w:left w:val="none" w:sz="0" w:space="0" w:color="auto"/>
            <w:bottom w:val="none" w:sz="0" w:space="0" w:color="auto"/>
            <w:right w:val="none" w:sz="0" w:space="0" w:color="auto"/>
          </w:divBdr>
        </w:div>
      </w:divsChild>
    </w:div>
    <w:div w:id="1629050980">
      <w:bodyDiv w:val="1"/>
      <w:marLeft w:val="0"/>
      <w:marRight w:val="0"/>
      <w:marTop w:val="0"/>
      <w:marBottom w:val="0"/>
      <w:divBdr>
        <w:top w:val="none" w:sz="0" w:space="0" w:color="auto"/>
        <w:left w:val="none" w:sz="0" w:space="0" w:color="auto"/>
        <w:bottom w:val="none" w:sz="0" w:space="0" w:color="auto"/>
        <w:right w:val="none" w:sz="0" w:space="0" w:color="auto"/>
      </w:divBdr>
      <w:divsChild>
        <w:div w:id="13773122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ritishlistedbuildings.co.uk/en-110041-witton-hall-and-wall-attached-witton-gil" TargetMode="External"/><Relationship Id="rId13" Type="http://schemas.openxmlformats.org/officeDocument/2006/relationships/hyperlink" Target="http://www.britishlistedbuildings.co.uk/en-110046-jobling-and-hogen-tombs-circa-15-metres-" TargetMode="External"/><Relationship Id="rId18" Type="http://schemas.openxmlformats.org/officeDocument/2006/relationships/hyperlink" Target="http://www.britishlistedbuildings.co.uk/en-110040-well-house-circa-20-metres-south-of-fynd"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jpeg"/><Relationship Id="rId12" Type="http://schemas.openxmlformats.org/officeDocument/2006/relationships/hyperlink" Target="http://www.britishlistedbuildings.co.uk/en-110047-hopper-tomb-circa-1-metre-east-of-church" TargetMode="External"/><Relationship Id="rId17" Type="http://schemas.openxmlformats.org/officeDocument/2006/relationships/hyperlink" Target="http://www.britishlistedbuildings.co.uk/en-110039-fyndoune-and-fyndoune-mews-witton-gilber" TargetMode="External"/><Relationship Id="rId2" Type="http://schemas.openxmlformats.org/officeDocument/2006/relationships/styles" Target="styles.xml"/><Relationship Id="rId16" Type="http://schemas.openxmlformats.org/officeDocument/2006/relationships/hyperlink" Target="http://www.britishlistedbuildings.co.uk/en-110048-former-smithy-to-west-of-no-29-witton-gi" TargetMode="External"/><Relationship Id="rId20" Type="http://schemas.openxmlformats.org/officeDocument/2006/relationships/hyperlink" Target="http://www.britishlistedbuildings.co.uk/en-110017-kimblesworth-grange-farmhouse-with-wall-"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britishlistedbuildings.co.uk/en-110043-clark-tomb-circa-15-metres-south-of-west" TargetMode="External"/><Relationship Id="rId5" Type="http://schemas.openxmlformats.org/officeDocument/2006/relationships/image" Target="media/image1.jpeg"/><Relationship Id="rId15" Type="http://schemas.openxmlformats.org/officeDocument/2006/relationships/hyperlink" Target="http://www.britishlistedbuildings.co.uk/en-110045-snaith-tomb-circa-7-metres-south-of-chur" TargetMode="External"/><Relationship Id="rId10" Type="http://schemas.openxmlformats.org/officeDocument/2006/relationships/hyperlink" Target="http://www.britishlistedbuildings.co.uk/en-110042-church-of-st-michael-and-all-angels-witt" TargetMode="External"/><Relationship Id="rId19" Type="http://schemas.openxmlformats.org/officeDocument/2006/relationships/hyperlink" Target="http://www.britishlistedbuildings.co.uk/en-350610-kaysburn-house-burnhope-" TargetMode="External"/><Relationship Id="rId4" Type="http://schemas.openxmlformats.org/officeDocument/2006/relationships/webSettings" Target="webSettings.xml"/><Relationship Id="rId9" Type="http://schemas.openxmlformats.org/officeDocument/2006/relationships/hyperlink" Target="http://www.britishlistedbuildings.co.uk/en-1404129-barn-at-witton-hall-farm-witton-gilbert" TargetMode="External"/><Relationship Id="rId14" Type="http://schemas.openxmlformats.org/officeDocument/2006/relationships/hyperlink" Target="http://www.britishlistedbuildings.co.uk/en-110044-pickeran-tomb-circa-8-metres-south-of-e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1083</Words>
  <Characters>6179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Background  paper on Heritage</vt:lpstr>
    </vt:vector>
  </TitlesOfParts>
  <Company/>
  <LinksUpToDate>false</LinksUpToDate>
  <CharactersWithSpaces>7248</CharactersWithSpaces>
  <SharedDoc>false</SharedDoc>
  <HLinks>
    <vt:vector size="78" baseType="variant">
      <vt:variant>
        <vt:i4>6422636</vt:i4>
      </vt:variant>
      <vt:variant>
        <vt:i4>36</vt:i4>
      </vt:variant>
      <vt:variant>
        <vt:i4>0</vt:i4>
      </vt:variant>
      <vt:variant>
        <vt:i4>5</vt:i4>
      </vt:variant>
      <vt:variant>
        <vt:lpwstr>http://www.britishlistedbuildings.co.uk/en-110017-kimblesworth-grange-farmhouse-with-wall-</vt:lpwstr>
      </vt:variant>
      <vt:variant>
        <vt:lpwstr/>
      </vt:variant>
      <vt:variant>
        <vt:i4>7405695</vt:i4>
      </vt:variant>
      <vt:variant>
        <vt:i4>33</vt:i4>
      </vt:variant>
      <vt:variant>
        <vt:i4>0</vt:i4>
      </vt:variant>
      <vt:variant>
        <vt:i4>5</vt:i4>
      </vt:variant>
      <vt:variant>
        <vt:lpwstr>http://www.britishlistedbuildings.co.uk/en-350610-kaysburn-house-burnhope-</vt:lpwstr>
      </vt:variant>
      <vt:variant>
        <vt:lpwstr/>
      </vt:variant>
      <vt:variant>
        <vt:i4>6881387</vt:i4>
      </vt:variant>
      <vt:variant>
        <vt:i4>30</vt:i4>
      </vt:variant>
      <vt:variant>
        <vt:i4>0</vt:i4>
      </vt:variant>
      <vt:variant>
        <vt:i4>5</vt:i4>
      </vt:variant>
      <vt:variant>
        <vt:lpwstr>http://www.britishlistedbuildings.co.uk/en-110040-well-house-circa-20-metres-south-of-fynd</vt:lpwstr>
      </vt:variant>
      <vt:variant>
        <vt:lpwstr/>
      </vt:variant>
      <vt:variant>
        <vt:i4>2555963</vt:i4>
      </vt:variant>
      <vt:variant>
        <vt:i4>27</vt:i4>
      </vt:variant>
      <vt:variant>
        <vt:i4>0</vt:i4>
      </vt:variant>
      <vt:variant>
        <vt:i4>5</vt:i4>
      </vt:variant>
      <vt:variant>
        <vt:lpwstr>http://www.britishlistedbuildings.co.uk/en-110039-fyndoune-and-fyndoune-mews-witton-gilber</vt:lpwstr>
      </vt:variant>
      <vt:variant>
        <vt:lpwstr/>
      </vt:variant>
      <vt:variant>
        <vt:i4>8323112</vt:i4>
      </vt:variant>
      <vt:variant>
        <vt:i4>24</vt:i4>
      </vt:variant>
      <vt:variant>
        <vt:i4>0</vt:i4>
      </vt:variant>
      <vt:variant>
        <vt:i4>5</vt:i4>
      </vt:variant>
      <vt:variant>
        <vt:lpwstr>http://www.britishlistedbuildings.co.uk/en-110048-former-smithy-to-west-of-no-29-witton-gi</vt:lpwstr>
      </vt:variant>
      <vt:variant>
        <vt:lpwstr/>
      </vt:variant>
      <vt:variant>
        <vt:i4>2162785</vt:i4>
      </vt:variant>
      <vt:variant>
        <vt:i4>21</vt:i4>
      </vt:variant>
      <vt:variant>
        <vt:i4>0</vt:i4>
      </vt:variant>
      <vt:variant>
        <vt:i4>5</vt:i4>
      </vt:variant>
      <vt:variant>
        <vt:lpwstr>http://www.britishlistedbuildings.co.uk/en-110045-snaith-tomb-circa-7-metres-south-of-chur</vt:lpwstr>
      </vt:variant>
      <vt:variant>
        <vt:lpwstr/>
      </vt:variant>
      <vt:variant>
        <vt:i4>2818157</vt:i4>
      </vt:variant>
      <vt:variant>
        <vt:i4>18</vt:i4>
      </vt:variant>
      <vt:variant>
        <vt:i4>0</vt:i4>
      </vt:variant>
      <vt:variant>
        <vt:i4>5</vt:i4>
      </vt:variant>
      <vt:variant>
        <vt:lpwstr>http://www.britishlistedbuildings.co.uk/en-110044-pickeran-tomb-circa-8-metres-south-of-ea</vt:lpwstr>
      </vt:variant>
      <vt:variant>
        <vt:lpwstr/>
      </vt:variant>
      <vt:variant>
        <vt:i4>6619252</vt:i4>
      </vt:variant>
      <vt:variant>
        <vt:i4>15</vt:i4>
      </vt:variant>
      <vt:variant>
        <vt:i4>0</vt:i4>
      </vt:variant>
      <vt:variant>
        <vt:i4>5</vt:i4>
      </vt:variant>
      <vt:variant>
        <vt:lpwstr>http://www.britishlistedbuildings.co.uk/en-110046-jobling-and-hogen-tombs-circa-15-metres-</vt:lpwstr>
      </vt:variant>
      <vt:variant>
        <vt:lpwstr/>
      </vt:variant>
      <vt:variant>
        <vt:i4>7209021</vt:i4>
      </vt:variant>
      <vt:variant>
        <vt:i4>12</vt:i4>
      </vt:variant>
      <vt:variant>
        <vt:i4>0</vt:i4>
      </vt:variant>
      <vt:variant>
        <vt:i4>5</vt:i4>
      </vt:variant>
      <vt:variant>
        <vt:lpwstr>http://www.britishlistedbuildings.co.uk/en-110047-hopper-tomb-circa-1-metre-east-of-church</vt:lpwstr>
      </vt:variant>
      <vt:variant>
        <vt:lpwstr/>
      </vt:variant>
      <vt:variant>
        <vt:i4>2687035</vt:i4>
      </vt:variant>
      <vt:variant>
        <vt:i4>9</vt:i4>
      </vt:variant>
      <vt:variant>
        <vt:i4>0</vt:i4>
      </vt:variant>
      <vt:variant>
        <vt:i4>5</vt:i4>
      </vt:variant>
      <vt:variant>
        <vt:lpwstr>http://www.britishlistedbuildings.co.uk/en-110043-clark-tomb-circa-15-metres-south-of-west</vt:lpwstr>
      </vt:variant>
      <vt:variant>
        <vt:lpwstr/>
      </vt:variant>
      <vt:variant>
        <vt:i4>3604512</vt:i4>
      </vt:variant>
      <vt:variant>
        <vt:i4>6</vt:i4>
      </vt:variant>
      <vt:variant>
        <vt:i4>0</vt:i4>
      </vt:variant>
      <vt:variant>
        <vt:i4>5</vt:i4>
      </vt:variant>
      <vt:variant>
        <vt:lpwstr>http://www.britishlistedbuildings.co.uk/en-110042-church-of-st-michael-and-all-angels-witt</vt:lpwstr>
      </vt:variant>
      <vt:variant>
        <vt:lpwstr/>
      </vt:variant>
      <vt:variant>
        <vt:i4>6684785</vt:i4>
      </vt:variant>
      <vt:variant>
        <vt:i4>3</vt:i4>
      </vt:variant>
      <vt:variant>
        <vt:i4>0</vt:i4>
      </vt:variant>
      <vt:variant>
        <vt:i4>5</vt:i4>
      </vt:variant>
      <vt:variant>
        <vt:lpwstr>http://www.britishlistedbuildings.co.uk/en-1404129-barn-at-witton-hall-farm-witton-gilbert</vt:lpwstr>
      </vt:variant>
      <vt:variant>
        <vt:lpwstr/>
      </vt:variant>
      <vt:variant>
        <vt:i4>7340093</vt:i4>
      </vt:variant>
      <vt:variant>
        <vt:i4>0</vt:i4>
      </vt:variant>
      <vt:variant>
        <vt:i4>0</vt:i4>
      </vt:variant>
      <vt:variant>
        <vt:i4>5</vt:i4>
      </vt:variant>
      <vt:variant>
        <vt:lpwstr>http://www.britishlistedbuildings.co.uk/en-110041-witton-hall-and-wall-attached-witton-gil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  paper on Heritage</dc:title>
  <dc:creator>Robin</dc:creator>
  <cp:lastModifiedBy>tom hall</cp:lastModifiedBy>
  <cp:revision>2</cp:revision>
  <dcterms:created xsi:type="dcterms:W3CDTF">2017-08-03T13:19:00Z</dcterms:created>
  <dcterms:modified xsi:type="dcterms:W3CDTF">2017-08-03T13:19:00Z</dcterms:modified>
</cp:coreProperties>
</file>